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51501" w14:textId="5FCE3BC3" w:rsidR="00673B19" w:rsidRPr="007267BE" w:rsidRDefault="00673B19" w:rsidP="00673B19">
      <w:pPr>
        <w:pStyle w:val="SectionTitle"/>
      </w:pPr>
      <w:bookmarkStart w:id="0" w:name="_Toc56690139"/>
      <w:bookmarkStart w:id="1" w:name="_Toc56691232"/>
      <w:r>
        <w:t>NON-FINANCIAL</w:t>
      </w:r>
      <w:r>
        <w:br/>
        <w:t>PERFORMANCE</w:t>
      </w:r>
      <w:bookmarkEnd w:id="0"/>
      <w:bookmarkEnd w:id="1"/>
    </w:p>
    <w:p w14:paraId="79637BBC" w14:textId="77777777" w:rsidR="00673B19" w:rsidRDefault="00673B19" w:rsidP="00673B19"/>
    <w:p w14:paraId="788EDA39" w14:textId="77777777" w:rsidR="00673B19" w:rsidRDefault="00673B19" w:rsidP="00673B19">
      <w:pPr>
        <w:pStyle w:val="Heading1"/>
        <w:sectPr w:rsidR="00673B19" w:rsidSect="00AA434D">
          <w:headerReference w:type="default" r:id="rId9"/>
          <w:pgSz w:w="11906" w:h="16838" w:code="9"/>
          <w:pgMar w:top="1134" w:right="1134" w:bottom="1134" w:left="1134" w:header="709" w:footer="709" w:gutter="0"/>
          <w:cols w:space="708"/>
          <w:vAlign w:val="center"/>
          <w:docGrid w:linePitch="360"/>
        </w:sectPr>
      </w:pPr>
    </w:p>
    <w:p w14:paraId="2A0A5021" w14:textId="77777777" w:rsidR="00255EC0" w:rsidRPr="00255EC0" w:rsidRDefault="00255EC0" w:rsidP="00255EC0">
      <w:pPr>
        <w:pStyle w:val="Heading2"/>
      </w:pPr>
      <w:bookmarkStart w:id="2" w:name="_Toc56691233"/>
      <w:r w:rsidRPr="00255EC0">
        <w:lastRenderedPageBreak/>
        <w:t>Portfolio performance reporting – non-financial</w:t>
      </w:r>
      <w:bookmarkEnd w:id="2"/>
    </w:p>
    <w:p w14:paraId="68B0DE39" w14:textId="5B6A75BD" w:rsidR="00255EC0" w:rsidRPr="00255EC0" w:rsidRDefault="00255EC0" w:rsidP="00255EC0">
      <w:pPr>
        <w:pStyle w:val="Body"/>
      </w:pPr>
      <w:r w:rsidRPr="00255EC0">
        <w:t xml:space="preserve">As </w:t>
      </w:r>
      <w:proofErr w:type="gramStart"/>
      <w:r w:rsidRPr="00255EC0">
        <w:t>at</w:t>
      </w:r>
      <w:proofErr w:type="gramEnd"/>
      <w:r w:rsidRPr="00255EC0">
        <w:t xml:space="preserve"> 30 June 2020, DJPR had 146 non-cost</w:t>
      </w:r>
      <w:r>
        <w:t xml:space="preserve"> </w:t>
      </w:r>
      <w:r w:rsidRPr="00255EC0">
        <w:t>output performance measures, published</w:t>
      </w:r>
      <w:r>
        <w:t xml:space="preserve"> </w:t>
      </w:r>
      <w:r w:rsidRPr="00255EC0">
        <w:t>in the 2019–20 Budget Papers.</w:t>
      </w:r>
    </w:p>
    <w:p w14:paraId="644A218C" w14:textId="777B79D3" w:rsidR="00255EC0" w:rsidRPr="00255EC0" w:rsidRDefault="00255EC0" w:rsidP="00255EC0">
      <w:pPr>
        <w:pStyle w:val="Body"/>
      </w:pPr>
      <w:r w:rsidRPr="00255EC0">
        <w:t>The department met or exceeded 73 per cent</w:t>
      </w:r>
      <w:r>
        <w:t xml:space="preserve"> </w:t>
      </w:r>
      <w:r w:rsidRPr="00255EC0">
        <w:t>(107 measures) of the 2019–20 output performance measure targets. Due to the impacts of the bushfires and/or coronavirus (COVID-19), 27 per cent</w:t>
      </w:r>
      <w:r>
        <w:t xml:space="preserve"> </w:t>
      </w:r>
      <w:r w:rsidRPr="00255EC0">
        <w:t>(39 measures) of performance measures did not meet their targets. Many of these measures relied on physical/social interactions and travel or were impacted by diverted resources to recovery efforts.</w:t>
      </w:r>
    </w:p>
    <w:p w14:paraId="0AF5E6D5" w14:textId="5BFF6333" w:rsidR="00255EC0" w:rsidRPr="00255EC0" w:rsidRDefault="00255EC0" w:rsidP="00255EC0">
      <w:pPr>
        <w:pStyle w:val="Body"/>
      </w:pPr>
      <w:r w:rsidRPr="00255EC0">
        <w:t>For those performance measures which were not</w:t>
      </w:r>
      <w:r>
        <w:t xml:space="preserve"> </w:t>
      </w:r>
      <w:r w:rsidRPr="00255EC0">
        <w:t>as significantly affected, mitigation strategies included a greater emphasis on an online presence to replace usual activities or services where feasible.</w:t>
      </w:r>
      <w:r>
        <w:t xml:space="preserve"> </w:t>
      </w:r>
      <w:r w:rsidRPr="00255EC0">
        <w:t>In addition, increased support provided to businesses and industry in response to these events resulted in some measures exceeding their targets.</w:t>
      </w:r>
    </w:p>
    <w:p w14:paraId="16A52D3B" w14:textId="77777777" w:rsidR="00255EC0" w:rsidRPr="00255EC0" w:rsidRDefault="00255EC0" w:rsidP="00255EC0">
      <w:pPr>
        <w:pStyle w:val="Body"/>
        <w:rPr>
          <w:color w:val="005189"/>
        </w:rPr>
      </w:pPr>
      <w:r w:rsidRPr="00255EC0">
        <w:t>The portfolio performance reporting – non-financial section includes the:</w:t>
      </w:r>
    </w:p>
    <w:p w14:paraId="59C4FE95" w14:textId="77777777" w:rsidR="00255EC0" w:rsidRPr="00255EC0" w:rsidRDefault="00255EC0" w:rsidP="00255EC0">
      <w:pPr>
        <w:pStyle w:val="L1Bullets"/>
      </w:pPr>
      <w:r w:rsidRPr="00255EC0">
        <w:t>Report on progress towards achieving objectives, incorporating key initiatives and projects</w:t>
      </w:r>
    </w:p>
    <w:p w14:paraId="75678546" w14:textId="77777777" w:rsidR="00255EC0" w:rsidRPr="00255EC0" w:rsidRDefault="00255EC0" w:rsidP="00255EC0">
      <w:pPr>
        <w:pStyle w:val="L1Bulletslast"/>
      </w:pPr>
      <w:r w:rsidRPr="00255EC0">
        <w:t>Report on performance against output performance measures.</w:t>
      </w:r>
    </w:p>
    <w:p w14:paraId="23137E28" w14:textId="03595A52" w:rsidR="00255EC0" w:rsidRPr="00255EC0" w:rsidRDefault="00255EC0" w:rsidP="00255EC0">
      <w:pPr>
        <w:pStyle w:val="Heading3"/>
      </w:pPr>
      <w:r w:rsidRPr="00255EC0">
        <w:t>Reporting progress towards achieving departmental objectives in the report of</w:t>
      </w:r>
      <w:r>
        <w:t> </w:t>
      </w:r>
      <w:r w:rsidRPr="00255EC0">
        <w:t>operations</w:t>
      </w:r>
    </w:p>
    <w:p w14:paraId="3DDB844C" w14:textId="3B4E6030" w:rsidR="00255EC0" w:rsidRPr="00255EC0" w:rsidRDefault="00255EC0" w:rsidP="00255EC0">
      <w:pPr>
        <w:pStyle w:val="Body"/>
      </w:pPr>
      <w:r w:rsidRPr="00255EC0">
        <w:t>The department is focused on growing the state’s economy and ensuring it benefits all Victorians –</w:t>
      </w:r>
      <w:r>
        <w:t xml:space="preserve"> </w:t>
      </w:r>
      <w:r w:rsidRPr="00255EC0">
        <w:t>by creating more jobs for more people, building thriving places and regions, and supporting</w:t>
      </w:r>
      <w:r>
        <w:t xml:space="preserve"> </w:t>
      </w:r>
      <w:r w:rsidRPr="00255EC0">
        <w:t>inclusive communities.</w:t>
      </w:r>
    </w:p>
    <w:p w14:paraId="296F2131" w14:textId="20462522" w:rsidR="00255EC0" w:rsidRPr="00255EC0" w:rsidRDefault="00255EC0" w:rsidP="00255EC0">
      <w:pPr>
        <w:pStyle w:val="Body"/>
      </w:pPr>
      <w:r w:rsidRPr="00255EC0">
        <w:t>This section reports the department’s progress</w:t>
      </w:r>
      <w:r>
        <w:t xml:space="preserve"> </w:t>
      </w:r>
      <w:r w:rsidRPr="00255EC0">
        <w:t>on its 2019–20 departmental objectives through</w:t>
      </w:r>
      <w:r>
        <w:t xml:space="preserve"> </w:t>
      </w:r>
      <w:r w:rsidRPr="00255EC0">
        <w:t>a range of indicators.</w:t>
      </w:r>
    </w:p>
    <w:p w14:paraId="27591684" w14:textId="52B03117" w:rsidR="00255EC0" w:rsidRPr="00255EC0" w:rsidRDefault="00255EC0" w:rsidP="00255EC0">
      <w:pPr>
        <w:pStyle w:val="Heading3"/>
      </w:pPr>
      <w:r w:rsidRPr="00255EC0">
        <w:t>Objective 1: Create and</w:t>
      </w:r>
      <w:r>
        <w:t xml:space="preserve"> </w:t>
      </w:r>
      <w:r w:rsidRPr="00255EC0">
        <w:t>maintain jobs</w:t>
      </w:r>
    </w:p>
    <w:p w14:paraId="1FC184E5" w14:textId="3A59CD37" w:rsidR="00255EC0" w:rsidRPr="00255EC0" w:rsidRDefault="00255EC0" w:rsidP="00255EC0">
      <w:pPr>
        <w:pStyle w:val="Body"/>
        <w:rPr>
          <w:color w:val="005189"/>
        </w:rPr>
      </w:pPr>
      <w:r w:rsidRPr="00255EC0">
        <w:t>This objective seeks to secure a growing, sustainable and equitable jobs market</w:t>
      </w:r>
      <w:r>
        <w:t xml:space="preserve"> </w:t>
      </w:r>
      <w:r w:rsidRPr="00255EC0">
        <w:t>for all Victorians by working with businesses</w:t>
      </w:r>
      <w:r>
        <w:t xml:space="preserve"> </w:t>
      </w:r>
      <w:r w:rsidRPr="00255EC0">
        <w:t>to increase job opportunities, support people</w:t>
      </w:r>
      <w:r>
        <w:t xml:space="preserve"> </w:t>
      </w:r>
      <w:r w:rsidRPr="00255EC0">
        <w:t>into meaningful employment, and attract</w:t>
      </w:r>
      <w:r>
        <w:t xml:space="preserve"> </w:t>
      </w:r>
      <w:r w:rsidRPr="00255EC0">
        <w:t>the investment and talent needed to foster</w:t>
      </w:r>
      <w:r>
        <w:t xml:space="preserve"> </w:t>
      </w:r>
      <w:r w:rsidRPr="00255EC0">
        <w:t>job growth.</w:t>
      </w:r>
    </w:p>
    <w:p w14:paraId="5E140ED8" w14:textId="52385A73" w:rsidR="00255EC0" w:rsidRPr="00255EC0" w:rsidRDefault="00255EC0" w:rsidP="00221F7F">
      <w:pPr>
        <w:pStyle w:val="Heading3"/>
      </w:pPr>
      <w:r w:rsidRPr="00255EC0">
        <w:t>Progress towards achieving</w:t>
      </w:r>
      <w:r w:rsidR="00221F7F">
        <w:t xml:space="preserve"> </w:t>
      </w:r>
      <w:r w:rsidRPr="00255EC0">
        <w:t>this objective</w:t>
      </w:r>
    </w:p>
    <w:p w14:paraId="428A6383" w14:textId="3DCF0851" w:rsidR="00255EC0" w:rsidRPr="00255EC0" w:rsidRDefault="00255EC0" w:rsidP="00221F7F">
      <w:pPr>
        <w:pStyle w:val="Body"/>
      </w:pPr>
      <w:r w:rsidRPr="00255EC0">
        <w:t>In 2019–20, the department reported progress against this objective using the following</w:t>
      </w:r>
      <w:r w:rsidR="00221F7F">
        <w:t xml:space="preserve"> </w:t>
      </w:r>
      <w:r w:rsidRPr="00255EC0">
        <w:t xml:space="preserve">objective indicators and outputs: </w:t>
      </w:r>
    </w:p>
    <w:p w14:paraId="521879C5" w14:textId="77777777" w:rsidR="00255EC0" w:rsidRPr="00255EC0" w:rsidRDefault="00255EC0" w:rsidP="00221F7F">
      <w:pPr>
        <w:pStyle w:val="Heading4"/>
      </w:pPr>
      <w:r w:rsidRPr="00255EC0">
        <w:t>Objective Indicators</w:t>
      </w:r>
    </w:p>
    <w:p w14:paraId="10046AF6" w14:textId="77777777" w:rsidR="00255EC0" w:rsidRPr="00255EC0" w:rsidRDefault="00255EC0" w:rsidP="00221F7F">
      <w:pPr>
        <w:pStyle w:val="L1Bulletslast"/>
      </w:pPr>
      <w:r w:rsidRPr="00255EC0">
        <w:t>People employed in Victoria</w:t>
      </w:r>
    </w:p>
    <w:p w14:paraId="14882487" w14:textId="77777777" w:rsidR="00255EC0" w:rsidRPr="00255EC0" w:rsidRDefault="00255EC0" w:rsidP="00221F7F">
      <w:pPr>
        <w:pStyle w:val="Heading4"/>
      </w:pPr>
      <w:r w:rsidRPr="00255EC0">
        <w:t>Outputs</w:t>
      </w:r>
    </w:p>
    <w:p w14:paraId="45EE1B9F" w14:textId="77777777" w:rsidR="00255EC0" w:rsidRPr="00255EC0" w:rsidRDefault="00255EC0" w:rsidP="00221F7F">
      <w:pPr>
        <w:pStyle w:val="L1Bulletslast"/>
      </w:pPr>
      <w:r w:rsidRPr="00255EC0">
        <w:t>Jobs</w:t>
      </w:r>
    </w:p>
    <w:p w14:paraId="5AA66EAA" w14:textId="77777777" w:rsidR="00255EC0" w:rsidRPr="00255EC0" w:rsidRDefault="00255EC0" w:rsidP="00221F7F">
      <w:pPr>
        <w:pStyle w:val="Body"/>
      </w:pPr>
    </w:p>
    <w:p w14:paraId="3DF049AC" w14:textId="77777777" w:rsidR="00255EC0" w:rsidRPr="00255EC0" w:rsidRDefault="00255EC0" w:rsidP="00221F7F">
      <w:pPr>
        <w:pStyle w:val="Heading4"/>
      </w:pPr>
      <w:r w:rsidRPr="00255EC0">
        <w:lastRenderedPageBreak/>
        <w:t>Indicator: People employed in Victoria</w:t>
      </w:r>
    </w:p>
    <w:p w14:paraId="46472420" w14:textId="77777777" w:rsidR="00255EC0" w:rsidRPr="00255EC0" w:rsidRDefault="00255EC0" w:rsidP="00221F7F">
      <w:pPr>
        <w:pStyle w:val="Heading5"/>
      </w:pPr>
      <w:r w:rsidRPr="00255EC0">
        <w:t>Table 1: People employed in Victoria</w:t>
      </w:r>
    </w:p>
    <w:tbl>
      <w:tblPr>
        <w:tblStyle w:val="TableGrid"/>
        <w:tblW w:w="0" w:type="auto"/>
        <w:tblLayout w:type="fixed"/>
        <w:tblLook w:val="0020" w:firstRow="1" w:lastRow="0" w:firstColumn="0" w:lastColumn="0" w:noHBand="0" w:noVBand="0"/>
      </w:tblPr>
      <w:tblGrid>
        <w:gridCol w:w="4195"/>
        <w:gridCol w:w="1361"/>
        <w:gridCol w:w="1361"/>
        <w:gridCol w:w="1360"/>
        <w:gridCol w:w="1361"/>
      </w:tblGrid>
      <w:tr w:rsidR="00255EC0" w:rsidRPr="00221F7F" w14:paraId="2DEC1AE2" w14:textId="77777777" w:rsidTr="005B0008">
        <w:trPr>
          <w:tblHeader/>
        </w:trPr>
        <w:tc>
          <w:tcPr>
            <w:tcW w:w="4195" w:type="dxa"/>
          </w:tcPr>
          <w:p w14:paraId="3241B4E5" w14:textId="77777777" w:rsidR="00255EC0" w:rsidRPr="00221F7F" w:rsidRDefault="00255EC0" w:rsidP="00221F7F">
            <w:pPr>
              <w:pStyle w:val="TableColumnheading"/>
              <w:spacing w:before="40" w:after="40"/>
              <w:rPr>
                <w:sz w:val="20"/>
                <w:szCs w:val="18"/>
              </w:rPr>
            </w:pPr>
            <w:r w:rsidRPr="00221F7F">
              <w:rPr>
                <w:sz w:val="20"/>
                <w:szCs w:val="18"/>
              </w:rPr>
              <w:t>Measure (unit of measure)</w:t>
            </w:r>
          </w:p>
        </w:tc>
        <w:tc>
          <w:tcPr>
            <w:tcW w:w="1361" w:type="dxa"/>
          </w:tcPr>
          <w:p w14:paraId="1DC583CB" w14:textId="77777777" w:rsidR="00255EC0" w:rsidRPr="00221F7F" w:rsidRDefault="00255EC0" w:rsidP="00221F7F">
            <w:pPr>
              <w:pStyle w:val="TableColumnheading"/>
              <w:spacing w:before="40" w:after="40"/>
              <w:jc w:val="right"/>
              <w:rPr>
                <w:sz w:val="20"/>
                <w:szCs w:val="18"/>
              </w:rPr>
            </w:pPr>
            <w:r w:rsidRPr="00221F7F">
              <w:rPr>
                <w:sz w:val="20"/>
                <w:szCs w:val="18"/>
              </w:rPr>
              <w:t>2016–17</w:t>
            </w:r>
          </w:p>
        </w:tc>
        <w:tc>
          <w:tcPr>
            <w:tcW w:w="1361" w:type="dxa"/>
          </w:tcPr>
          <w:p w14:paraId="3D5DCAFA" w14:textId="77777777" w:rsidR="00255EC0" w:rsidRPr="00221F7F" w:rsidRDefault="00255EC0" w:rsidP="00221F7F">
            <w:pPr>
              <w:pStyle w:val="TableColumnheading"/>
              <w:spacing w:before="40" w:after="40"/>
              <w:jc w:val="right"/>
              <w:rPr>
                <w:sz w:val="20"/>
                <w:szCs w:val="18"/>
              </w:rPr>
            </w:pPr>
            <w:r w:rsidRPr="00221F7F">
              <w:rPr>
                <w:sz w:val="20"/>
                <w:szCs w:val="18"/>
              </w:rPr>
              <w:t>2017–18</w:t>
            </w:r>
          </w:p>
        </w:tc>
        <w:tc>
          <w:tcPr>
            <w:tcW w:w="1360" w:type="dxa"/>
          </w:tcPr>
          <w:p w14:paraId="5240B68E" w14:textId="77777777" w:rsidR="00255EC0" w:rsidRPr="00221F7F" w:rsidRDefault="00255EC0" w:rsidP="00221F7F">
            <w:pPr>
              <w:pStyle w:val="TableColumnheading"/>
              <w:spacing w:before="40" w:after="40"/>
              <w:jc w:val="right"/>
              <w:rPr>
                <w:sz w:val="20"/>
                <w:szCs w:val="18"/>
              </w:rPr>
            </w:pPr>
            <w:r w:rsidRPr="00221F7F">
              <w:rPr>
                <w:sz w:val="20"/>
                <w:szCs w:val="18"/>
              </w:rPr>
              <w:t>2018–19</w:t>
            </w:r>
          </w:p>
        </w:tc>
        <w:tc>
          <w:tcPr>
            <w:tcW w:w="1361" w:type="dxa"/>
          </w:tcPr>
          <w:p w14:paraId="17A84858" w14:textId="77777777" w:rsidR="00255EC0" w:rsidRPr="00221F7F" w:rsidRDefault="00255EC0" w:rsidP="00221F7F">
            <w:pPr>
              <w:pStyle w:val="TableColumnheading"/>
              <w:spacing w:before="40" w:after="40"/>
              <w:jc w:val="right"/>
              <w:rPr>
                <w:sz w:val="20"/>
                <w:szCs w:val="18"/>
              </w:rPr>
            </w:pPr>
            <w:r w:rsidRPr="00221F7F">
              <w:rPr>
                <w:sz w:val="20"/>
                <w:szCs w:val="18"/>
              </w:rPr>
              <w:t>2019–20</w:t>
            </w:r>
          </w:p>
        </w:tc>
      </w:tr>
      <w:tr w:rsidR="00255EC0" w:rsidRPr="00221F7F" w14:paraId="46196632" w14:textId="77777777" w:rsidTr="005B0008">
        <w:tc>
          <w:tcPr>
            <w:tcW w:w="4195" w:type="dxa"/>
          </w:tcPr>
          <w:p w14:paraId="55D00B72" w14:textId="757A8F71" w:rsidR="00255EC0" w:rsidRPr="00221F7F" w:rsidRDefault="00255EC0" w:rsidP="00221F7F">
            <w:pPr>
              <w:pStyle w:val="Tabletext"/>
              <w:spacing w:before="40" w:after="40"/>
              <w:rPr>
                <w:sz w:val="20"/>
              </w:rPr>
            </w:pPr>
            <w:r w:rsidRPr="00221F7F">
              <w:rPr>
                <w:sz w:val="20"/>
              </w:rPr>
              <w:t>Number of people employed in Victoria</w:t>
            </w:r>
            <w:r w:rsidR="00221F7F" w:rsidRPr="00221F7F">
              <w:rPr>
                <w:sz w:val="20"/>
              </w:rPr>
              <w:t xml:space="preserve"> </w:t>
            </w:r>
            <w:r w:rsidRPr="00221F7F">
              <w:rPr>
                <w:sz w:val="20"/>
              </w:rPr>
              <w:t>(number)</w:t>
            </w:r>
          </w:p>
        </w:tc>
        <w:tc>
          <w:tcPr>
            <w:tcW w:w="1361" w:type="dxa"/>
          </w:tcPr>
          <w:p w14:paraId="2953E8DC" w14:textId="77777777" w:rsidR="00255EC0" w:rsidRPr="00221F7F" w:rsidRDefault="00255EC0" w:rsidP="00221F7F">
            <w:pPr>
              <w:pStyle w:val="Tabletext"/>
              <w:spacing w:before="40" w:after="40"/>
              <w:jc w:val="right"/>
              <w:rPr>
                <w:sz w:val="20"/>
              </w:rPr>
            </w:pPr>
            <w:r w:rsidRPr="00221F7F">
              <w:rPr>
                <w:sz w:val="20"/>
              </w:rPr>
              <w:t>3,207,526</w:t>
            </w:r>
          </w:p>
        </w:tc>
        <w:tc>
          <w:tcPr>
            <w:tcW w:w="1361" w:type="dxa"/>
          </w:tcPr>
          <w:p w14:paraId="13190E9A" w14:textId="77777777" w:rsidR="00255EC0" w:rsidRPr="00221F7F" w:rsidRDefault="00255EC0" w:rsidP="00221F7F">
            <w:pPr>
              <w:pStyle w:val="Tabletext"/>
              <w:spacing w:before="40" w:after="40"/>
              <w:jc w:val="right"/>
              <w:rPr>
                <w:sz w:val="20"/>
              </w:rPr>
            </w:pPr>
            <w:r w:rsidRPr="00221F7F">
              <w:rPr>
                <w:sz w:val="20"/>
              </w:rPr>
              <w:t>3,271,527</w:t>
            </w:r>
          </w:p>
        </w:tc>
        <w:tc>
          <w:tcPr>
            <w:tcW w:w="1360" w:type="dxa"/>
          </w:tcPr>
          <w:p w14:paraId="4351D2C8" w14:textId="77777777" w:rsidR="00255EC0" w:rsidRPr="00221F7F" w:rsidRDefault="00255EC0" w:rsidP="00221F7F">
            <w:pPr>
              <w:pStyle w:val="Tabletext"/>
              <w:spacing w:before="40" w:after="40"/>
              <w:jc w:val="right"/>
              <w:rPr>
                <w:sz w:val="20"/>
              </w:rPr>
            </w:pPr>
            <w:r w:rsidRPr="00221F7F">
              <w:rPr>
                <w:sz w:val="20"/>
              </w:rPr>
              <w:t>3,352,500</w:t>
            </w:r>
          </w:p>
        </w:tc>
        <w:tc>
          <w:tcPr>
            <w:tcW w:w="1361" w:type="dxa"/>
          </w:tcPr>
          <w:p w14:paraId="35101C45" w14:textId="77777777" w:rsidR="00255EC0" w:rsidRPr="00221F7F" w:rsidRDefault="00255EC0" w:rsidP="00221F7F">
            <w:pPr>
              <w:pStyle w:val="Tabletext"/>
              <w:spacing w:before="40" w:after="40"/>
              <w:jc w:val="right"/>
              <w:rPr>
                <w:sz w:val="20"/>
              </w:rPr>
            </w:pPr>
            <w:r w:rsidRPr="00221F7F">
              <w:rPr>
                <w:sz w:val="20"/>
              </w:rPr>
              <w:t>3,391,800</w:t>
            </w:r>
          </w:p>
        </w:tc>
      </w:tr>
    </w:tbl>
    <w:p w14:paraId="577271EA" w14:textId="77777777" w:rsidR="00255EC0" w:rsidRPr="00255EC0" w:rsidRDefault="00255EC0" w:rsidP="00221F7F">
      <w:pPr>
        <w:pStyle w:val="Body"/>
      </w:pPr>
    </w:p>
    <w:p w14:paraId="5C891179" w14:textId="72DBA226" w:rsidR="00255EC0" w:rsidRPr="00255EC0" w:rsidRDefault="00255EC0" w:rsidP="00221F7F">
      <w:pPr>
        <w:pStyle w:val="Heading5"/>
      </w:pPr>
      <w:r w:rsidRPr="00255EC0">
        <w:t>Figure 1: Number of people employed</w:t>
      </w:r>
      <w:r w:rsidR="00221F7F">
        <w:t xml:space="preserve"> </w:t>
      </w:r>
      <w:r w:rsidRPr="00255EC0">
        <w:t>in Victoria</w:t>
      </w:r>
    </w:p>
    <w:p w14:paraId="11702547" w14:textId="20E15A96" w:rsidR="00255EC0" w:rsidRPr="00255EC0" w:rsidRDefault="00221F7F" w:rsidP="00221F7F">
      <w:pPr>
        <w:pStyle w:val="Body"/>
      </w:pPr>
      <w:r>
        <w:rPr>
          <w:noProof/>
        </w:rPr>
        <w:drawing>
          <wp:inline distT="0" distB="0" distL="0" distR="0" wp14:anchorId="005CF913" wp14:editId="64B57E05">
            <wp:extent cx="1990725" cy="1323975"/>
            <wp:effectExtent l="0" t="0" r="9525" b="9525"/>
            <wp:docPr id="5" name="Graphic 5" descr="Figure 1: Number of people employed in Victori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igure 1: Number of people employed in Victoria graph"/>
                    <pic:cNvPicPr/>
                  </pic:nvPicPr>
                  <pic:blipFill>
                    <a:blip r:embed="rId10">
                      <a:extLst>
                        <a:ext uri="{96DAC541-7B7A-43D3-8B79-37D633B846F1}">
                          <asvg:svgBlip xmlns:asvg="http://schemas.microsoft.com/office/drawing/2016/SVG/main" r:embed="rId11"/>
                        </a:ext>
                      </a:extLst>
                    </a:blip>
                    <a:stretch>
                      <a:fillRect/>
                    </a:stretch>
                  </pic:blipFill>
                  <pic:spPr>
                    <a:xfrm>
                      <a:off x="0" y="0"/>
                      <a:ext cx="1990725" cy="1323975"/>
                    </a:xfrm>
                    <a:prstGeom prst="rect">
                      <a:avLst/>
                    </a:prstGeom>
                  </pic:spPr>
                </pic:pic>
              </a:graphicData>
            </a:graphic>
          </wp:inline>
        </w:drawing>
      </w:r>
    </w:p>
    <w:p w14:paraId="1652D1DD" w14:textId="08C238EA" w:rsidR="00255EC0" w:rsidRPr="00255EC0" w:rsidRDefault="00255EC0" w:rsidP="000B6D17">
      <w:pPr>
        <w:pStyle w:val="Body"/>
      </w:pPr>
      <w:r w:rsidRPr="00255EC0">
        <w:t>In 2019–20, the department contributed to the government’s investment attraction and facilitation function by facilitating private sector investment outcomes and monitoring the health of Victoria’s</w:t>
      </w:r>
      <w:r w:rsidR="000B6D17">
        <w:t xml:space="preserve"> </w:t>
      </w:r>
      <w:r w:rsidRPr="00255EC0">
        <w:t>key companies and employers. This resulted</w:t>
      </w:r>
      <w:r w:rsidR="000B6D17">
        <w:t xml:space="preserve"> </w:t>
      </w:r>
      <w:r w:rsidRPr="00255EC0">
        <w:t>in the creation of 5000 jobs and secured $2.3 billion in new investment. The investment outcomes were achieved across a wide range of industry sectors including information communication technologies, life sciences, agriculture, food manufacturing, energy, automotive manufacturing, aerospace,</w:t>
      </w:r>
      <w:r w:rsidR="000B6D17">
        <w:t xml:space="preserve"> </w:t>
      </w:r>
      <w:r w:rsidRPr="00255EC0">
        <w:t xml:space="preserve">retail trade, </w:t>
      </w:r>
      <w:proofErr w:type="gramStart"/>
      <w:r w:rsidRPr="00255EC0">
        <w:t>tourism</w:t>
      </w:r>
      <w:proofErr w:type="gramEnd"/>
      <w:r w:rsidRPr="00255EC0">
        <w:t xml:space="preserve"> and professional services.</w:t>
      </w:r>
    </w:p>
    <w:p w14:paraId="0249C030" w14:textId="5402865A" w:rsidR="00255EC0" w:rsidRPr="00255EC0" w:rsidRDefault="00255EC0" w:rsidP="000B6D17">
      <w:pPr>
        <w:pStyle w:val="Body"/>
      </w:pPr>
      <w:r w:rsidRPr="00255EC0">
        <w:t>In 2019–20, the department supported</w:t>
      </w:r>
      <w:r w:rsidR="000B6D17">
        <w:t xml:space="preserve"> </w:t>
      </w:r>
      <w:r w:rsidRPr="00255EC0">
        <w:t>the assessment of 986 overseas qualifications</w:t>
      </w:r>
      <w:r w:rsidR="000B6D17">
        <w:t xml:space="preserve"> </w:t>
      </w:r>
      <w:r w:rsidRPr="00255EC0">
        <w:t>to assist overseas qualified professionals gain</w:t>
      </w:r>
      <w:r w:rsidR="000B6D17">
        <w:t xml:space="preserve"> </w:t>
      </w:r>
      <w:r w:rsidRPr="00255EC0">
        <w:t>employment in the Victorian labour market</w:t>
      </w:r>
      <w:r w:rsidR="000B6D17">
        <w:t xml:space="preserve"> </w:t>
      </w:r>
      <w:r w:rsidRPr="00255EC0">
        <w:t xml:space="preserve">and fill skills gaps for employers. The department also nominated 1750 business and investor migrants and 3543 skilled migrants to live, work and undertake business activity in Victoria, which included 1043 skilled migrants in regional Victoria. Of the 3543 skilled migrants, 384 had completed a PhD and an additional 1290 were international student graduates of Australian universities. </w:t>
      </w:r>
    </w:p>
    <w:p w14:paraId="625EAE0D" w14:textId="0B70CA18" w:rsidR="00255EC0" w:rsidRPr="00255EC0" w:rsidRDefault="00255EC0" w:rsidP="000B6D17">
      <w:pPr>
        <w:pStyle w:val="Body"/>
      </w:pPr>
      <w:r w:rsidRPr="00255EC0">
        <w:t>Restrictions on travel and changes to the economy and labour market due to coronavirus (COVID</w:t>
      </w:r>
      <w:r w:rsidR="000B6D17">
        <w:noBreakHyphen/>
      </w:r>
      <w:r w:rsidRPr="00255EC0">
        <w:t>19) affected the delivery of the migration program.</w:t>
      </w:r>
      <w:r w:rsidR="000B6D17">
        <w:t xml:space="preserve"> </w:t>
      </w:r>
      <w:r w:rsidRPr="00255EC0">
        <w:t>The program was modified to target onshore skilled migrants and those with skills that could contribute to the coronavirus (COVID-19) response and economic recovery.</w:t>
      </w:r>
    </w:p>
    <w:p w14:paraId="654826E7" w14:textId="5B532F84" w:rsidR="00255EC0" w:rsidRPr="00255EC0" w:rsidRDefault="00255EC0" w:rsidP="000B6D17">
      <w:pPr>
        <w:pStyle w:val="Body"/>
      </w:pPr>
      <w:r w:rsidRPr="00255EC0">
        <w:t xml:space="preserve">In August 2018, the </w:t>
      </w:r>
      <w:r w:rsidRPr="000B6D17">
        <w:t xml:space="preserve">Local Jobs First Act 2003 </w:t>
      </w:r>
      <w:r w:rsidRPr="00255EC0">
        <w:t>was amended, and the department implemented the Local Jobs Policy which comprises the Victorian Industry Participation Policy and the Major Project Skills Guarantee (</w:t>
      </w:r>
      <w:proofErr w:type="spellStart"/>
      <w:r w:rsidRPr="00255EC0">
        <w:t>MPSG</w:t>
      </w:r>
      <w:proofErr w:type="spellEnd"/>
      <w:r w:rsidRPr="00255EC0">
        <w:t>). It supports Victorian businesses and workers by ensuring that small</w:t>
      </w:r>
      <w:r w:rsidR="000B6D17">
        <w:t xml:space="preserve"> </w:t>
      </w:r>
      <w:r w:rsidRPr="00255EC0">
        <w:t>and medium sized enterprises (SMEs) are given</w:t>
      </w:r>
      <w:r w:rsidR="000B6D17">
        <w:t xml:space="preserve"> </w:t>
      </w:r>
      <w:r w:rsidRPr="00255EC0">
        <w:t xml:space="preserve">a full and fair opportunity to compete for government contracts. </w:t>
      </w:r>
    </w:p>
    <w:p w14:paraId="1C095844" w14:textId="4C3A6E5A" w:rsidR="00255EC0" w:rsidRPr="00255EC0" w:rsidRDefault="00255EC0" w:rsidP="000B6D17">
      <w:pPr>
        <w:pStyle w:val="Body"/>
      </w:pPr>
      <w:r w:rsidRPr="00255EC0">
        <w:t>The</w:t>
      </w:r>
      <w:r w:rsidRPr="000B6D17">
        <w:t xml:space="preserve"> Local Jobs First Act 2003 </w:t>
      </w:r>
      <w:r w:rsidRPr="00255EC0">
        <w:t>also established</w:t>
      </w:r>
      <w:r w:rsidR="000B6D17">
        <w:t xml:space="preserve"> </w:t>
      </w:r>
      <w:r w:rsidRPr="00255EC0">
        <w:t>a Local Jobs First Commissioner. The Commissioner provides advocacy, facilitation and compliance functions while working closely with industry and government departments to create opportunities</w:t>
      </w:r>
      <w:r w:rsidR="000B6D17">
        <w:t xml:space="preserve"> </w:t>
      </w:r>
      <w:r w:rsidRPr="00255EC0">
        <w:t xml:space="preserve">for SMEs, workers, apprentices, </w:t>
      </w:r>
      <w:proofErr w:type="gramStart"/>
      <w:r w:rsidRPr="00255EC0">
        <w:t>trainees</w:t>
      </w:r>
      <w:proofErr w:type="gramEnd"/>
      <w:r w:rsidRPr="00255EC0">
        <w:t xml:space="preserve"> and cadets.</w:t>
      </w:r>
    </w:p>
    <w:p w14:paraId="2D8BF535" w14:textId="77777777" w:rsidR="00255EC0" w:rsidRPr="00255EC0" w:rsidRDefault="00255EC0" w:rsidP="000B6D17">
      <w:pPr>
        <w:pStyle w:val="Body"/>
      </w:pPr>
      <w:r w:rsidRPr="00255EC0">
        <w:t xml:space="preserve">Since December 2014 to June 2020, the government has set local content requirements under the Local Jobs First for 160 strategic projects, with a combined total value of over $87.6 billion and supporting 35,000 local jobs. Since its introduction, the </w:t>
      </w:r>
      <w:proofErr w:type="spellStart"/>
      <w:r w:rsidRPr="00255EC0">
        <w:t>MPSG</w:t>
      </w:r>
      <w:proofErr w:type="spellEnd"/>
      <w:r w:rsidRPr="00255EC0">
        <w:t xml:space="preserve"> has been applied to 137 projects worth over $53.1 billion, which have committed to more than 4.55 million contracted hours for 3389 apprentices, </w:t>
      </w:r>
      <w:proofErr w:type="gramStart"/>
      <w:r w:rsidRPr="00255EC0">
        <w:t>trainees</w:t>
      </w:r>
      <w:proofErr w:type="gramEnd"/>
      <w:r w:rsidRPr="00255EC0">
        <w:t xml:space="preserve"> and cadets. </w:t>
      </w:r>
    </w:p>
    <w:p w14:paraId="6D4AB72F" w14:textId="151EE5FF" w:rsidR="00255EC0" w:rsidRPr="00255EC0" w:rsidRDefault="00255EC0" w:rsidP="000B6D17">
      <w:pPr>
        <w:pStyle w:val="Body"/>
      </w:pPr>
      <w:r w:rsidRPr="00255EC0">
        <w:lastRenderedPageBreak/>
        <w:t>Since late 2016, Jobs Victoria services have</w:t>
      </w:r>
      <w:r w:rsidR="000B6D17">
        <w:t xml:space="preserve"> </w:t>
      </w:r>
      <w:r w:rsidRPr="00255EC0">
        <w:t>supported almost 13,000 jobseekers into work,</w:t>
      </w:r>
      <w:r w:rsidR="000B6D17">
        <w:t xml:space="preserve"> </w:t>
      </w:r>
      <w:r w:rsidRPr="00255EC0">
        <w:t>most of whom were long-term unemployed or</w:t>
      </w:r>
      <w:r w:rsidR="000B6D17">
        <w:t xml:space="preserve"> </w:t>
      </w:r>
      <w:r w:rsidRPr="00255EC0">
        <w:t>at risk of long-term unemployment. A key feature</w:t>
      </w:r>
      <w:r w:rsidR="000B6D17">
        <w:t xml:space="preserve"> </w:t>
      </w:r>
      <w:r w:rsidRPr="00255EC0">
        <w:t>of the Jobs Victoria model is strong employer</w:t>
      </w:r>
      <w:r w:rsidR="000B6D17">
        <w:t xml:space="preserve"> </w:t>
      </w:r>
      <w:r w:rsidRPr="00255EC0">
        <w:t>engagement: over 5000 employers have recruited</w:t>
      </w:r>
      <w:r w:rsidR="000B6D17">
        <w:t xml:space="preserve"> </w:t>
      </w:r>
      <w:r w:rsidRPr="00255EC0">
        <w:t>via Jobs Victoria services, and the independent evaluation found evidence of employers repeat hiring and even creating vacancies as a result of positive experiences with Jobs Victoria services.</w:t>
      </w:r>
    </w:p>
    <w:p w14:paraId="66628A78" w14:textId="77777777" w:rsidR="00255EC0" w:rsidRPr="00255EC0" w:rsidRDefault="00255EC0" w:rsidP="000B6D17">
      <w:pPr>
        <w:pStyle w:val="Heading4"/>
      </w:pPr>
      <w:r w:rsidRPr="00255EC0">
        <w:t>Performance against output performance measures</w:t>
      </w:r>
    </w:p>
    <w:p w14:paraId="6D671C4C" w14:textId="5EF85C9A" w:rsidR="00255EC0" w:rsidRPr="00255EC0" w:rsidRDefault="00255EC0" w:rsidP="000B6D17">
      <w:pPr>
        <w:pStyle w:val="Body"/>
      </w:pPr>
      <w:r w:rsidRPr="00255EC0">
        <w:t>Table 2 represents performance against the Jobs output. This output includes initiatives to support existing workers and businesses by connecting Victorians experiencing disadvantage to job opportunities, supporting Aboriginal economic inclusion, working with the community to create and support social enterprises;</w:t>
      </w:r>
      <w:r w:rsidR="000B6D17">
        <w:t xml:space="preserve"> </w:t>
      </w:r>
      <w:r w:rsidRPr="00255EC0">
        <w:t>as well as attracting new investment and talent into Victoria to grow the economy and share the benefits</w:t>
      </w:r>
      <w:r w:rsidR="000B6D17">
        <w:t xml:space="preserve"> </w:t>
      </w:r>
      <w:r w:rsidRPr="00255EC0">
        <w:t>of economic prosperity.</w:t>
      </w:r>
    </w:p>
    <w:p w14:paraId="27B56F5F" w14:textId="77777777" w:rsidR="00255EC0" w:rsidRPr="00255EC0" w:rsidRDefault="00255EC0" w:rsidP="000B6D17">
      <w:pPr>
        <w:pStyle w:val="Heading5"/>
      </w:pPr>
      <w:r w:rsidRPr="00255EC0">
        <w:t>Table 2: Output – Jobs</w:t>
      </w:r>
    </w:p>
    <w:tbl>
      <w:tblPr>
        <w:tblStyle w:val="TableGrid"/>
        <w:tblW w:w="9682" w:type="dxa"/>
        <w:tblLayout w:type="fixed"/>
        <w:tblLook w:val="0020" w:firstRow="1" w:lastRow="0" w:firstColumn="0" w:lastColumn="0" w:noHBand="0" w:noVBand="0"/>
      </w:tblPr>
      <w:tblGrid>
        <w:gridCol w:w="4592"/>
        <w:gridCol w:w="964"/>
        <w:gridCol w:w="964"/>
        <w:gridCol w:w="963"/>
        <w:gridCol w:w="1443"/>
        <w:gridCol w:w="756"/>
      </w:tblGrid>
      <w:tr w:rsidR="00255EC0" w:rsidRPr="00A909B6" w14:paraId="691DDCCF" w14:textId="77777777" w:rsidTr="00E8460A">
        <w:trPr>
          <w:tblHeader/>
        </w:trPr>
        <w:tc>
          <w:tcPr>
            <w:tcW w:w="4592" w:type="dxa"/>
          </w:tcPr>
          <w:p w14:paraId="767E4861" w14:textId="77777777" w:rsidR="00255EC0" w:rsidRPr="00A909B6" w:rsidRDefault="00255EC0" w:rsidP="000B6D17">
            <w:pPr>
              <w:pStyle w:val="TableColumnheading"/>
              <w:rPr>
                <w:sz w:val="20"/>
              </w:rPr>
            </w:pPr>
            <w:r w:rsidRPr="00A909B6">
              <w:rPr>
                <w:sz w:val="20"/>
              </w:rPr>
              <w:t xml:space="preserve">Performance measures </w:t>
            </w:r>
          </w:p>
        </w:tc>
        <w:tc>
          <w:tcPr>
            <w:tcW w:w="964" w:type="dxa"/>
          </w:tcPr>
          <w:p w14:paraId="65ABAC45" w14:textId="77777777" w:rsidR="00255EC0" w:rsidRPr="00A909B6" w:rsidRDefault="00255EC0" w:rsidP="00A909B6">
            <w:pPr>
              <w:pStyle w:val="TableColumnheading"/>
              <w:jc w:val="right"/>
              <w:rPr>
                <w:sz w:val="20"/>
              </w:rPr>
            </w:pPr>
            <w:r w:rsidRPr="00A909B6">
              <w:rPr>
                <w:sz w:val="20"/>
              </w:rPr>
              <w:t>Unit of measure</w:t>
            </w:r>
          </w:p>
        </w:tc>
        <w:tc>
          <w:tcPr>
            <w:tcW w:w="964" w:type="dxa"/>
          </w:tcPr>
          <w:p w14:paraId="05FCB6CD" w14:textId="77777777" w:rsidR="00255EC0" w:rsidRPr="00A909B6" w:rsidRDefault="00255EC0" w:rsidP="00A909B6">
            <w:pPr>
              <w:pStyle w:val="TableColumnheading"/>
              <w:jc w:val="right"/>
              <w:rPr>
                <w:sz w:val="20"/>
              </w:rPr>
            </w:pPr>
            <w:r w:rsidRPr="00A909B6">
              <w:rPr>
                <w:sz w:val="20"/>
              </w:rPr>
              <w:t>2019–20 actual</w:t>
            </w:r>
          </w:p>
        </w:tc>
        <w:tc>
          <w:tcPr>
            <w:tcW w:w="963" w:type="dxa"/>
          </w:tcPr>
          <w:p w14:paraId="4AFD80E2" w14:textId="77777777" w:rsidR="00255EC0" w:rsidRPr="00A909B6" w:rsidRDefault="00255EC0" w:rsidP="00A909B6">
            <w:pPr>
              <w:pStyle w:val="TableColumnheading"/>
              <w:jc w:val="right"/>
              <w:rPr>
                <w:sz w:val="20"/>
              </w:rPr>
            </w:pPr>
            <w:r w:rsidRPr="00A909B6">
              <w:rPr>
                <w:sz w:val="20"/>
              </w:rPr>
              <w:t>2019–20 target</w:t>
            </w:r>
          </w:p>
        </w:tc>
        <w:tc>
          <w:tcPr>
            <w:tcW w:w="1443" w:type="dxa"/>
          </w:tcPr>
          <w:p w14:paraId="7A463098" w14:textId="77777777" w:rsidR="00255EC0" w:rsidRPr="00A909B6" w:rsidRDefault="00255EC0" w:rsidP="00A909B6">
            <w:pPr>
              <w:pStyle w:val="TableColumnheading"/>
              <w:jc w:val="right"/>
              <w:rPr>
                <w:sz w:val="20"/>
              </w:rPr>
            </w:pPr>
            <w:r w:rsidRPr="00A909B6">
              <w:rPr>
                <w:sz w:val="20"/>
              </w:rPr>
              <w:t xml:space="preserve">Performance variation (%) </w:t>
            </w:r>
          </w:p>
        </w:tc>
        <w:tc>
          <w:tcPr>
            <w:tcW w:w="756" w:type="dxa"/>
          </w:tcPr>
          <w:p w14:paraId="71C336E5" w14:textId="77777777" w:rsidR="00255EC0" w:rsidRPr="00A909B6" w:rsidRDefault="00255EC0" w:rsidP="00A909B6">
            <w:pPr>
              <w:pStyle w:val="TableColumnheading"/>
              <w:jc w:val="right"/>
              <w:rPr>
                <w:sz w:val="20"/>
              </w:rPr>
            </w:pPr>
            <w:r w:rsidRPr="00A909B6">
              <w:rPr>
                <w:sz w:val="20"/>
              </w:rPr>
              <w:t xml:space="preserve">Result </w:t>
            </w:r>
          </w:p>
        </w:tc>
      </w:tr>
      <w:tr w:rsidR="00255EC0" w:rsidRPr="00A909B6" w14:paraId="393A5F29" w14:textId="77777777" w:rsidTr="00E8460A">
        <w:tc>
          <w:tcPr>
            <w:tcW w:w="9682" w:type="dxa"/>
            <w:gridSpan w:val="6"/>
          </w:tcPr>
          <w:p w14:paraId="39ACE783" w14:textId="77777777" w:rsidR="00255EC0" w:rsidRPr="00A909B6" w:rsidRDefault="00255EC0" w:rsidP="000B6D17">
            <w:pPr>
              <w:pStyle w:val="Tabletextnospace"/>
              <w:rPr>
                <w:b/>
                <w:bCs/>
                <w:sz w:val="20"/>
                <w:szCs w:val="20"/>
              </w:rPr>
            </w:pPr>
            <w:r w:rsidRPr="00A909B6">
              <w:rPr>
                <w:b/>
                <w:bCs/>
                <w:sz w:val="20"/>
                <w:szCs w:val="20"/>
              </w:rPr>
              <w:t>Quantity</w:t>
            </w:r>
          </w:p>
        </w:tc>
      </w:tr>
      <w:tr w:rsidR="00255EC0" w:rsidRPr="00A909B6" w14:paraId="756600E3" w14:textId="77777777" w:rsidTr="00E8460A">
        <w:tc>
          <w:tcPr>
            <w:tcW w:w="4592" w:type="dxa"/>
          </w:tcPr>
          <w:p w14:paraId="0F61882E" w14:textId="77777777" w:rsidR="00255EC0" w:rsidRPr="00A909B6" w:rsidRDefault="00255EC0" w:rsidP="00A909B6">
            <w:pPr>
              <w:pStyle w:val="Tabletextnospace"/>
              <w:rPr>
                <w:sz w:val="20"/>
                <w:szCs w:val="20"/>
              </w:rPr>
            </w:pPr>
            <w:r w:rsidRPr="00A909B6">
              <w:rPr>
                <w:sz w:val="20"/>
                <w:szCs w:val="20"/>
              </w:rPr>
              <w:t>Disadvantaged jobseekers who achieve sustainable employment (minimum number of 26 weeks)</w:t>
            </w:r>
          </w:p>
        </w:tc>
        <w:tc>
          <w:tcPr>
            <w:tcW w:w="964" w:type="dxa"/>
          </w:tcPr>
          <w:p w14:paraId="2BB20FD9" w14:textId="77777777" w:rsidR="00255EC0" w:rsidRPr="00A909B6" w:rsidRDefault="00255EC0" w:rsidP="00A909B6">
            <w:pPr>
              <w:pStyle w:val="Tabletextnospace"/>
              <w:jc w:val="right"/>
              <w:rPr>
                <w:sz w:val="20"/>
                <w:szCs w:val="20"/>
              </w:rPr>
            </w:pPr>
            <w:r w:rsidRPr="00A909B6">
              <w:rPr>
                <w:sz w:val="20"/>
                <w:szCs w:val="20"/>
              </w:rPr>
              <w:t>number</w:t>
            </w:r>
          </w:p>
        </w:tc>
        <w:tc>
          <w:tcPr>
            <w:tcW w:w="964" w:type="dxa"/>
          </w:tcPr>
          <w:p w14:paraId="6916C814" w14:textId="77777777" w:rsidR="00255EC0" w:rsidRPr="00A909B6" w:rsidRDefault="00255EC0" w:rsidP="00A909B6">
            <w:pPr>
              <w:pStyle w:val="Tabletextnospace"/>
              <w:jc w:val="right"/>
              <w:rPr>
                <w:sz w:val="20"/>
                <w:szCs w:val="20"/>
              </w:rPr>
            </w:pPr>
            <w:r w:rsidRPr="00A909B6">
              <w:rPr>
                <w:sz w:val="20"/>
                <w:szCs w:val="20"/>
              </w:rPr>
              <w:t>2362</w:t>
            </w:r>
          </w:p>
        </w:tc>
        <w:tc>
          <w:tcPr>
            <w:tcW w:w="963" w:type="dxa"/>
          </w:tcPr>
          <w:p w14:paraId="2A0695B6" w14:textId="77777777" w:rsidR="00255EC0" w:rsidRPr="00A909B6" w:rsidRDefault="00255EC0" w:rsidP="00A909B6">
            <w:pPr>
              <w:pStyle w:val="Tabletextnospace"/>
              <w:jc w:val="right"/>
              <w:rPr>
                <w:sz w:val="20"/>
                <w:szCs w:val="20"/>
              </w:rPr>
            </w:pPr>
            <w:r w:rsidRPr="00A909B6">
              <w:rPr>
                <w:sz w:val="20"/>
                <w:szCs w:val="20"/>
              </w:rPr>
              <w:t>2225</w:t>
            </w:r>
          </w:p>
        </w:tc>
        <w:tc>
          <w:tcPr>
            <w:tcW w:w="1443" w:type="dxa"/>
          </w:tcPr>
          <w:p w14:paraId="59AA36EA" w14:textId="77777777" w:rsidR="00255EC0" w:rsidRPr="00A909B6" w:rsidRDefault="00255EC0" w:rsidP="00A909B6">
            <w:pPr>
              <w:pStyle w:val="Tabletextnospace"/>
              <w:jc w:val="right"/>
              <w:rPr>
                <w:sz w:val="20"/>
                <w:szCs w:val="20"/>
              </w:rPr>
            </w:pPr>
            <w:r w:rsidRPr="00A909B6">
              <w:rPr>
                <w:sz w:val="20"/>
                <w:szCs w:val="20"/>
              </w:rPr>
              <w:t>6.2%</w:t>
            </w:r>
          </w:p>
        </w:tc>
        <w:tc>
          <w:tcPr>
            <w:tcW w:w="756" w:type="dxa"/>
          </w:tcPr>
          <w:p w14:paraId="72099A01" w14:textId="77777777" w:rsidR="00255EC0" w:rsidRPr="00A909B6"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A909B6">
              <w:rPr>
                <w:rFonts w:ascii="Wingdings" w:hAnsi="Wingdings" w:cs="Wingdings"/>
                <w:position w:val="-2"/>
                <w:sz w:val="20"/>
                <w:lang w:val="en-GB"/>
              </w:rPr>
              <w:t>ü</w:t>
            </w:r>
          </w:p>
        </w:tc>
      </w:tr>
      <w:tr w:rsidR="00255EC0" w:rsidRPr="00A909B6" w14:paraId="6D680E37" w14:textId="77777777" w:rsidTr="00E8460A">
        <w:tc>
          <w:tcPr>
            <w:tcW w:w="9682" w:type="dxa"/>
            <w:gridSpan w:val="6"/>
          </w:tcPr>
          <w:p w14:paraId="653CED4A" w14:textId="77777777" w:rsidR="00255EC0" w:rsidRPr="00A909B6" w:rsidRDefault="00255EC0" w:rsidP="00A909B6">
            <w:pPr>
              <w:pStyle w:val="Tabletextnospace"/>
              <w:rPr>
                <w:i/>
                <w:iCs/>
                <w:sz w:val="20"/>
                <w:szCs w:val="20"/>
              </w:rPr>
            </w:pPr>
            <w:r w:rsidRPr="00A909B6">
              <w:rPr>
                <w:i/>
                <w:iCs/>
                <w:sz w:val="20"/>
                <w:szCs w:val="20"/>
              </w:rPr>
              <w:t>Higher result due to additional funding being awarded to Jobs Victoria partners in September and October 2019 along with some partners achieving greater than anticipated outcomes.</w:t>
            </w:r>
          </w:p>
        </w:tc>
      </w:tr>
      <w:tr w:rsidR="00255EC0" w:rsidRPr="00A909B6" w14:paraId="14721DC9" w14:textId="77777777" w:rsidTr="00E8460A">
        <w:tc>
          <w:tcPr>
            <w:tcW w:w="4592" w:type="dxa"/>
          </w:tcPr>
          <w:p w14:paraId="4BF6481E" w14:textId="77777777" w:rsidR="00255EC0" w:rsidRPr="00A909B6" w:rsidRDefault="00255EC0" w:rsidP="00A909B6">
            <w:pPr>
              <w:pStyle w:val="Tabletextnospace"/>
              <w:rPr>
                <w:sz w:val="20"/>
                <w:szCs w:val="20"/>
              </w:rPr>
            </w:pPr>
            <w:r w:rsidRPr="00A909B6">
              <w:rPr>
                <w:sz w:val="20"/>
                <w:szCs w:val="20"/>
              </w:rPr>
              <w:t>Government Youth Employment Scheme</w:t>
            </w:r>
            <w:r w:rsidRPr="00A909B6">
              <w:rPr>
                <w:sz w:val="20"/>
                <w:szCs w:val="20"/>
              </w:rPr>
              <w:br/>
              <w:t>traineeships commenced</w:t>
            </w:r>
          </w:p>
        </w:tc>
        <w:tc>
          <w:tcPr>
            <w:tcW w:w="964" w:type="dxa"/>
          </w:tcPr>
          <w:p w14:paraId="423995B8" w14:textId="77777777" w:rsidR="00255EC0" w:rsidRPr="00A909B6" w:rsidRDefault="00255EC0" w:rsidP="00A909B6">
            <w:pPr>
              <w:pStyle w:val="Tabletextnospace"/>
              <w:jc w:val="right"/>
              <w:rPr>
                <w:sz w:val="20"/>
                <w:szCs w:val="20"/>
              </w:rPr>
            </w:pPr>
            <w:r w:rsidRPr="00A909B6">
              <w:rPr>
                <w:sz w:val="20"/>
                <w:szCs w:val="20"/>
              </w:rPr>
              <w:t>number</w:t>
            </w:r>
          </w:p>
        </w:tc>
        <w:tc>
          <w:tcPr>
            <w:tcW w:w="964" w:type="dxa"/>
          </w:tcPr>
          <w:p w14:paraId="3631801F" w14:textId="77777777" w:rsidR="00255EC0" w:rsidRPr="00A909B6" w:rsidRDefault="00255EC0" w:rsidP="00A909B6">
            <w:pPr>
              <w:pStyle w:val="Tabletextnospace"/>
              <w:jc w:val="right"/>
              <w:rPr>
                <w:sz w:val="20"/>
                <w:szCs w:val="20"/>
              </w:rPr>
            </w:pPr>
            <w:r w:rsidRPr="00A909B6">
              <w:rPr>
                <w:sz w:val="20"/>
                <w:szCs w:val="20"/>
              </w:rPr>
              <w:t>229</w:t>
            </w:r>
          </w:p>
        </w:tc>
        <w:tc>
          <w:tcPr>
            <w:tcW w:w="963" w:type="dxa"/>
          </w:tcPr>
          <w:p w14:paraId="240CFBA8" w14:textId="77777777" w:rsidR="00255EC0" w:rsidRPr="00A909B6" w:rsidRDefault="00255EC0" w:rsidP="00A909B6">
            <w:pPr>
              <w:pStyle w:val="Tabletextnospace"/>
              <w:jc w:val="right"/>
              <w:rPr>
                <w:sz w:val="20"/>
                <w:szCs w:val="20"/>
              </w:rPr>
            </w:pPr>
            <w:r w:rsidRPr="00A909B6">
              <w:rPr>
                <w:sz w:val="20"/>
                <w:szCs w:val="20"/>
              </w:rPr>
              <w:t>280</w:t>
            </w:r>
          </w:p>
        </w:tc>
        <w:tc>
          <w:tcPr>
            <w:tcW w:w="1443" w:type="dxa"/>
          </w:tcPr>
          <w:p w14:paraId="211F2011" w14:textId="77777777" w:rsidR="00255EC0" w:rsidRPr="00A909B6" w:rsidRDefault="00255EC0" w:rsidP="00A909B6">
            <w:pPr>
              <w:pStyle w:val="Tabletextnospace"/>
              <w:jc w:val="right"/>
              <w:rPr>
                <w:sz w:val="20"/>
                <w:szCs w:val="20"/>
              </w:rPr>
            </w:pPr>
            <w:r w:rsidRPr="00A909B6">
              <w:rPr>
                <w:sz w:val="20"/>
                <w:szCs w:val="20"/>
              </w:rPr>
              <w:t>-18.2%</w:t>
            </w:r>
          </w:p>
        </w:tc>
        <w:tc>
          <w:tcPr>
            <w:tcW w:w="756" w:type="dxa"/>
          </w:tcPr>
          <w:p w14:paraId="421E0351" w14:textId="77777777" w:rsidR="00255EC0" w:rsidRPr="00A909B6"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A909B6">
              <w:rPr>
                <w:rFonts w:ascii="Wingdings" w:hAnsi="Wingdings" w:cs="Wingdings"/>
                <w:position w:val="-2"/>
                <w:sz w:val="20"/>
                <w:lang w:val="en-GB"/>
              </w:rPr>
              <w:t>n</w:t>
            </w:r>
          </w:p>
        </w:tc>
      </w:tr>
      <w:tr w:rsidR="00255EC0" w:rsidRPr="00A909B6" w14:paraId="44073261" w14:textId="77777777" w:rsidTr="00E8460A">
        <w:tc>
          <w:tcPr>
            <w:tcW w:w="9682" w:type="dxa"/>
            <w:gridSpan w:val="6"/>
          </w:tcPr>
          <w:p w14:paraId="78ED55F3" w14:textId="77777777" w:rsidR="00255EC0" w:rsidRPr="00A909B6" w:rsidRDefault="00255EC0" w:rsidP="00A909B6">
            <w:pPr>
              <w:pStyle w:val="Tabletextnospace"/>
              <w:rPr>
                <w:i/>
                <w:iCs/>
                <w:sz w:val="20"/>
                <w:szCs w:val="20"/>
              </w:rPr>
            </w:pPr>
            <w:r w:rsidRPr="00A909B6">
              <w:rPr>
                <w:i/>
                <w:iCs/>
                <w:sz w:val="20"/>
                <w:szCs w:val="20"/>
              </w:rPr>
              <w:t xml:space="preserve">Lower result due to the impacts of coronavirus (COVID-19) as departments and agencies not able to recruit at the same levels as prior years. </w:t>
            </w:r>
          </w:p>
        </w:tc>
      </w:tr>
      <w:tr w:rsidR="00255EC0" w:rsidRPr="00A909B6" w14:paraId="65D10A67" w14:textId="77777777" w:rsidTr="00E8460A">
        <w:tc>
          <w:tcPr>
            <w:tcW w:w="4592" w:type="dxa"/>
          </w:tcPr>
          <w:p w14:paraId="63248AAE" w14:textId="77777777" w:rsidR="00255EC0" w:rsidRPr="00A909B6" w:rsidRDefault="00255EC0" w:rsidP="00A909B6">
            <w:pPr>
              <w:pStyle w:val="Tabletextnospace"/>
              <w:rPr>
                <w:sz w:val="20"/>
                <w:szCs w:val="20"/>
              </w:rPr>
            </w:pPr>
            <w:r w:rsidRPr="00A909B6">
              <w:rPr>
                <w:sz w:val="20"/>
                <w:szCs w:val="20"/>
              </w:rPr>
              <w:t>Retrenched workers supported with employment assistance</w:t>
            </w:r>
          </w:p>
        </w:tc>
        <w:tc>
          <w:tcPr>
            <w:tcW w:w="964" w:type="dxa"/>
          </w:tcPr>
          <w:p w14:paraId="0BE90E14" w14:textId="77777777" w:rsidR="00255EC0" w:rsidRPr="00A909B6" w:rsidRDefault="00255EC0" w:rsidP="00A909B6">
            <w:pPr>
              <w:pStyle w:val="Tabletextnospace"/>
              <w:jc w:val="right"/>
              <w:rPr>
                <w:sz w:val="20"/>
                <w:szCs w:val="20"/>
              </w:rPr>
            </w:pPr>
            <w:r w:rsidRPr="00A909B6">
              <w:rPr>
                <w:sz w:val="20"/>
                <w:szCs w:val="20"/>
              </w:rPr>
              <w:t>number</w:t>
            </w:r>
          </w:p>
        </w:tc>
        <w:tc>
          <w:tcPr>
            <w:tcW w:w="964" w:type="dxa"/>
          </w:tcPr>
          <w:p w14:paraId="06CDD914" w14:textId="77777777" w:rsidR="00255EC0" w:rsidRPr="00A909B6" w:rsidRDefault="00255EC0" w:rsidP="00A909B6">
            <w:pPr>
              <w:pStyle w:val="Tabletextnospace"/>
              <w:jc w:val="right"/>
              <w:rPr>
                <w:sz w:val="20"/>
                <w:szCs w:val="20"/>
              </w:rPr>
            </w:pPr>
            <w:r w:rsidRPr="00A909B6">
              <w:rPr>
                <w:sz w:val="20"/>
                <w:szCs w:val="20"/>
              </w:rPr>
              <w:t>1929</w:t>
            </w:r>
          </w:p>
        </w:tc>
        <w:tc>
          <w:tcPr>
            <w:tcW w:w="963" w:type="dxa"/>
          </w:tcPr>
          <w:p w14:paraId="220D9681" w14:textId="77777777" w:rsidR="00255EC0" w:rsidRPr="00A909B6" w:rsidRDefault="00255EC0" w:rsidP="00A909B6">
            <w:pPr>
              <w:pStyle w:val="Tabletextnospace"/>
              <w:jc w:val="right"/>
              <w:rPr>
                <w:sz w:val="20"/>
                <w:szCs w:val="20"/>
              </w:rPr>
            </w:pPr>
            <w:r w:rsidRPr="00A909B6">
              <w:rPr>
                <w:sz w:val="20"/>
                <w:szCs w:val="20"/>
              </w:rPr>
              <w:t>2000</w:t>
            </w:r>
          </w:p>
        </w:tc>
        <w:tc>
          <w:tcPr>
            <w:tcW w:w="1443" w:type="dxa"/>
          </w:tcPr>
          <w:p w14:paraId="7E539C37" w14:textId="77777777" w:rsidR="00255EC0" w:rsidRPr="00A909B6" w:rsidRDefault="00255EC0" w:rsidP="00A909B6">
            <w:pPr>
              <w:pStyle w:val="Tabletextnospace"/>
              <w:jc w:val="right"/>
              <w:rPr>
                <w:sz w:val="20"/>
                <w:szCs w:val="20"/>
              </w:rPr>
            </w:pPr>
            <w:r w:rsidRPr="00A909B6">
              <w:rPr>
                <w:sz w:val="20"/>
                <w:szCs w:val="20"/>
              </w:rPr>
              <w:t>-3.6%</w:t>
            </w:r>
          </w:p>
        </w:tc>
        <w:tc>
          <w:tcPr>
            <w:tcW w:w="756" w:type="dxa"/>
          </w:tcPr>
          <w:p w14:paraId="689CE383" w14:textId="77777777" w:rsidR="00255EC0" w:rsidRPr="00A909B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A909B6">
              <w:rPr>
                <w:rFonts w:ascii="Wingdings 2" w:hAnsi="Wingdings 2" w:cs="Wingdings 2"/>
                <w:sz w:val="20"/>
                <w:lang w:val="en-GB"/>
              </w:rPr>
              <w:t>™</w:t>
            </w:r>
          </w:p>
        </w:tc>
      </w:tr>
      <w:tr w:rsidR="00255EC0" w:rsidRPr="00A909B6" w14:paraId="5781E990" w14:textId="77777777" w:rsidTr="00E8460A">
        <w:tc>
          <w:tcPr>
            <w:tcW w:w="4592" w:type="dxa"/>
          </w:tcPr>
          <w:p w14:paraId="1F890E40" w14:textId="77777777" w:rsidR="00255EC0" w:rsidRPr="00A909B6" w:rsidRDefault="00255EC0" w:rsidP="00A909B6">
            <w:pPr>
              <w:pStyle w:val="Tabletextnospace"/>
              <w:rPr>
                <w:sz w:val="20"/>
                <w:szCs w:val="20"/>
              </w:rPr>
            </w:pPr>
            <w:r w:rsidRPr="00A909B6">
              <w:rPr>
                <w:sz w:val="20"/>
                <w:szCs w:val="20"/>
              </w:rPr>
              <w:t xml:space="preserve">Social enterprises assisted </w:t>
            </w:r>
          </w:p>
        </w:tc>
        <w:tc>
          <w:tcPr>
            <w:tcW w:w="964" w:type="dxa"/>
          </w:tcPr>
          <w:p w14:paraId="67F47840" w14:textId="77777777" w:rsidR="00255EC0" w:rsidRPr="00A909B6" w:rsidRDefault="00255EC0" w:rsidP="00A909B6">
            <w:pPr>
              <w:pStyle w:val="Tabletextnospace"/>
              <w:jc w:val="right"/>
              <w:rPr>
                <w:sz w:val="20"/>
                <w:szCs w:val="20"/>
              </w:rPr>
            </w:pPr>
            <w:r w:rsidRPr="00A909B6">
              <w:rPr>
                <w:sz w:val="20"/>
                <w:szCs w:val="20"/>
              </w:rPr>
              <w:t>number</w:t>
            </w:r>
          </w:p>
        </w:tc>
        <w:tc>
          <w:tcPr>
            <w:tcW w:w="964" w:type="dxa"/>
          </w:tcPr>
          <w:p w14:paraId="28B628A3" w14:textId="77777777" w:rsidR="00255EC0" w:rsidRPr="00A909B6" w:rsidRDefault="00255EC0" w:rsidP="00A909B6">
            <w:pPr>
              <w:pStyle w:val="Tabletextnospace"/>
              <w:jc w:val="right"/>
              <w:rPr>
                <w:sz w:val="20"/>
                <w:szCs w:val="20"/>
              </w:rPr>
            </w:pPr>
            <w:r w:rsidRPr="00A909B6">
              <w:rPr>
                <w:sz w:val="20"/>
                <w:szCs w:val="20"/>
              </w:rPr>
              <w:t>238</w:t>
            </w:r>
          </w:p>
        </w:tc>
        <w:tc>
          <w:tcPr>
            <w:tcW w:w="963" w:type="dxa"/>
          </w:tcPr>
          <w:p w14:paraId="6F41B294" w14:textId="77777777" w:rsidR="00255EC0" w:rsidRPr="00A909B6" w:rsidRDefault="00255EC0" w:rsidP="00A909B6">
            <w:pPr>
              <w:pStyle w:val="Tabletextnospace"/>
              <w:jc w:val="right"/>
              <w:rPr>
                <w:sz w:val="20"/>
                <w:szCs w:val="20"/>
              </w:rPr>
            </w:pPr>
            <w:r w:rsidRPr="00A909B6">
              <w:rPr>
                <w:sz w:val="20"/>
                <w:szCs w:val="20"/>
              </w:rPr>
              <w:t>150</w:t>
            </w:r>
          </w:p>
        </w:tc>
        <w:tc>
          <w:tcPr>
            <w:tcW w:w="1443" w:type="dxa"/>
          </w:tcPr>
          <w:p w14:paraId="466CCEE7" w14:textId="77777777" w:rsidR="00255EC0" w:rsidRPr="00A909B6" w:rsidRDefault="00255EC0" w:rsidP="00A909B6">
            <w:pPr>
              <w:pStyle w:val="Tabletextnospace"/>
              <w:jc w:val="right"/>
              <w:rPr>
                <w:sz w:val="20"/>
                <w:szCs w:val="20"/>
              </w:rPr>
            </w:pPr>
            <w:r w:rsidRPr="00A909B6">
              <w:rPr>
                <w:sz w:val="20"/>
                <w:szCs w:val="20"/>
              </w:rPr>
              <w:t>58.7%</w:t>
            </w:r>
          </w:p>
        </w:tc>
        <w:tc>
          <w:tcPr>
            <w:tcW w:w="756" w:type="dxa"/>
          </w:tcPr>
          <w:p w14:paraId="574A4690" w14:textId="77777777" w:rsidR="00255EC0" w:rsidRPr="00A909B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A909B6">
              <w:rPr>
                <w:rFonts w:ascii="Wingdings" w:hAnsi="Wingdings" w:cs="Wingdings"/>
                <w:position w:val="-2"/>
                <w:sz w:val="20"/>
                <w:lang w:val="en-GB"/>
              </w:rPr>
              <w:t>ü</w:t>
            </w:r>
          </w:p>
        </w:tc>
      </w:tr>
      <w:tr w:rsidR="00255EC0" w:rsidRPr="00A909B6" w14:paraId="09A83CED" w14:textId="77777777" w:rsidTr="00E8460A">
        <w:tc>
          <w:tcPr>
            <w:tcW w:w="9682" w:type="dxa"/>
            <w:gridSpan w:val="6"/>
          </w:tcPr>
          <w:p w14:paraId="2DEA1EB1" w14:textId="77777777" w:rsidR="00255EC0" w:rsidRPr="00A909B6" w:rsidRDefault="00255EC0" w:rsidP="00A909B6">
            <w:pPr>
              <w:pStyle w:val="Tabletextnospace"/>
              <w:rPr>
                <w:i/>
                <w:iCs/>
                <w:sz w:val="20"/>
                <w:szCs w:val="20"/>
              </w:rPr>
            </w:pPr>
            <w:r w:rsidRPr="00A909B6">
              <w:rPr>
                <w:i/>
                <w:iCs/>
                <w:sz w:val="20"/>
                <w:szCs w:val="20"/>
              </w:rPr>
              <w:t>Higher result due to new services being offered to social enterprises by Social Traders in response to coronavirus (COVID-19); and higher than expected uptake of membership of the Victorian Social Enterprise Network.</w:t>
            </w:r>
          </w:p>
        </w:tc>
      </w:tr>
      <w:tr w:rsidR="00255EC0" w:rsidRPr="00A909B6" w14:paraId="57DAF4D1" w14:textId="77777777" w:rsidTr="00E8460A">
        <w:tc>
          <w:tcPr>
            <w:tcW w:w="4592" w:type="dxa"/>
          </w:tcPr>
          <w:p w14:paraId="163614A9" w14:textId="77777777" w:rsidR="00255EC0" w:rsidRPr="00A909B6" w:rsidRDefault="00255EC0" w:rsidP="00A909B6">
            <w:pPr>
              <w:pStyle w:val="Tabletextnospace"/>
              <w:rPr>
                <w:sz w:val="20"/>
                <w:szCs w:val="20"/>
              </w:rPr>
            </w:pPr>
            <w:r w:rsidRPr="00A909B6">
              <w:rPr>
                <w:sz w:val="20"/>
                <w:szCs w:val="20"/>
              </w:rPr>
              <w:t>Victoria’s market share of nominated investor</w:t>
            </w:r>
            <w:r w:rsidRPr="00A909B6">
              <w:rPr>
                <w:sz w:val="20"/>
                <w:szCs w:val="20"/>
              </w:rPr>
              <w:br/>
              <w:t xml:space="preserve">and business migrants </w:t>
            </w:r>
          </w:p>
        </w:tc>
        <w:tc>
          <w:tcPr>
            <w:tcW w:w="964" w:type="dxa"/>
          </w:tcPr>
          <w:p w14:paraId="33C35297" w14:textId="77777777" w:rsidR="00255EC0" w:rsidRPr="00A909B6" w:rsidRDefault="00255EC0" w:rsidP="00A909B6">
            <w:pPr>
              <w:pStyle w:val="Tabletextnospace"/>
              <w:jc w:val="right"/>
              <w:rPr>
                <w:sz w:val="20"/>
                <w:szCs w:val="20"/>
              </w:rPr>
            </w:pPr>
            <w:r w:rsidRPr="00A909B6">
              <w:rPr>
                <w:sz w:val="20"/>
                <w:szCs w:val="20"/>
              </w:rPr>
              <w:t>per cent</w:t>
            </w:r>
          </w:p>
        </w:tc>
        <w:tc>
          <w:tcPr>
            <w:tcW w:w="964" w:type="dxa"/>
          </w:tcPr>
          <w:p w14:paraId="6744315C" w14:textId="77777777" w:rsidR="00255EC0" w:rsidRPr="00A909B6" w:rsidRDefault="00255EC0" w:rsidP="00A909B6">
            <w:pPr>
              <w:pStyle w:val="Tabletextnospace"/>
              <w:jc w:val="right"/>
              <w:rPr>
                <w:sz w:val="20"/>
                <w:szCs w:val="20"/>
              </w:rPr>
            </w:pPr>
            <w:r w:rsidRPr="00A909B6">
              <w:rPr>
                <w:sz w:val="20"/>
                <w:szCs w:val="20"/>
              </w:rPr>
              <w:t>38</w:t>
            </w:r>
          </w:p>
        </w:tc>
        <w:tc>
          <w:tcPr>
            <w:tcW w:w="963" w:type="dxa"/>
          </w:tcPr>
          <w:p w14:paraId="3E2693B4" w14:textId="77777777" w:rsidR="00255EC0" w:rsidRPr="00A909B6" w:rsidRDefault="00255EC0" w:rsidP="00A909B6">
            <w:pPr>
              <w:pStyle w:val="Tabletextnospace"/>
              <w:jc w:val="right"/>
              <w:rPr>
                <w:sz w:val="20"/>
                <w:szCs w:val="20"/>
              </w:rPr>
            </w:pPr>
            <w:r w:rsidRPr="00A909B6">
              <w:rPr>
                <w:sz w:val="20"/>
                <w:szCs w:val="20"/>
              </w:rPr>
              <w:t>45</w:t>
            </w:r>
          </w:p>
        </w:tc>
        <w:tc>
          <w:tcPr>
            <w:tcW w:w="1443" w:type="dxa"/>
          </w:tcPr>
          <w:p w14:paraId="68FD2ED7" w14:textId="77777777" w:rsidR="00255EC0" w:rsidRPr="00A909B6" w:rsidRDefault="00255EC0" w:rsidP="00A909B6">
            <w:pPr>
              <w:pStyle w:val="Tabletextnospace"/>
              <w:jc w:val="right"/>
              <w:rPr>
                <w:sz w:val="20"/>
                <w:szCs w:val="20"/>
              </w:rPr>
            </w:pPr>
            <w:r w:rsidRPr="00A909B6">
              <w:rPr>
                <w:sz w:val="20"/>
                <w:szCs w:val="20"/>
              </w:rPr>
              <w:t>-15.6%</w:t>
            </w:r>
          </w:p>
        </w:tc>
        <w:tc>
          <w:tcPr>
            <w:tcW w:w="756" w:type="dxa"/>
          </w:tcPr>
          <w:p w14:paraId="53FACEC3" w14:textId="77777777" w:rsidR="00255EC0" w:rsidRPr="00A909B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A909B6">
              <w:rPr>
                <w:rFonts w:ascii="Wingdings" w:hAnsi="Wingdings" w:cs="Wingdings"/>
                <w:position w:val="-2"/>
                <w:sz w:val="20"/>
                <w:lang w:val="en-GB"/>
              </w:rPr>
              <w:t>n</w:t>
            </w:r>
          </w:p>
        </w:tc>
      </w:tr>
      <w:tr w:rsidR="00255EC0" w:rsidRPr="00A909B6" w14:paraId="36DEB5C8" w14:textId="77777777" w:rsidTr="00E8460A">
        <w:tc>
          <w:tcPr>
            <w:tcW w:w="9682" w:type="dxa"/>
            <w:gridSpan w:val="6"/>
          </w:tcPr>
          <w:p w14:paraId="05EED7F0" w14:textId="77777777" w:rsidR="00255EC0" w:rsidRPr="00A909B6" w:rsidRDefault="00255EC0" w:rsidP="00A909B6">
            <w:pPr>
              <w:pStyle w:val="Tabletextnospace"/>
              <w:rPr>
                <w:i/>
                <w:iCs/>
                <w:sz w:val="20"/>
                <w:szCs w:val="20"/>
              </w:rPr>
            </w:pPr>
            <w:r w:rsidRPr="00A909B6">
              <w:rPr>
                <w:i/>
                <w:iCs/>
                <w:sz w:val="20"/>
                <w:szCs w:val="20"/>
              </w:rPr>
              <w:t xml:space="preserve">Lower result due to the increase in the overall size of the business migrant cohort in Australia, leading to a lower market share for Victoria. In addition, other jurisdictions (e.g. NSW, </w:t>
            </w:r>
            <w:proofErr w:type="gramStart"/>
            <w:r w:rsidRPr="00A909B6">
              <w:rPr>
                <w:i/>
                <w:iCs/>
                <w:sz w:val="20"/>
                <w:szCs w:val="20"/>
              </w:rPr>
              <w:t>SA</w:t>
            </w:r>
            <w:proofErr w:type="gramEnd"/>
            <w:r w:rsidRPr="00A909B6">
              <w:rPr>
                <w:i/>
                <w:iCs/>
                <w:sz w:val="20"/>
                <w:szCs w:val="20"/>
              </w:rPr>
              <w:t xml:space="preserve"> and QLD) have become more active participants in the business and investor program. </w:t>
            </w:r>
          </w:p>
        </w:tc>
      </w:tr>
      <w:tr w:rsidR="00255EC0" w:rsidRPr="00A909B6" w14:paraId="5C329087" w14:textId="77777777" w:rsidTr="00E8460A">
        <w:tc>
          <w:tcPr>
            <w:tcW w:w="9682" w:type="dxa"/>
            <w:gridSpan w:val="6"/>
          </w:tcPr>
          <w:p w14:paraId="18F077D9" w14:textId="77777777" w:rsidR="00255EC0" w:rsidRPr="00A909B6" w:rsidRDefault="00255EC0" w:rsidP="00A909B6">
            <w:pPr>
              <w:pStyle w:val="Tabletextnospace"/>
              <w:rPr>
                <w:b/>
                <w:bCs/>
                <w:sz w:val="20"/>
                <w:szCs w:val="20"/>
              </w:rPr>
            </w:pPr>
            <w:r w:rsidRPr="00A909B6">
              <w:rPr>
                <w:b/>
                <w:bCs/>
                <w:sz w:val="20"/>
                <w:szCs w:val="20"/>
              </w:rPr>
              <w:t>Quality</w:t>
            </w:r>
          </w:p>
        </w:tc>
      </w:tr>
      <w:tr w:rsidR="00255EC0" w:rsidRPr="00A909B6" w14:paraId="240A73F9" w14:textId="77777777" w:rsidTr="00E8460A">
        <w:tc>
          <w:tcPr>
            <w:tcW w:w="4592" w:type="dxa"/>
          </w:tcPr>
          <w:p w14:paraId="1ADF7CF0" w14:textId="77777777" w:rsidR="00255EC0" w:rsidRPr="00A909B6" w:rsidRDefault="00255EC0" w:rsidP="00A909B6">
            <w:pPr>
              <w:pStyle w:val="Tabletextnospace"/>
              <w:rPr>
                <w:sz w:val="20"/>
                <w:szCs w:val="20"/>
              </w:rPr>
            </w:pPr>
            <w:r w:rsidRPr="00A909B6">
              <w:rPr>
                <w:sz w:val="20"/>
                <w:szCs w:val="20"/>
              </w:rPr>
              <w:t>Client satisfaction with investor, business and skilled migration services provided</w:t>
            </w:r>
          </w:p>
        </w:tc>
        <w:tc>
          <w:tcPr>
            <w:tcW w:w="964" w:type="dxa"/>
          </w:tcPr>
          <w:p w14:paraId="0AC8BA43" w14:textId="77777777" w:rsidR="00255EC0" w:rsidRPr="00A909B6" w:rsidRDefault="00255EC0" w:rsidP="00A909B6">
            <w:pPr>
              <w:pStyle w:val="Tabletextnospace"/>
              <w:jc w:val="right"/>
              <w:rPr>
                <w:sz w:val="20"/>
                <w:szCs w:val="20"/>
              </w:rPr>
            </w:pPr>
            <w:r w:rsidRPr="00A909B6">
              <w:rPr>
                <w:sz w:val="20"/>
                <w:szCs w:val="20"/>
              </w:rPr>
              <w:t>per cent</w:t>
            </w:r>
          </w:p>
        </w:tc>
        <w:tc>
          <w:tcPr>
            <w:tcW w:w="964" w:type="dxa"/>
          </w:tcPr>
          <w:p w14:paraId="519E6339" w14:textId="77777777" w:rsidR="00255EC0" w:rsidRPr="00A909B6" w:rsidRDefault="00255EC0" w:rsidP="00A909B6">
            <w:pPr>
              <w:pStyle w:val="Tabletextnospace"/>
              <w:jc w:val="right"/>
              <w:rPr>
                <w:sz w:val="20"/>
                <w:szCs w:val="20"/>
              </w:rPr>
            </w:pPr>
            <w:r w:rsidRPr="00A909B6">
              <w:rPr>
                <w:sz w:val="20"/>
                <w:szCs w:val="20"/>
              </w:rPr>
              <w:t>90</w:t>
            </w:r>
          </w:p>
        </w:tc>
        <w:tc>
          <w:tcPr>
            <w:tcW w:w="963" w:type="dxa"/>
          </w:tcPr>
          <w:p w14:paraId="4451551A" w14:textId="77777777" w:rsidR="00255EC0" w:rsidRPr="00A909B6" w:rsidRDefault="00255EC0" w:rsidP="00A909B6">
            <w:pPr>
              <w:pStyle w:val="Tabletextnospace"/>
              <w:jc w:val="right"/>
              <w:rPr>
                <w:sz w:val="20"/>
                <w:szCs w:val="20"/>
              </w:rPr>
            </w:pPr>
            <w:r w:rsidRPr="00A909B6">
              <w:rPr>
                <w:sz w:val="20"/>
                <w:szCs w:val="20"/>
              </w:rPr>
              <w:t>85</w:t>
            </w:r>
          </w:p>
        </w:tc>
        <w:tc>
          <w:tcPr>
            <w:tcW w:w="1443" w:type="dxa"/>
          </w:tcPr>
          <w:p w14:paraId="7F3AA6A6" w14:textId="77777777" w:rsidR="00255EC0" w:rsidRPr="00A909B6" w:rsidRDefault="00255EC0" w:rsidP="00A909B6">
            <w:pPr>
              <w:pStyle w:val="Tabletextnospace"/>
              <w:jc w:val="right"/>
              <w:rPr>
                <w:sz w:val="20"/>
                <w:szCs w:val="20"/>
              </w:rPr>
            </w:pPr>
            <w:r w:rsidRPr="00A909B6">
              <w:rPr>
                <w:sz w:val="20"/>
                <w:szCs w:val="20"/>
              </w:rPr>
              <w:t>5.9%</w:t>
            </w:r>
          </w:p>
        </w:tc>
        <w:tc>
          <w:tcPr>
            <w:tcW w:w="756" w:type="dxa"/>
          </w:tcPr>
          <w:p w14:paraId="08183734" w14:textId="77777777" w:rsidR="00255EC0" w:rsidRPr="00A909B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A909B6">
              <w:rPr>
                <w:rFonts w:ascii="Wingdings" w:hAnsi="Wingdings" w:cs="Wingdings"/>
                <w:position w:val="-2"/>
                <w:sz w:val="20"/>
                <w:lang w:val="en-GB"/>
              </w:rPr>
              <w:t>ü</w:t>
            </w:r>
          </w:p>
        </w:tc>
      </w:tr>
      <w:tr w:rsidR="00255EC0" w:rsidRPr="00A909B6" w14:paraId="3CFC758D" w14:textId="77777777" w:rsidTr="00E8460A">
        <w:tc>
          <w:tcPr>
            <w:tcW w:w="9682" w:type="dxa"/>
            <w:gridSpan w:val="6"/>
          </w:tcPr>
          <w:p w14:paraId="400FE622" w14:textId="4975BEE6" w:rsidR="00255EC0" w:rsidRPr="00A909B6" w:rsidRDefault="00255EC0" w:rsidP="00A909B6">
            <w:pPr>
              <w:pStyle w:val="Tabletextnospace"/>
              <w:rPr>
                <w:i/>
                <w:iCs/>
                <w:sz w:val="20"/>
                <w:szCs w:val="20"/>
              </w:rPr>
            </w:pPr>
            <w:r w:rsidRPr="00A909B6">
              <w:rPr>
                <w:i/>
                <w:iCs/>
                <w:sz w:val="20"/>
                <w:szCs w:val="20"/>
              </w:rPr>
              <w:t xml:space="preserve">Higher result due to stronger satisfaction from the skilled migrant cohorts surveyed. Compared to results from last year, there was </w:t>
            </w:r>
            <w:r w:rsidR="00A909B6">
              <w:rPr>
                <w:i/>
                <w:iCs/>
                <w:sz w:val="20"/>
                <w:szCs w:val="20"/>
              </w:rPr>
              <w:t xml:space="preserve"> </w:t>
            </w:r>
            <w:r w:rsidRPr="00A909B6">
              <w:rPr>
                <w:i/>
                <w:iCs/>
                <w:sz w:val="20"/>
                <w:szCs w:val="20"/>
              </w:rPr>
              <w:t>a significant improvement in satisfaction with the client experience with the Skilled and Business Migration Program, including knowledge of the nomination/migration process, and the accuracy of information or advice received.</w:t>
            </w:r>
          </w:p>
        </w:tc>
      </w:tr>
      <w:tr w:rsidR="00255EC0" w:rsidRPr="00A909B6" w14:paraId="1139A3E0" w14:textId="77777777" w:rsidTr="00E8460A">
        <w:tc>
          <w:tcPr>
            <w:tcW w:w="9682" w:type="dxa"/>
            <w:gridSpan w:val="6"/>
          </w:tcPr>
          <w:p w14:paraId="3C367BD6" w14:textId="77777777" w:rsidR="00255EC0" w:rsidRPr="00A909B6" w:rsidRDefault="00255EC0" w:rsidP="00A909B6">
            <w:pPr>
              <w:pStyle w:val="Tabletextnospace"/>
              <w:keepNext/>
              <w:rPr>
                <w:b/>
                <w:bCs/>
                <w:sz w:val="20"/>
                <w:szCs w:val="20"/>
              </w:rPr>
            </w:pPr>
            <w:r w:rsidRPr="00A909B6">
              <w:rPr>
                <w:b/>
                <w:bCs/>
                <w:sz w:val="20"/>
                <w:szCs w:val="20"/>
              </w:rPr>
              <w:lastRenderedPageBreak/>
              <w:t>Timeliness</w:t>
            </w:r>
          </w:p>
        </w:tc>
      </w:tr>
      <w:tr w:rsidR="00255EC0" w:rsidRPr="00A909B6" w14:paraId="14167078" w14:textId="77777777" w:rsidTr="00E8460A">
        <w:tc>
          <w:tcPr>
            <w:tcW w:w="4592" w:type="dxa"/>
          </w:tcPr>
          <w:p w14:paraId="6B5087C3" w14:textId="77777777" w:rsidR="00255EC0" w:rsidRPr="00A909B6" w:rsidRDefault="00255EC0" w:rsidP="00A909B6">
            <w:pPr>
              <w:pStyle w:val="Tabletextnospace"/>
              <w:rPr>
                <w:sz w:val="20"/>
                <w:szCs w:val="20"/>
              </w:rPr>
            </w:pPr>
            <w:r w:rsidRPr="00A909B6">
              <w:rPr>
                <w:sz w:val="20"/>
                <w:szCs w:val="20"/>
              </w:rPr>
              <w:t xml:space="preserve">Average processing time for investor, </w:t>
            </w:r>
            <w:proofErr w:type="gramStart"/>
            <w:r w:rsidRPr="00A909B6">
              <w:rPr>
                <w:sz w:val="20"/>
                <w:szCs w:val="20"/>
              </w:rPr>
              <w:t>business</w:t>
            </w:r>
            <w:proofErr w:type="gramEnd"/>
            <w:r w:rsidRPr="00A909B6">
              <w:rPr>
                <w:sz w:val="20"/>
                <w:szCs w:val="20"/>
              </w:rPr>
              <w:t xml:space="preserve"> and skilled migration visa nomination applications</w:t>
            </w:r>
          </w:p>
        </w:tc>
        <w:tc>
          <w:tcPr>
            <w:tcW w:w="964" w:type="dxa"/>
          </w:tcPr>
          <w:p w14:paraId="0B75374F" w14:textId="77777777" w:rsidR="00255EC0" w:rsidRPr="00A909B6" w:rsidRDefault="00255EC0" w:rsidP="00A909B6">
            <w:pPr>
              <w:pStyle w:val="Tabletextnospace"/>
              <w:rPr>
                <w:sz w:val="20"/>
                <w:szCs w:val="20"/>
              </w:rPr>
            </w:pPr>
            <w:r w:rsidRPr="00A909B6">
              <w:rPr>
                <w:sz w:val="20"/>
                <w:szCs w:val="20"/>
              </w:rPr>
              <w:t>days</w:t>
            </w:r>
          </w:p>
        </w:tc>
        <w:tc>
          <w:tcPr>
            <w:tcW w:w="964" w:type="dxa"/>
          </w:tcPr>
          <w:p w14:paraId="2AD781BB" w14:textId="77777777" w:rsidR="00255EC0" w:rsidRPr="00A909B6" w:rsidRDefault="00255EC0" w:rsidP="00A909B6">
            <w:pPr>
              <w:pStyle w:val="Tabletextnospace"/>
              <w:rPr>
                <w:sz w:val="20"/>
                <w:szCs w:val="20"/>
              </w:rPr>
            </w:pPr>
            <w:r w:rsidRPr="00A909B6">
              <w:rPr>
                <w:sz w:val="20"/>
                <w:szCs w:val="20"/>
              </w:rPr>
              <w:t>23</w:t>
            </w:r>
          </w:p>
        </w:tc>
        <w:tc>
          <w:tcPr>
            <w:tcW w:w="963" w:type="dxa"/>
          </w:tcPr>
          <w:p w14:paraId="2898A6F8" w14:textId="77777777" w:rsidR="00255EC0" w:rsidRPr="00A909B6" w:rsidRDefault="00255EC0" w:rsidP="00A909B6">
            <w:pPr>
              <w:pStyle w:val="Tabletextnospace"/>
              <w:rPr>
                <w:sz w:val="20"/>
                <w:szCs w:val="20"/>
              </w:rPr>
            </w:pPr>
            <w:r w:rsidRPr="00A909B6">
              <w:rPr>
                <w:sz w:val="20"/>
                <w:szCs w:val="20"/>
              </w:rPr>
              <w:t>20</w:t>
            </w:r>
          </w:p>
        </w:tc>
        <w:tc>
          <w:tcPr>
            <w:tcW w:w="1443" w:type="dxa"/>
          </w:tcPr>
          <w:p w14:paraId="034A4F3D" w14:textId="77777777" w:rsidR="00255EC0" w:rsidRPr="00A909B6" w:rsidRDefault="00255EC0" w:rsidP="00A909B6">
            <w:pPr>
              <w:pStyle w:val="Tabletextnospace"/>
              <w:rPr>
                <w:sz w:val="20"/>
                <w:szCs w:val="20"/>
              </w:rPr>
            </w:pPr>
            <w:r w:rsidRPr="00A909B6">
              <w:rPr>
                <w:sz w:val="20"/>
                <w:szCs w:val="20"/>
              </w:rPr>
              <w:t>15.0%</w:t>
            </w:r>
          </w:p>
        </w:tc>
        <w:tc>
          <w:tcPr>
            <w:tcW w:w="756" w:type="dxa"/>
          </w:tcPr>
          <w:p w14:paraId="54CE9427" w14:textId="77777777" w:rsidR="00255EC0" w:rsidRPr="00A909B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A909B6">
              <w:rPr>
                <w:rFonts w:ascii="Wingdings" w:hAnsi="Wingdings" w:cs="Wingdings"/>
                <w:position w:val="-2"/>
                <w:sz w:val="20"/>
                <w:lang w:val="en-GB"/>
              </w:rPr>
              <w:t>n</w:t>
            </w:r>
          </w:p>
        </w:tc>
      </w:tr>
      <w:tr w:rsidR="00255EC0" w:rsidRPr="00A909B6" w14:paraId="692C8AD4" w14:textId="77777777" w:rsidTr="00E8460A">
        <w:tc>
          <w:tcPr>
            <w:tcW w:w="9682" w:type="dxa"/>
            <w:gridSpan w:val="6"/>
          </w:tcPr>
          <w:p w14:paraId="3BE55CF9" w14:textId="77777777" w:rsidR="00255EC0" w:rsidRPr="00A909B6" w:rsidRDefault="00255EC0" w:rsidP="00A909B6">
            <w:pPr>
              <w:pStyle w:val="Tabletextnospace"/>
              <w:rPr>
                <w:i/>
                <w:iCs/>
                <w:sz w:val="20"/>
                <w:szCs w:val="20"/>
              </w:rPr>
            </w:pPr>
            <w:r w:rsidRPr="00A909B6">
              <w:rPr>
                <w:i/>
                <w:iCs/>
                <w:sz w:val="20"/>
                <w:szCs w:val="20"/>
              </w:rPr>
              <w:t xml:space="preserve">Higher result due to a surge in visa nomination applications due to coronavirus (COVID-19) travel restrictions. </w:t>
            </w:r>
          </w:p>
        </w:tc>
      </w:tr>
      <w:tr w:rsidR="00255EC0" w:rsidRPr="00A909B6" w14:paraId="0B6B6147" w14:textId="77777777" w:rsidTr="00E8460A">
        <w:tc>
          <w:tcPr>
            <w:tcW w:w="9682" w:type="dxa"/>
            <w:gridSpan w:val="6"/>
          </w:tcPr>
          <w:p w14:paraId="6CD6E711" w14:textId="77777777" w:rsidR="00255EC0" w:rsidRPr="00A909B6" w:rsidRDefault="00255EC0" w:rsidP="00A909B6">
            <w:pPr>
              <w:pStyle w:val="Tabletextnospace"/>
              <w:rPr>
                <w:b/>
                <w:bCs/>
                <w:sz w:val="20"/>
                <w:szCs w:val="20"/>
              </w:rPr>
            </w:pPr>
            <w:r w:rsidRPr="00A909B6">
              <w:rPr>
                <w:b/>
                <w:bCs/>
                <w:sz w:val="20"/>
                <w:szCs w:val="20"/>
              </w:rPr>
              <w:t>Cost</w:t>
            </w:r>
          </w:p>
        </w:tc>
      </w:tr>
      <w:tr w:rsidR="00255EC0" w:rsidRPr="00A909B6" w14:paraId="2E07A30C" w14:textId="77777777" w:rsidTr="00E8460A">
        <w:tc>
          <w:tcPr>
            <w:tcW w:w="4592" w:type="dxa"/>
          </w:tcPr>
          <w:p w14:paraId="317F9C10" w14:textId="77777777" w:rsidR="00255EC0" w:rsidRPr="00A909B6" w:rsidRDefault="00255EC0" w:rsidP="00A909B6">
            <w:pPr>
              <w:pStyle w:val="Tabletextnospace"/>
              <w:rPr>
                <w:b/>
                <w:bCs/>
                <w:sz w:val="20"/>
                <w:szCs w:val="20"/>
              </w:rPr>
            </w:pPr>
            <w:r w:rsidRPr="00A909B6">
              <w:rPr>
                <w:b/>
                <w:bCs/>
                <w:sz w:val="20"/>
                <w:szCs w:val="20"/>
              </w:rPr>
              <w:t>Total output cost</w:t>
            </w:r>
          </w:p>
        </w:tc>
        <w:tc>
          <w:tcPr>
            <w:tcW w:w="964" w:type="dxa"/>
          </w:tcPr>
          <w:p w14:paraId="0792DF4B" w14:textId="77777777" w:rsidR="00255EC0" w:rsidRPr="00A909B6" w:rsidRDefault="00255EC0" w:rsidP="00A909B6">
            <w:pPr>
              <w:pStyle w:val="Tabletextnospace"/>
              <w:rPr>
                <w:b/>
                <w:bCs/>
                <w:sz w:val="20"/>
                <w:szCs w:val="20"/>
              </w:rPr>
            </w:pPr>
            <w:r w:rsidRPr="00A909B6">
              <w:rPr>
                <w:b/>
                <w:bCs/>
                <w:sz w:val="20"/>
                <w:szCs w:val="20"/>
              </w:rPr>
              <w:t>$ million</w:t>
            </w:r>
          </w:p>
        </w:tc>
        <w:tc>
          <w:tcPr>
            <w:tcW w:w="964" w:type="dxa"/>
          </w:tcPr>
          <w:p w14:paraId="288CECAE" w14:textId="77777777" w:rsidR="00255EC0" w:rsidRPr="00A909B6" w:rsidRDefault="00255EC0" w:rsidP="00A909B6">
            <w:pPr>
              <w:pStyle w:val="Tabletextnospace"/>
              <w:rPr>
                <w:b/>
                <w:bCs/>
                <w:sz w:val="20"/>
                <w:szCs w:val="20"/>
              </w:rPr>
            </w:pPr>
            <w:r w:rsidRPr="00A909B6">
              <w:rPr>
                <w:b/>
                <w:bCs/>
                <w:sz w:val="20"/>
                <w:szCs w:val="20"/>
              </w:rPr>
              <w:t>1159.4</w:t>
            </w:r>
          </w:p>
        </w:tc>
        <w:tc>
          <w:tcPr>
            <w:tcW w:w="963" w:type="dxa"/>
          </w:tcPr>
          <w:p w14:paraId="41609E09" w14:textId="77777777" w:rsidR="00255EC0" w:rsidRPr="00A909B6" w:rsidRDefault="00255EC0" w:rsidP="00A909B6">
            <w:pPr>
              <w:pStyle w:val="Tabletextnospace"/>
              <w:rPr>
                <w:b/>
                <w:bCs/>
                <w:sz w:val="20"/>
                <w:szCs w:val="20"/>
              </w:rPr>
            </w:pPr>
            <w:r w:rsidRPr="00A909B6">
              <w:rPr>
                <w:b/>
                <w:bCs/>
                <w:sz w:val="20"/>
                <w:szCs w:val="20"/>
              </w:rPr>
              <w:t>131.1</w:t>
            </w:r>
          </w:p>
        </w:tc>
        <w:tc>
          <w:tcPr>
            <w:tcW w:w="1443" w:type="dxa"/>
          </w:tcPr>
          <w:p w14:paraId="329B9C68" w14:textId="77777777" w:rsidR="00255EC0" w:rsidRPr="00A909B6" w:rsidRDefault="00255EC0" w:rsidP="00A909B6">
            <w:pPr>
              <w:pStyle w:val="Tabletextnospace"/>
              <w:rPr>
                <w:b/>
                <w:bCs/>
                <w:sz w:val="20"/>
                <w:szCs w:val="20"/>
              </w:rPr>
            </w:pPr>
            <w:r w:rsidRPr="00A909B6">
              <w:rPr>
                <w:b/>
                <w:bCs/>
                <w:sz w:val="20"/>
                <w:szCs w:val="20"/>
              </w:rPr>
              <w:t>784.0%</w:t>
            </w:r>
          </w:p>
        </w:tc>
        <w:tc>
          <w:tcPr>
            <w:tcW w:w="756" w:type="dxa"/>
          </w:tcPr>
          <w:p w14:paraId="16CC1328" w14:textId="77777777" w:rsidR="00255EC0" w:rsidRPr="00A909B6" w:rsidRDefault="00255EC0" w:rsidP="00255EC0">
            <w:pPr>
              <w:suppressAutoHyphens/>
              <w:autoSpaceDE w:val="0"/>
              <w:autoSpaceDN w:val="0"/>
              <w:adjustRightInd w:val="0"/>
              <w:spacing w:after="113" w:line="220" w:lineRule="atLeast"/>
              <w:jc w:val="right"/>
              <w:textAlignment w:val="center"/>
              <w:rPr>
                <w:rFonts w:ascii="VIC Light" w:hAnsi="VIC Light" w:cs="VIC Light"/>
                <w:b/>
                <w:bCs/>
                <w:sz w:val="20"/>
                <w:lang w:val="en-GB"/>
              </w:rPr>
            </w:pPr>
            <w:r w:rsidRPr="00A909B6">
              <w:rPr>
                <w:rFonts w:ascii="Wingdings" w:hAnsi="Wingdings" w:cs="Wingdings"/>
                <w:b/>
                <w:bCs/>
                <w:position w:val="-2"/>
                <w:sz w:val="20"/>
                <w:lang w:val="en-GB"/>
              </w:rPr>
              <w:t>n</w:t>
            </w:r>
          </w:p>
        </w:tc>
      </w:tr>
      <w:tr w:rsidR="00255EC0" w:rsidRPr="00A909B6" w14:paraId="011B96CC" w14:textId="77777777" w:rsidTr="00E8460A">
        <w:tc>
          <w:tcPr>
            <w:tcW w:w="9682" w:type="dxa"/>
            <w:gridSpan w:val="6"/>
          </w:tcPr>
          <w:p w14:paraId="7606E211" w14:textId="77777777" w:rsidR="00255EC0" w:rsidRPr="00A909B6" w:rsidRDefault="00255EC0" w:rsidP="00A909B6">
            <w:pPr>
              <w:pStyle w:val="Tabletextnospace"/>
              <w:rPr>
                <w:i/>
                <w:iCs/>
                <w:sz w:val="20"/>
                <w:szCs w:val="20"/>
              </w:rPr>
            </w:pPr>
            <w:r w:rsidRPr="00A909B6">
              <w:rPr>
                <w:i/>
                <w:iCs/>
                <w:sz w:val="20"/>
                <w:szCs w:val="20"/>
              </w:rPr>
              <w:t>The 2019–20 result was higher than budget primarily due to additional funding for the Business Support Fund, Economic Survival Package and Working for Victoria Fund.</w:t>
            </w:r>
          </w:p>
        </w:tc>
      </w:tr>
      <w:tr w:rsidR="00255EC0" w:rsidRPr="00255EC0" w14:paraId="0C8BA2A7" w14:textId="77777777" w:rsidTr="00E8460A">
        <w:tc>
          <w:tcPr>
            <w:tcW w:w="9682" w:type="dxa"/>
            <w:gridSpan w:val="6"/>
          </w:tcPr>
          <w:p w14:paraId="1A74C3E3" w14:textId="77777777" w:rsidR="00255EC0" w:rsidRPr="00255EC0" w:rsidRDefault="00255EC0" w:rsidP="00A909B6">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63EB8EB6" w14:textId="77777777" w:rsidR="00255EC0" w:rsidRPr="00255EC0" w:rsidRDefault="00255EC0" w:rsidP="00A909B6">
      <w:pPr>
        <w:pStyle w:val="Body"/>
      </w:pPr>
    </w:p>
    <w:p w14:paraId="5ECEBA7D" w14:textId="77777777" w:rsidR="00255EC0" w:rsidRPr="00255EC0" w:rsidRDefault="00255EC0" w:rsidP="00A909B6">
      <w:pPr>
        <w:pStyle w:val="Heading3"/>
      </w:pPr>
      <w:r w:rsidRPr="00255EC0">
        <w:t>Objective 2: Foster a competitive business environment</w:t>
      </w:r>
    </w:p>
    <w:p w14:paraId="3BD531D1" w14:textId="3355F595" w:rsidR="00255EC0" w:rsidRPr="00255EC0" w:rsidRDefault="00255EC0" w:rsidP="00A909B6">
      <w:pPr>
        <w:pStyle w:val="Body"/>
      </w:pPr>
      <w:r w:rsidRPr="00255EC0">
        <w:t>This objective seeks to grow Victorian industries and businesses by working with priority industry sectors, supporting growth and innovation opportunities for industry, supporting start-ups and small businesses,</w:t>
      </w:r>
      <w:r w:rsidR="00A909B6">
        <w:t xml:space="preserve"> </w:t>
      </w:r>
      <w:r w:rsidRPr="00255EC0">
        <w:t>and assisting industries in transition.</w:t>
      </w:r>
    </w:p>
    <w:p w14:paraId="73B2F0B4" w14:textId="3BA75890" w:rsidR="00255EC0" w:rsidRPr="00255EC0" w:rsidRDefault="00255EC0" w:rsidP="00A909B6">
      <w:pPr>
        <w:pStyle w:val="Heading3"/>
      </w:pPr>
      <w:r w:rsidRPr="00255EC0">
        <w:t>Progress towards achieving</w:t>
      </w:r>
      <w:r w:rsidR="00A909B6">
        <w:t xml:space="preserve"> </w:t>
      </w:r>
      <w:r w:rsidRPr="00255EC0">
        <w:t>this objective</w:t>
      </w:r>
    </w:p>
    <w:p w14:paraId="32C92C97" w14:textId="157BE526" w:rsidR="00255EC0" w:rsidRPr="00255EC0" w:rsidRDefault="00255EC0" w:rsidP="00A909B6">
      <w:pPr>
        <w:pStyle w:val="Body"/>
      </w:pPr>
      <w:r w:rsidRPr="00255EC0">
        <w:t>In 2019–20, the department reported progress against this objective using the following</w:t>
      </w:r>
      <w:r w:rsidR="00A909B6">
        <w:t xml:space="preserve"> </w:t>
      </w:r>
      <w:r w:rsidRPr="00255EC0">
        <w:t>objective indicators and outputs:</w:t>
      </w:r>
    </w:p>
    <w:p w14:paraId="6AC078CA" w14:textId="77777777" w:rsidR="00255EC0" w:rsidRPr="00255EC0" w:rsidRDefault="00255EC0" w:rsidP="00A909B6">
      <w:pPr>
        <w:pStyle w:val="Heading4"/>
      </w:pPr>
      <w:r w:rsidRPr="00255EC0">
        <w:t>Objective Indicators</w:t>
      </w:r>
    </w:p>
    <w:p w14:paraId="74E6D8B6" w14:textId="77777777" w:rsidR="00255EC0" w:rsidRPr="00255EC0" w:rsidRDefault="00255EC0" w:rsidP="00DA3827">
      <w:pPr>
        <w:pStyle w:val="L1Bullets"/>
      </w:pPr>
      <w:r w:rsidRPr="00255EC0">
        <w:t>Change in Victoria’s real gross state product</w:t>
      </w:r>
    </w:p>
    <w:p w14:paraId="5714BD92" w14:textId="77777777" w:rsidR="00255EC0" w:rsidRPr="00255EC0" w:rsidRDefault="00255EC0" w:rsidP="00DA3827">
      <w:pPr>
        <w:pStyle w:val="L1Bulletslast"/>
      </w:pPr>
      <w:r w:rsidRPr="00255EC0">
        <w:t>Engagement with businesses</w:t>
      </w:r>
    </w:p>
    <w:p w14:paraId="51B962D4" w14:textId="77777777" w:rsidR="00255EC0" w:rsidRPr="00DA3827" w:rsidRDefault="00255EC0" w:rsidP="00DA3827">
      <w:pPr>
        <w:pStyle w:val="Heading4"/>
      </w:pPr>
      <w:r w:rsidRPr="00DA3827">
        <w:t>Outputs</w:t>
      </w:r>
    </w:p>
    <w:p w14:paraId="50114238" w14:textId="77777777" w:rsidR="00255EC0" w:rsidRPr="00255EC0" w:rsidRDefault="00255EC0" w:rsidP="00DA3827">
      <w:pPr>
        <w:pStyle w:val="L1Bulletslast"/>
      </w:pPr>
      <w:r w:rsidRPr="00255EC0">
        <w:t>Industry, Innovation and Small Business</w:t>
      </w:r>
    </w:p>
    <w:p w14:paraId="751A9427" w14:textId="77777777" w:rsidR="00255EC0" w:rsidRPr="00255EC0" w:rsidRDefault="00255EC0" w:rsidP="00DA3827">
      <w:pPr>
        <w:pStyle w:val="Heading4"/>
      </w:pPr>
      <w:r w:rsidRPr="00255EC0">
        <w:t>Indicator: Change in Victoria’s real gross state product</w:t>
      </w:r>
    </w:p>
    <w:p w14:paraId="17B2993A" w14:textId="77777777" w:rsidR="00255EC0" w:rsidRPr="00255EC0" w:rsidRDefault="00255EC0" w:rsidP="00DA3827">
      <w:pPr>
        <w:pStyle w:val="Heading5"/>
      </w:pPr>
      <w:r w:rsidRPr="00255EC0">
        <w:t>Table 3: Change in Victoria’s real gross state product</w:t>
      </w:r>
    </w:p>
    <w:tbl>
      <w:tblPr>
        <w:tblStyle w:val="TableGrid"/>
        <w:tblW w:w="9634" w:type="dxa"/>
        <w:tblLayout w:type="fixed"/>
        <w:tblLook w:val="0020" w:firstRow="1" w:lastRow="0" w:firstColumn="0" w:lastColumn="0" w:noHBand="0" w:noVBand="0"/>
      </w:tblPr>
      <w:tblGrid>
        <w:gridCol w:w="4195"/>
        <w:gridCol w:w="1199"/>
        <w:gridCol w:w="1199"/>
        <w:gridCol w:w="1199"/>
        <w:gridCol w:w="1842"/>
      </w:tblGrid>
      <w:tr w:rsidR="00255EC0" w:rsidRPr="00DA3827" w14:paraId="23AB39F2" w14:textId="77777777" w:rsidTr="00E8460A">
        <w:trPr>
          <w:trHeight w:val="113"/>
        </w:trPr>
        <w:tc>
          <w:tcPr>
            <w:tcW w:w="4195" w:type="dxa"/>
          </w:tcPr>
          <w:p w14:paraId="39ACFFB1" w14:textId="77777777" w:rsidR="00255EC0" w:rsidRPr="00DA3827" w:rsidRDefault="00255EC0" w:rsidP="00DA3827">
            <w:pPr>
              <w:pStyle w:val="TableColumnheading"/>
              <w:rPr>
                <w:sz w:val="20"/>
                <w:szCs w:val="18"/>
              </w:rPr>
            </w:pPr>
            <w:r w:rsidRPr="00DA3827">
              <w:rPr>
                <w:sz w:val="20"/>
                <w:szCs w:val="18"/>
              </w:rPr>
              <w:t>Measure (unit of measure)</w:t>
            </w:r>
          </w:p>
        </w:tc>
        <w:tc>
          <w:tcPr>
            <w:tcW w:w="1199" w:type="dxa"/>
          </w:tcPr>
          <w:p w14:paraId="3CD9F6ED" w14:textId="77777777" w:rsidR="00255EC0" w:rsidRPr="00DA3827" w:rsidRDefault="00255EC0" w:rsidP="00DA3827">
            <w:pPr>
              <w:pStyle w:val="TableColumnheading"/>
              <w:jc w:val="right"/>
              <w:rPr>
                <w:sz w:val="20"/>
                <w:szCs w:val="18"/>
              </w:rPr>
            </w:pPr>
            <w:r w:rsidRPr="00DA3827">
              <w:rPr>
                <w:sz w:val="20"/>
                <w:szCs w:val="18"/>
              </w:rPr>
              <w:t>2016–17</w:t>
            </w:r>
          </w:p>
        </w:tc>
        <w:tc>
          <w:tcPr>
            <w:tcW w:w="1199" w:type="dxa"/>
          </w:tcPr>
          <w:p w14:paraId="10E2C2D5" w14:textId="77777777" w:rsidR="00255EC0" w:rsidRPr="00DA3827" w:rsidRDefault="00255EC0" w:rsidP="00DA3827">
            <w:pPr>
              <w:pStyle w:val="TableColumnheading"/>
              <w:jc w:val="right"/>
              <w:rPr>
                <w:sz w:val="20"/>
                <w:szCs w:val="18"/>
              </w:rPr>
            </w:pPr>
            <w:r w:rsidRPr="00DA3827">
              <w:rPr>
                <w:sz w:val="20"/>
                <w:szCs w:val="18"/>
              </w:rPr>
              <w:t>2017–18</w:t>
            </w:r>
          </w:p>
        </w:tc>
        <w:tc>
          <w:tcPr>
            <w:tcW w:w="1199" w:type="dxa"/>
          </w:tcPr>
          <w:p w14:paraId="66592BF6" w14:textId="77777777" w:rsidR="00255EC0" w:rsidRPr="00DA3827" w:rsidRDefault="00255EC0" w:rsidP="00DA3827">
            <w:pPr>
              <w:pStyle w:val="TableColumnheading"/>
              <w:jc w:val="right"/>
              <w:rPr>
                <w:sz w:val="20"/>
                <w:szCs w:val="18"/>
              </w:rPr>
            </w:pPr>
            <w:r w:rsidRPr="00DA3827">
              <w:rPr>
                <w:sz w:val="20"/>
                <w:szCs w:val="18"/>
              </w:rPr>
              <w:t>2018–19</w:t>
            </w:r>
          </w:p>
        </w:tc>
        <w:tc>
          <w:tcPr>
            <w:tcW w:w="1842" w:type="dxa"/>
          </w:tcPr>
          <w:p w14:paraId="05F85A42" w14:textId="77777777" w:rsidR="00255EC0" w:rsidRPr="00DA3827" w:rsidRDefault="00255EC0" w:rsidP="00DA3827">
            <w:pPr>
              <w:pStyle w:val="TableColumnheading"/>
              <w:jc w:val="right"/>
              <w:rPr>
                <w:sz w:val="20"/>
                <w:szCs w:val="18"/>
              </w:rPr>
            </w:pPr>
            <w:r w:rsidRPr="00DA3827">
              <w:rPr>
                <w:sz w:val="20"/>
                <w:szCs w:val="18"/>
              </w:rPr>
              <w:t>2019–20</w:t>
            </w:r>
          </w:p>
        </w:tc>
      </w:tr>
      <w:tr w:rsidR="00255EC0" w:rsidRPr="00DA3827" w14:paraId="6D50B501" w14:textId="77777777" w:rsidTr="00E8460A">
        <w:trPr>
          <w:trHeight w:val="113"/>
        </w:trPr>
        <w:tc>
          <w:tcPr>
            <w:tcW w:w="4195" w:type="dxa"/>
          </w:tcPr>
          <w:p w14:paraId="7ADAB394" w14:textId="2D724D19" w:rsidR="00255EC0" w:rsidRPr="00DA3827" w:rsidRDefault="00255EC0" w:rsidP="00DA3827">
            <w:pPr>
              <w:pStyle w:val="Tabletextnospace"/>
              <w:rPr>
                <w:sz w:val="20"/>
              </w:rPr>
            </w:pPr>
            <w:r w:rsidRPr="00DA3827">
              <w:rPr>
                <w:sz w:val="20"/>
              </w:rPr>
              <w:t>Change in Victoria’s real gross</w:t>
            </w:r>
            <w:r w:rsidR="00DA3827" w:rsidRPr="00DA3827">
              <w:rPr>
                <w:sz w:val="20"/>
              </w:rPr>
              <w:t xml:space="preserve"> </w:t>
            </w:r>
            <w:r w:rsidRPr="00DA3827">
              <w:rPr>
                <w:sz w:val="20"/>
              </w:rPr>
              <w:t>state product (per cent)</w:t>
            </w:r>
          </w:p>
        </w:tc>
        <w:tc>
          <w:tcPr>
            <w:tcW w:w="1199" w:type="dxa"/>
          </w:tcPr>
          <w:p w14:paraId="33283D96" w14:textId="77777777" w:rsidR="00255EC0" w:rsidRPr="00DA3827" w:rsidRDefault="00255EC0" w:rsidP="00DA3827">
            <w:pPr>
              <w:pStyle w:val="Tabletextnospace"/>
              <w:jc w:val="right"/>
              <w:rPr>
                <w:sz w:val="20"/>
              </w:rPr>
            </w:pPr>
            <w:r w:rsidRPr="00DA3827">
              <w:rPr>
                <w:sz w:val="20"/>
              </w:rPr>
              <w:t>3.33</w:t>
            </w:r>
          </w:p>
        </w:tc>
        <w:tc>
          <w:tcPr>
            <w:tcW w:w="1199" w:type="dxa"/>
          </w:tcPr>
          <w:p w14:paraId="29CF710B" w14:textId="77777777" w:rsidR="00255EC0" w:rsidRPr="00DA3827" w:rsidRDefault="00255EC0" w:rsidP="00DA3827">
            <w:pPr>
              <w:pStyle w:val="Tabletextnospace"/>
              <w:jc w:val="right"/>
              <w:rPr>
                <w:sz w:val="20"/>
              </w:rPr>
            </w:pPr>
            <w:r w:rsidRPr="00DA3827">
              <w:rPr>
                <w:sz w:val="20"/>
              </w:rPr>
              <w:t>3.5</w:t>
            </w:r>
          </w:p>
        </w:tc>
        <w:tc>
          <w:tcPr>
            <w:tcW w:w="1199" w:type="dxa"/>
          </w:tcPr>
          <w:p w14:paraId="16308CC3" w14:textId="77777777" w:rsidR="00255EC0" w:rsidRPr="00DA3827" w:rsidRDefault="00255EC0" w:rsidP="00DA3827">
            <w:pPr>
              <w:pStyle w:val="Tabletextnospace"/>
              <w:jc w:val="right"/>
              <w:rPr>
                <w:sz w:val="20"/>
              </w:rPr>
            </w:pPr>
            <w:r w:rsidRPr="00DA3827">
              <w:rPr>
                <w:sz w:val="20"/>
              </w:rPr>
              <w:t>3.0</w:t>
            </w:r>
          </w:p>
        </w:tc>
        <w:tc>
          <w:tcPr>
            <w:tcW w:w="1842" w:type="dxa"/>
          </w:tcPr>
          <w:p w14:paraId="5F94DF8B" w14:textId="77777777" w:rsidR="00255EC0" w:rsidRPr="00DA3827" w:rsidRDefault="00255EC0" w:rsidP="00DA3827">
            <w:pPr>
              <w:pStyle w:val="Tabletextnospace"/>
              <w:jc w:val="right"/>
              <w:rPr>
                <w:sz w:val="20"/>
              </w:rPr>
            </w:pPr>
            <w:r w:rsidRPr="00DA3827">
              <w:rPr>
                <w:sz w:val="20"/>
              </w:rPr>
              <w:t>Data available November 2020</w:t>
            </w:r>
          </w:p>
        </w:tc>
      </w:tr>
    </w:tbl>
    <w:p w14:paraId="4C3CDB94" w14:textId="77777777" w:rsidR="00255EC0" w:rsidRPr="00255EC0" w:rsidRDefault="00255EC0" w:rsidP="00DA3827">
      <w:pPr>
        <w:pStyle w:val="Body"/>
      </w:pPr>
    </w:p>
    <w:p w14:paraId="55C08C1D" w14:textId="77777777" w:rsidR="00255EC0" w:rsidRPr="00255EC0" w:rsidRDefault="00255EC0" w:rsidP="00DA3827">
      <w:pPr>
        <w:pStyle w:val="Heading5"/>
      </w:pPr>
      <w:r w:rsidRPr="00255EC0">
        <w:lastRenderedPageBreak/>
        <w:t>Figure 2: Change in Victoria’s real gross state product</w:t>
      </w:r>
    </w:p>
    <w:p w14:paraId="56CC1C16" w14:textId="581FFCBC" w:rsidR="00255EC0" w:rsidRPr="00255EC0" w:rsidRDefault="00DA3827" w:rsidP="00DA3827">
      <w:pPr>
        <w:pStyle w:val="Body"/>
      </w:pPr>
      <w:r>
        <w:rPr>
          <w:noProof/>
        </w:rPr>
        <w:drawing>
          <wp:inline distT="0" distB="0" distL="0" distR="0" wp14:anchorId="5E2F9295" wp14:editId="0BBFF231">
            <wp:extent cx="2047875" cy="1323975"/>
            <wp:effectExtent l="0" t="0" r="0" b="9525"/>
            <wp:docPr id="7" name="Graphic 7" descr="Figure 2: Change in Victoria’s real gross state produc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igure 2: Change in Victoria’s real gross state product graph"/>
                    <pic:cNvPicPr/>
                  </pic:nvPicPr>
                  <pic:blipFill>
                    <a:blip r:embed="rId12">
                      <a:extLst>
                        <a:ext uri="{96DAC541-7B7A-43D3-8B79-37D633B846F1}">
                          <asvg:svgBlip xmlns:asvg="http://schemas.microsoft.com/office/drawing/2016/SVG/main" r:embed="rId13"/>
                        </a:ext>
                      </a:extLst>
                    </a:blip>
                    <a:stretch>
                      <a:fillRect/>
                    </a:stretch>
                  </pic:blipFill>
                  <pic:spPr>
                    <a:xfrm>
                      <a:off x="0" y="0"/>
                      <a:ext cx="2047875" cy="1323975"/>
                    </a:xfrm>
                    <a:prstGeom prst="rect">
                      <a:avLst/>
                    </a:prstGeom>
                  </pic:spPr>
                </pic:pic>
              </a:graphicData>
            </a:graphic>
          </wp:inline>
        </w:drawing>
      </w:r>
    </w:p>
    <w:p w14:paraId="109E683E" w14:textId="77777777" w:rsidR="00255EC0" w:rsidRPr="00255EC0" w:rsidRDefault="00255EC0" w:rsidP="00DA3827">
      <w:pPr>
        <w:pStyle w:val="Heading4"/>
      </w:pPr>
      <w:r w:rsidRPr="00255EC0">
        <w:t>Indicator: Engagement with businesses</w:t>
      </w:r>
    </w:p>
    <w:p w14:paraId="2811D895" w14:textId="77777777" w:rsidR="00255EC0" w:rsidRPr="00255EC0" w:rsidRDefault="00255EC0" w:rsidP="00DA3827">
      <w:pPr>
        <w:pStyle w:val="Heading5"/>
      </w:pPr>
      <w:r w:rsidRPr="00255EC0">
        <w:t>Table 4: Engagement with business</w:t>
      </w:r>
    </w:p>
    <w:tbl>
      <w:tblPr>
        <w:tblStyle w:val="TableGrid"/>
        <w:tblW w:w="0" w:type="auto"/>
        <w:tblLayout w:type="fixed"/>
        <w:tblLook w:val="0020" w:firstRow="1" w:lastRow="0" w:firstColumn="0" w:lastColumn="0" w:noHBand="0" w:noVBand="0"/>
      </w:tblPr>
      <w:tblGrid>
        <w:gridCol w:w="4195"/>
        <w:gridCol w:w="1361"/>
        <w:gridCol w:w="1361"/>
        <w:gridCol w:w="1360"/>
        <w:gridCol w:w="1361"/>
      </w:tblGrid>
      <w:tr w:rsidR="00255EC0" w:rsidRPr="00DA3827" w14:paraId="2089848E" w14:textId="77777777" w:rsidTr="00E8460A">
        <w:trPr>
          <w:trHeight w:val="113"/>
        </w:trPr>
        <w:tc>
          <w:tcPr>
            <w:tcW w:w="4195" w:type="dxa"/>
          </w:tcPr>
          <w:p w14:paraId="4FAE9F99" w14:textId="77777777" w:rsidR="00255EC0" w:rsidRPr="00DA3827" w:rsidRDefault="00255EC0" w:rsidP="00DA3827">
            <w:pPr>
              <w:pStyle w:val="TableColumnheading"/>
              <w:spacing w:before="40" w:after="40"/>
              <w:rPr>
                <w:sz w:val="20"/>
                <w:szCs w:val="18"/>
              </w:rPr>
            </w:pPr>
            <w:r w:rsidRPr="00DA3827">
              <w:rPr>
                <w:sz w:val="20"/>
                <w:szCs w:val="18"/>
              </w:rPr>
              <w:t>Measure (unit of measure)</w:t>
            </w:r>
          </w:p>
        </w:tc>
        <w:tc>
          <w:tcPr>
            <w:tcW w:w="1361" w:type="dxa"/>
          </w:tcPr>
          <w:p w14:paraId="792D97C1" w14:textId="77777777" w:rsidR="00255EC0" w:rsidRPr="00DA3827" w:rsidRDefault="00255EC0" w:rsidP="00DA3827">
            <w:pPr>
              <w:pStyle w:val="TableColumnheading"/>
              <w:spacing w:before="40" w:after="40"/>
              <w:jc w:val="right"/>
              <w:rPr>
                <w:sz w:val="20"/>
                <w:szCs w:val="18"/>
              </w:rPr>
            </w:pPr>
            <w:r w:rsidRPr="00DA3827">
              <w:rPr>
                <w:sz w:val="20"/>
                <w:szCs w:val="18"/>
              </w:rPr>
              <w:t>2016–17</w:t>
            </w:r>
          </w:p>
        </w:tc>
        <w:tc>
          <w:tcPr>
            <w:tcW w:w="1361" w:type="dxa"/>
          </w:tcPr>
          <w:p w14:paraId="6523CBE2" w14:textId="77777777" w:rsidR="00255EC0" w:rsidRPr="00DA3827" w:rsidRDefault="00255EC0" w:rsidP="00DA3827">
            <w:pPr>
              <w:pStyle w:val="TableColumnheading"/>
              <w:spacing w:before="40" w:after="40"/>
              <w:jc w:val="right"/>
              <w:rPr>
                <w:sz w:val="20"/>
                <w:szCs w:val="18"/>
              </w:rPr>
            </w:pPr>
            <w:r w:rsidRPr="00DA3827">
              <w:rPr>
                <w:sz w:val="20"/>
                <w:szCs w:val="18"/>
              </w:rPr>
              <w:t>2017–18</w:t>
            </w:r>
          </w:p>
        </w:tc>
        <w:tc>
          <w:tcPr>
            <w:tcW w:w="1360" w:type="dxa"/>
          </w:tcPr>
          <w:p w14:paraId="29519836" w14:textId="77777777" w:rsidR="00255EC0" w:rsidRPr="00DA3827" w:rsidRDefault="00255EC0" w:rsidP="00DA3827">
            <w:pPr>
              <w:pStyle w:val="TableColumnheading"/>
              <w:spacing w:before="40" w:after="40"/>
              <w:jc w:val="right"/>
              <w:rPr>
                <w:sz w:val="20"/>
                <w:szCs w:val="18"/>
              </w:rPr>
            </w:pPr>
            <w:r w:rsidRPr="00DA3827">
              <w:rPr>
                <w:sz w:val="20"/>
                <w:szCs w:val="18"/>
              </w:rPr>
              <w:t>2018–19</w:t>
            </w:r>
          </w:p>
        </w:tc>
        <w:tc>
          <w:tcPr>
            <w:tcW w:w="1361" w:type="dxa"/>
          </w:tcPr>
          <w:p w14:paraId="3A4913CD" w14:textId="77777777" w:rsidR="00255EC0" w:rsidRPr="00DA3827" w:rsidRDefault="00255EC0" w:rsidP="00DA3827">
            <w:pPr>
              <w:pStyle w:val="TableColumnheading"/>
              <w:spacing w:before="40" w:after="40"/>
              <w:jc w:val="right"/>
              <w:rPr>
                <w:sz w:val="20"/>
                <w:szCs w:val="18"/>
              </w:rPr>
            </w:pPr>
            <w:r w:rsidRPr="00DA3827">
              <w:rPr>
                <w:sz w:val="20"/>
                <w:szCs w:val="18"/>
              </w:rPr>
              <w:t>2019–20</w:t>
            </w:r>
          </w:p>
        </w:tc>
      </w:tr>
      <w:tr w:rsidR="00255EC0" w:rsidRPr="00DA3827" w14:paraId="70897839" w14:textId="77777777" w:rsidTr="00E8460A">
        <w:trPr>
          <w:trHeight w:val="60"/>
        </w:trPr>
        <w:tc>
          <w:tcPr>
            <w:tcW w:w="4195" w:type="dxa"/>
          </w:tcPr>
          <w:p w14:paraId="56AEF056" w14:textId="01A14280" w:rsidR="00255EC0" w:rsidRPr="00DA3827" w:rsidRDefault="00255EC0" w:rsidP="00DA3827">
            <w:pPr>
              <w:pStyle w:val="Tabletextnospace"/>
              <w:rPr>
                <w:sz w:val="20"/>
              </w:rPr>
            </w:pPr>
            <w:r w:rsidRPr="00DA3827">
              <w:rPr>
                <w:sz w:val="20"/>
              </w:rPr>
              <w:t>Engagement with businesses</w:t>
            </w:r>
            <w:r w:rsidR="00DA3827">
              <w:rPr>
                <w:sz w:val="20"/>
              </w:rPr>
              <w:t xml:space="preserve"> </w:t>
            </w:r>
            <w:r w:rsidRPr="00DA3827">
              <w:rPr>
                <w:sz w:val="20"/>
              </w:rPr>
              <w:t>(number)</w:t>
            </w:r>
          </w:p>
        </w:tc>
        <w:tc>
          <w:tcPr>
            <w:tcW w:w="1361" w:type="dxa"/>
          </w:tcPr>
          <w:p w14:paraId="1046E84A" w14:textId="77777777" w:rsidR="00255EC0" w:rsidRPr="00DA3827" w:rsidRDefault="00255EC0" w:rsidP="00DA3827">
            <w:pPr>
              <w:pStyle w:val="Tabletextnospace"/>
              <w:jc w:val="right"/>
              <w:rPr>
                <w:sz w:val="20"/>
              </w:rPr>
            </w:pPr>
            <w:r w:rsidRPr="00DA3827">
              <w:rPr>
                <w:sz w:val="20"/>
              </w:rPr>
              <w:t>15,014</w:t>
            </w:r>
          </w:p>
        </w:tc>
        <w:tc>
          <w:tcPr>
            <w:tcW w:w="1361" w:type="dxa"/>
          </w:tcPr>
          <w:p w14:paraId="0B4A1895" w14:textId="77777777" w:rsidR="00255EC0" w:rsidRPr="00DA3827" w:rsidRDefault="00255EC0" w:rsidP="00DA3827">
            <w:pPr>
              <w:pStyle w:val="Tabletextnospace"/>
              <w:jc w:val="right"/>
              <w:rPr>
                <w:sz w:val="20"/>
              </w:rPr>
            </w:pPr>
            <w:r w:rsidRPr="00DA3827">
              <w:rPr>
                <w:sz w:val="20"/>
              </w:rPr>
              <w:t>14,401</w:t>
            </w:r>
          </w:p>
        </w:tc>
        <w:tc>
          <w:tcPr>
            <w:tcW w:w="1360" w:type="dxa"/>
          </w:tcPr>
          <w:p w14:paraId="349DBA5C" w14:textId="77777777" w:rsidR="00255EC0" w:rsidRPr="00DA3827" w:rsidRDefault="00255EC0" w:rsidP="00DA3827">
            <w:pPr>
              <w:pStyle w:val="Tabletextnospace"/>
              <w:jc w:val="right"/>
              <w:rPr>
                <w:sz w:val="20"/>
              </w:rPr>
            </w:pPr>
            <w:r w:rsidRPr="00DA3827">
              <w:rPr>
                <w:sz w:val="20"/>
              </w:rPr>
              <w:t>14,630</w:t>
            </w:r>
          </w:p>
        </w:tc>
        <w:tc>
          <w:tcPr>
            <w:tcW w:w="1361" w:type="dxa"/>
          </w:tcPr>
          <w:p w14:paraId="22033809" w14:textId="77777777" w:rsidR="00255EC0" w:rsidRPr="00DA3827" w:rsidRDefault="00255EC0" w:rsidP="00DA3827">
            <w:pPr>
              <w:pStyle w:val="Tabletextnospace"/>
              <w:jc w:val="right"/>
              <w:rPr>
                <w:sz w:val="20"/>
              </w:rPr>
            </w:pPr>
            <w:r w:rsidRPr="00DA3827">
              <w:rPr>
                <w:sz w:val="20"/>
              </w:rPr>
              <w:t>12,344</w:t>
            </w:r>
          </w:p>
        </w:tc>
      </w:tr>
    </w:tbl>
    <w:p w14:paraId="64D6236F" w14:textId="77777777" w:rsidR="00255EC0" w:rsidRPr="00255EC0" w:rsidRDefault="00255EC0" w:rsidP="00DA3827">
      <w:pPr>
        <w:pStyle w:val="Body"/>
      </w:pPr>
    </w:p>
    <w:p w14:paraId="061A3591" w14:textId="77777777" w:rsidR="00255EC0" w:rsidRPr="00255EC0" w:rsidRDefault="00255EC0" w:rsidP="00DA3827">
      <w:pPr>
        <w:pStyle w:val="Heading5"/>
      </w:pPr>
      <w:r w:rsidRPr="00255EC0">
        <w:t>Figure 3: Engagement with businesses</w:t>
      </w:r>
    </w:p>
    <w:p w14:paraId="36859FCB" w14:textId="6C4F315A" w:rsidR="00255EC0" w:rsidRPr="00255EC0" w:rsidRDefault="00DA3827" w:rsidP="00DA3827">
      <w:pPr>
        <w:pStyle w:val="Body"/>
      </w:pPr>
      <w:r>
        <w:rPr>
          <w:noProof/>
        </w:rPr>
        <w:drawing>
          <wp:inline distT="0" distB="0" distL="0" distR="0" wp14:anchorId="35253BAA" wp14:editId="2FAE91E3">
            <wp:extent cx="1990725" cy="1323975"/>
            <wp:effectExtent l="0" t="0" r="9525" b="9525"/>
            <wp:docPr id="8" name="Graphic 8" descr="Figure 3: Engagement with business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igure 3: Engagement with businesses graph"/>
                    <pic:cNvPicPr/>
                  </pic:nvPicPr>
                  <pic:blipFill>
                    <a:blip r:embed="rId14">
                      <a:extLst>
                        <a:ext uri="{96DAC541-7B7A-43D3-8B79-37D633B846F1}">
                          <asvg:svgBlip xmlns:asvg="http://schemas.microsoft.com/office/drawing/2016/SVG/main" r:embed="rId15"/>
                        </a:ext>
                      </a:extLst>
                    </a:blip>
                    <a:stretch>
                      <a:fillRect/>
                    </a:stretch>
                  </pic:blipFill>
                  <pic:spPr>
                    <a:xfrm>
                      <a:off x="0" y="0"/>
                      <a:ext cx="1990725" cy="1323975"/>
                    </a:xfrm>
                    <a:prstGeom prst="rect">
                      <a:avLst/>
                    </a:prstGeom>
                  </pic:spPr>
                </pic:pic>
              </a:graphicData>
            </a:graphic>
          </wp:inline>
        </w:drawing>
      </w:r>
    </w:p>
    <w:p w14:paraId="3F4FF75A" w14:textId="5E357614" w:rsidR="00255EC0" w:rsidRPr="00255EC0" w:rsidRDefault="00255EC0" w:rsidP="00DA3827">
      <w:pPr>
        <w:pStyle w:val="Body"/>
        <w:rPr>
          <w:spacing w:val="2"/>
        </w:rPr>
      </w:pPr>
      <w:r w:rsidRPr="00255EC0">
        <w:t>In 2019–20, the department engaged with 12,344 businesses through a network of Victorian Government Business Offices (</w:t>
      </w:r>
      <w:proofErr w:type="spellStart"/>
      <w:r w:rsidRPr="00255EC0">
        <w:t>VGBOs</w:t>
      </w:r>
      <w:proofErr w:type="spellEnd"/>
      <w:r w:rsidRPr="00255EC0">
        <w:t xml:space="preserve">) including five metro based </w:t>
      </w:r>
      <w:proofErr w:type="spellStart"/>
      <w:r w:rsidRPr="00255EC0">
        <w:t>VGBOs</w:t>
      </w:r>
      <w:proofErr w:type="spellEnd"/>
      <w:r w:rsidRPr="00255EC0">
        <w:t xml:space="preserve"> in Melbourne. Traditional business engagement focuses on major growth-oriented firms looking to invest or re-invest in Victoria and create new job opportunities. However, in 2019–20 a significantly large volume of engagements was recorded due to coronavirus (COVID-19) related matters, including access</w:t>
      </w:r>
      <w:r w:rsidR="00DA3827">
        <w:t xml:space="preserve"> </w:t>
      </w:r>
      <w:r w:rsidRPr="00255EC0">
        <w:t>to the Business Support Fund.</w:t>
      </w:r>
    </w:p>
    <w:p w14:paraId="64A8E5CB" w14:textId="6952BA05" w:rsidR="00255EC0" w:rsidRPr="00255EC0" w:rsidRDefault="00255EC0" w:rsidP="00DA3827">
      <w:pPr>
        <w:pStyle w:val="Body"/>
      </w:pPr>
      <w:r w:rsidRPr="00255EC0">
        <w:t>In 2019–20, the Better Approvals Project was</w:t>
      </w:r>
      <w:r w:rsidR="00DA3827">
        <w:t xml:space="preserve"> </w:t>
      </w:r>
      <w:r w:rsidRPr="00255EC0">
        <w:t>delivered to an additional 42 councils out of a total</w:t>
      </w:r>
      <w:r w:rsidR="00DA3827">
        <w:t xml:space="preserve"> </w:t>
      </w:r>
      <w:r w:rsidRPr="00255EC0">
        <w:t>of 51 councils to date. Early indications show that</w:t>
      </w:r>
      <w:r w:rsidR="00DA3827">
        <w:t xml:space="preserve"> </w:t>
      </w:r>
      <w:r w:rsidRPr="00255EC0">
        <w:t>this has led to a significant reduction in council</w:t>
      </w:r>
      <w:r w:rsidR="00DA3827">
        <w:t xml:space="preserve"> </w:t>
      </w:r>
      <w:r w:rsidRPr="00255EC0">
        <w:t>permit approval times for small businesses, averaging a 73 per cent improvement. Reduced</w:t>
      </w:r>
      <w:r w:rsidR="00DA3827">
        <w:t xml:space="preserve"> </w:t>
      </w:r>
      <w:r w:rsidRPr="00255EC0">
        <w:t>red tape has helped local businesses to open</w:t>
      </w:r>
      <w:r w:rsidR="00DA3827">
        <w:t xml:space="preserve"> </w:t>
      </w:r>
      <w:r w:rsidRPr="00255EC0">
        <w:t>and expand faster. As part of the Small Business Regulation Review (</w:t>
      </w:r>
      <w:proofErr w:type="spellStart"/>
      <w:r w:rsidRPr="00255EC0">
        <w:t>SBRR</w:t>
      </w:r>
      <w:proofErr w:type="spellEnd"/>
      <w:r w:rsidRPr="00255EC0">
        <w:t xml:space="preserve">), the </w:t>
      </w:r>
      <w:proofErr w:type="spellStart"/>
      <w:r w:rsidRPr="00255EC0">
        <w:t>SBRR</w:t>
      </w:r>
      <w:proofErr w:type="spellEnd"/>
      <w:r w:rsidRPr="00255EC0">
        <w:t xml:space="preserve"> Construction Sector Action Statement was launched in August 2019. It is expected to save small businesses at least $21.3 million a year once fully implemented by helping regulators interact better through the Small Business Engagement Charters and by developing clearer, more targeted regulatory information.</w:t>
      </w:r>
    </w:p>
    <w:p w14:paraId="3E8487F8" w14:textId="1B08FF29" w:rsidR="00255EC0" w:rsidRPr="00255EC0" w:rsidRDefault="00255EC0" w:rsidP="00DA3827">
      <w:pPr>
        <w:pStyle w:val="Body"/>
      </w:pPr>
      <w:r w:rsidRPr="00255EC0">
        <w:t>The department supported over 500 digital tech events, engaged 20,000 people across Victoria</w:t>
      </w:r>
      <w:r w:rsidR="002F6402">
        <w:t xml:space="preserve"> </w:t>
      </w:r>
      <w:r w:rsidRPr="00255EC0">
        <w:t>and secured important national conferences</w:t>
      </w:r>
      <w:r w:rsidR="002F6402">
        <w:t xml:space="preserve"> </w:t>
      </w:r>
      <w:r w:rsidRPr="00255EC0">
        <w:t>that enabled Victorian businesses to connect with local, national and global networks in digital technology, professional services, the biotechnology,</w:t>
      </w:r>
      <w:r w:rsidR="002F6402">
        <w:t xml:space="preserve"> </w:t>
      </w:r>
      <w:r w:rsidRPr="00255EC0">
        <w:t xml:space="preserve">medical technology and pharmaceutical industries. These conferences included the Australian Information Industry Association </w:t>
      </w:r>
      <w:proofErr w:type="spellStart"/>
      <w:r w:rsidRPr="00255EC0">
        <w:t>iAwards</w:t>
      </w:r>
      <w:proofErr w:type="spellEnd"/>
      <w:r w:rsidRPr="00255EC0">
        <w:t>, Australian Computer Society Reimagination, FinTech Awards</w:t>
      </w:r>
      <w:r w:rsidR="002F6402">
        <w:t xml:space="preserve"> </w:t>
      </w:r>
      <w:r w:rsidRPr="00255EC0">
        <w:t xml:space="preserve">and </w:t>
      </w:r>
      <w:proofErr w:type="spellStart"/>
      <w:r w:rsidRPr="00255EC0">
        <w:t>Intersekt</w:t>
      </w:r>
      <w:proofErr w:type="spellEnd"/>
      <w:r w:rsidRPr="00255EC0">
        <w:t xml:space="preserve">, and </w:t>
      </w:r>
      <w:proofErr w:type="spellStart"/>
      <w:r w:rsidRPr="00255EC0">
        <w:t>AusBiotech</w:t>
      </w:r>
      <w:proofErr w:type="spellEnd"/>
      <w:r w:rsidRPr="00255EC0">
        <w:t xml:space="preserve">, Australia Biotech Invest &amp; Partnering, and </w:t>
      </w:r>
      <w:proofErr w:type="spellStart"/>
      <w:r w:rsidRPr="00255EC0">
        <w:t>AusMedtech</w:t>
      </w:r>
      <w:proofErr w:type="spellEnd"/>
      <w:r w:rsidRPr="00255EC0">
        <w:t>.</w:t>
      </w:r>
    </w:p>
    <w:p w14:paraId="7D610C28" w14:textId="7C2DCC4E" w:rsidR="00255EC0" w:rsidRPr="00255EC0" w:rsidRDefault="00255EC0" w:rsidP="002F6402">
      <w:pPr>
        <w:pStyle w:val="Body"/>
        <w:keepLines/>
      </w:pPr>
      <w:r w:rsidRPr="00255EC0">
        <w:lastRenderedPageBreak/>
        <w:t xml:space="preserve">For </w:t>
      </w:r>
      <w:proofErr w:type="spellStart"/>
      <w:r w:rsidRPr="00255EC0">
        <w:t>LaunchVic</w:t>
      </w:r>
      <w:proofErr w:type="spellEnd"/>
      <w:r w:rsidRPr="00255EC0">
        <w:t>, the 2019–20 reporting year saw</w:t>
      </w:r>
      <w:r w:rsidR="002F6402">
        <w:t xml:space="preserve"> </w:t>
      </w:r>
      <w:r w:rsidRPr="00255EC0">
        <w:t>an increased focus on scaling start-ups (‘scaleups’). Overall, 47 scaleups were supported through</w:t>
      </w:r>
      <w:r w:rsidR="002F6402">
        <w:t xml:space="preserve"> </w:t>
      </w:r>
      <w:r w:rsidRPr="00255EC0">
        <w:t xml:space="preserve">a program run by </w:t>
      </w:r>
      <w:proofErr w:type="spellStart"/>
      <w:r w:rsidRPr="00255EC0">
        <w:t>Skalata</w:t>
      </w:r>
      <w:proofErr w:type="spellEnd"/>
      <w:r w:rsidRPr="00255EC0">
        <w:t xml:space="preserve"> Ventures, </w:t>
      </w:r>
      <w:proofErr w:type="spellStart"/>
      <w:r w:rsidRPr="00255EC0">
        <w:t>Startmate</w:t>
      </w:r>
      <w:proofErr w:type="spellEnd"/>
      <w:r w:rsidRPr="00255EC0">
        <w:t>, Australian Sports Technologies Network, Australia China Health Accelerator and The Actuator.</w:t>
      </w:r>
    </w:p>
    <w:p w14:paraId="4E336BA5" w14:textId="77777777" w:rsidR="00255EC0" w:rsidRPr="00255EC0" w:rsidRDefault="00255EC0" w:rsidP="002F6402">
      <w:pPr>
        <w:pStyle w:val="Heading3"/>
      </w:pPr>
      <w:r w:rsidRPr="00255EC0">
        <w:t>Performance against output performance measures</w:t>
      </w:r>
    </w:p>
    <w:p w14:paraId="25B586A3" w14:textId="77777777" w:rsidR="00255EC0" w:rsidRPr="00255EC0" w:rsidRDefault="00255EC0" w:rsidP="002F6402">
      <w:pPr>
        <w:pStyle w:val="Body"/>
      </w:pPr>
      <w:r w:rsidRPr="00255EC0">
        <w:t>Table 5 represents performance against the Industry, Innovation and Small Business output. This output provides access to information and connections and builds the capability of Victorian businesses and industry to develop and effectively use new practices and technologies to increase productivity and competitiveness, advocating for a fair and competitive business environment, and supporting small businesses.</w:t>
      </w:r>
    </w:p>
    <w:p w14:paraId="3FFAF20F" w14:textId="77777777" w:rsidR="00255EC0" w:rsidRPr="00255EC0" w:rsidRDefault="00255EC0" w:rsidP="002F6402">
      <w:pPr>
        <w:pStyle w:val="Heading5"/>
      </w:pPr>
      <w:r w:rsidRPr="00255EC0">
        <w:t>Table 5: Output – Industry, Innovation and Small Business</w:t>
      </w:r>
    </w:p>
    <w:tbl>
      <w:tblPr>
        <w:tblStyle w:val="TableGrid"/>
        <w:tblW w:w="9727" w:type="dxa"/>
        <w:tblLayout w:type="fixed"/>
        <w:tblLook w:val="0020" w:firstRow="1" w:lastRow="0" w:firstColumn="0" w:lastColumn="0" w:noHBand="0" w:noVBand="0"/>
      </w:tblPr>
      <w:tblGrid>
        <w:gridCol w:w="4390"/>
        <w:gridCol w:w="964"/>
        <w:gridCol w:w="1034"/>
        <w:gridCol w:w="1134"/>
        <w:gridCol w:w="1417"/>
        <w:gridCol w:w="788"/>
      </w:tblGrid>
      <w:tr w:rsidR="00255EC0" w:rsidRPr="002F6402" w14:paraId="15B294A2" w14:textId="77777777" w:rsidTr="00E8460A">
        <w:trPr>
          <w:trHeight w:val="525"/>
          <w:tblHeader/>
        </w:trPr>
        <w:tc>
          <w:tcPr>
            <w:tcW w:w="4390" w:type="dxa"/>
          </w:tcPr>
          <w:p w14:paraId="1924F0EF" w14:textId="77777777" w:rsidR="00255EC0" w:rsidRPr="002F6402" w:rsidRDefault="00255EC0" w:rsidP="002F6402">
            <w:pPr>
              <w:pStyle w:val="TableColumnheading"/>
              <w:spacing w:before="40" w:after="40"/>
              <w:rPr>
                <w:sz w:val="20"/>
              </w:rPr>
            </w:pPr>
            <w:r w:rsidRPr="002F6402">
              <w:rPr>
                <w:sz w:val="20"/>
              </w:rPr>
              <w:t xml:space="preserve">Performance measures </w:t>
            </w:r>
          </w:p>
        </w:tc>
        <w:tc>
          <w:tcPr>
            <w:tcW w:w="964" w:type="dxa"/>
          </w:tcPr>
          <w:p w14:paraId="393BBF3D" w14:textId="77777777" w:rsidR="00255EC0" w:rsidRPr="002F6402" w:rsidRDefault="00255EC0" w:rsidP="002F6402">
            <w:pPr>
              <w:pStyle w:val="TableColumnheading"/>
              <w:spacing w:before="40" w:after="40"/>
              <w:jc w:val="right"/>
              <w:rPr>
                <w:sz w:val="20"/>
              </w:rPr>
            </w:pPr>
            <w:r w:rsidRPr="002F6402">
              <w:rPr>
                <w:sz w:val="20"/>
              </w:rPr>
              <w:t>Unit of measure</w:t>
            </w:r>
          </w:p>
        </w:tc>
        <w:tc>
          <w:tcPr>
            <w:tcW w:w="1034" w:type="dxa"/>
          </w:tcPr>
          <w:p w14:paraId="44246CC3" w14:textId="77777777" w:rsidR="00255EC0" w:rsidRPr="002F6402" w:rsidRDefault="00255EC0" w:rsidP="002F6402">
            <w:pPr>
              <w:pStyle w:val="TableColumnheading"/>
              <w:spacing w:before="40" w:after="40"/>
              <w:jc w:val="right"/>
              <w:rPr>
                <w:sz w:val="20"/>
              </w:rPr>
            </w:pPr>
            <w:r w:rsidRPr="002F6402">
              <w:rPr>
                <w:sz w:val="20"/>
              </w:rPr>
              <w:t>2019–20 actual</w:t>
            </w:r>
          </w:p>
        </w:tc>
        <w:tc>
          <w:tcPr>
            <w:tcW w:w="1134" w:type="dxa"/>
          </w:tcPr>
          <w:p w14:paraId="446D5A5E" w14:textId="77777777" w:rsidR="00255EC0" w:rsidRPr="002F6402" w:rsidRDefault="00255EC0" w:rsidP="002F6402">
            <w:pPr>
              <w:pStyle w:val="TableColumnheading"/>
              <w:spacing w:before="40" w:after="40"/>
              <w:jc w:val="right"/>
              <w:rPr>
                <w:sz w:val="20"/>
              </w:rPr>
            </w:pPr>
            <w:r w:rsidRPr="002F6402">
              <w:rPr>
                <w:sz w:val="20"/>
              </w:rPr>
              <w:t>2019–20 target</w:t>
            </w:r>
          </w:p>
        </w:tc>
        <w:tc>
          <w:tcPr>
            <w:tcW w:w="1417" w:type="dxa"/>
          </w:tcPr>
          <w:p w14:paraId="3230A6B6" w14:textId="77777777" w:rsidR="00255EC0" w:rsidRPr="002F6402" w:rsidRDefault="00255EC0" w:rsidP="002F6402">
            <w:pPr>
              <w:pStyle w:val="TableColumnheading"/>
              <w:spacing w:before="40" w:after="40"/>
              <w:jc w:val="right"/>
              <w:rPr>
                <w:sz w:val="20"/>
              </w:rPr>
            </w:pPr>
            <w:r w:rsidRPr="002F6402">
              <w:rPr>
                <w:sz w:val="20"/>
              </w:rPr>
              <w:t xml:space="preserve">Performance variation (%) </w:t>
            </w:r>
          </w:p>
        </w:tc>
        <w:tc>
          <w:tcPr>
            <w:tcW w:w="788" w:type="dxa"/>
          </w:tcPr>
          <w:p w14:paraId="0F785070" w14:textId="77777777" w:rsidR="00255EC0" w:rsidRPr="002F6402" w:rsidRDefault="00255EC0" w:rsidP="002F6402">
            <w:pPr>
              <w:pStyle w:val="TableColumnheading"/>
              <w:spacing w:before="40" w:after="40"/>
              <w:jc w:val="right"/>
              <w:rPr>
                <w:sz w:val="20"/>
              </w:rPr>
            </w:pPr>
            <w:r w:rsidRPr="002F6402">
              <w:rPr>
                <w:sz w:val="20"/>
              </w:rPr>
              <w:t xml:space="preserve">Result </w:t>
            </w:r>
          </w:p>
        </w:tc>
      </w:tr>
      <w:tr w:rsidR="00255EC0" w:rsidRPr="002F6402" w14:paraId="42EA597F" w14:textId="77777777" w:rsidTr="00E8460A">
        <w:trPr>
          <w:trHeight w:val="113"/>
        </w:trPr>
        <w:tc>
          <w:tcPr>
            <w:tcW w:w="9727" w:type="dxa"/>
            <w:gridSpan w:val="6"/>
          </w:tcPr>
          <w:p w14:paraId="7EFCCA50" w14:textId="77777777" w:rsidR="00255EC0" w:rsidRPr="002F6402" w:rsidRDefault="00255EC0" w:rsidP="002F6402">
            <w:pPr>
              <w:pStyle w:val="Tabletextnospace"/>
              <w:rPr>
                <w:b/>
                <w:bCs/>
                <w:sz w:val="20"/>
                <w:szCs w:val="20"/>
              </w:rPr>
            </w:pPr>
            <w:r w:rsidRPr="002F6402">
              <w:rPr>
                <w:b/>
                <w:bCs/>
                <w:sz w:val="20"/>
                <w:szCs w:val="20"/>
              </w:rPr>
              <w:t>Quantity</w:t>
            </w:r>
          </w:p>
        </w:tc>
      </w:tr>
      <w:tr w:rsidR="00255EC0" w:rsidRPr="002F6402" w14:paraId="130282AE" w14:textId="77777777" w:rsidTr="00E8460A">
        <w:trPr>
          <w:trHeight w:val="113"/>
        </w:trPr>
        <w:tc>
          <w:tcPr>
            <w:tcW w:w="4390" w:type="dxa"/>
          </w:tcPr>
          <w:p w14:paraId="33782F7C" w14:textId="6B1B415B" w:rsidR="00255EC0" w:rsidRPr="002F6402" w:rsidRDefault="00255EC0" w:rsidP="002F6402">
            <w:pPr>
              <w:pStyle w:val="Tabletextnospace"/>
              <w:rPr>
                <w:sz w:val="20"/>
                <w:szCs w:val="20"/>
              </w:rPr>
            </w:pPr>
            <w:r w:rsidRPr="002F6402">
              <w:rPr>
                <w:sz w:val="20"/>
                <w:szCs w:val="20"/>
              </w:rPr>
              <w:t>Businesses whose growth and productivity issues</w:t>
            </w:r>
            <w:r w:rsidR="002F6402">
              <w:rPr>
                <w:sz w:val="20"/>
                <w:szCs w:val="20"/>
              </w:rPr>
              <w:t xml:space="preserve"> </w:t>
            </w:r>
            <w:r w:rsidRPr="002F6402">
              <w:rPr>
                <w:sz w:val="20"/>
                <w:szCs w:val="20"/>
              </w:rPr>
              <w:t>are resolved by the Department</w:t>
            </w:r>
          </w:p>
        </w:tc>
        <w:tc>
          <w:tcPr>
            <w:tcW w:w="964" w:type="dxa"/>
          </w:tcPr>
          <w:p w14:paraId="24C2736D" w14:textId="77777777" w:rsidR="00255EC0" w:rsidRPr="002F6402" w:rsidRDefault="00255EC0" w:rsidP="008728B5">
            <w:pPr>
              <w:pStyle w:val="Tabletextnospace"/>
              <w:jc w:val="right"/>
              <w:rPr>
                <w:sz w:val="20"/>
                <w:szCs w:val="20"/>
              </w:rPr>
            </w:pPr>
            <w:r w:rsidRPr="002F6402">
              <w:rPr>
                <w:sz w:val="20"/>
                <w:szCs w:val="20"/>
              </w:rPr>
              <w:t>number</w:t>
            </w:r>
          </w:p>
        </w:tc>
        <w:tc>
          <w:tcPr>
            <w:tcW w:w="1034" w:type="dxa"/>
          </w:tcPr>
          <w:p w14:paraId="52D2EC19" w14:textId="77777777" w:rsidR="00255EC0" w:rsidRPr="002F6402" w:rsidRDefault="00255EC0" w:rsidP="008728B5">
            <w:pPr>
              <w:pStyle w:val="Tabletextnospace"/>
              <w:jc w:val="right"/>
              <w:rPr>
                <w:sz w:val="20"/>
                <w:szCs w:val="20"/>
              </w:rPr>
            </w:pPr>
            <w:r w:rsidRPr="002F6402">
              <w:rPr>
                <w:sz w:val="20"/>
                <w:szCs w:val="20"/>
              </w:rPr>
              <w:t>1497</w:t>
            </w:r>
          </w:p>
        </w:tc>
        <w:tc>
          <w:tcPr>
            <w:tcW w:w="1134" w:type="dxa"/>
          </w:tcPr>
          <w:p w14:paraId="00B84A36" w14:textId="77777777" w:rsidR="00255EC0" w:rsidRPr="002F6402" w:rsidRDefault="00255EC0" w:rsidP="008728B5">
            <w:pPr>
              <w:pStyle w:val="Tabletextnospace"/>
              <w:jc w:val="right"/>
              <w:rPr>
                <w:sz w:val="20"/>
                <w:szCs w:val="20"/>
              </w:rPr>
            </w:pPr>
            <w:r w:rsidRPr="002F6402">
              <w:rPr>
                <w:sz w:val="20"/>
                <w:szCs w:val="20"/>
              </w:rPr>
              <w:t>1200</w:t>
            </w:r>
          </w:p>
        </w:tc>
        <w:tc>
          <w:tcPr>
            <w:tcW w:w="1417" w:type="dxa"/>
          </w:tcPr>
          <w:p w14:paraId="3903A5E7" w14:textId="77777777" w:rsidR="00255EC0" w:rsidRPr="002F6402" w:rsidRDefault="00255EC0" w:rsidP="008728B5">
            <w:pPr>
              <w:pStyle w:val="Tabletextnospace"/>
              <w:jc w:val="right"/>
              <w:rPr>
                <w:sz w:val="20"/>
                <w:szCs w:val="20"/>
              </w:rPr>
            </w:pPr>
            <w:r w:rsidRPr="002F6402">
              <w:rPr>
                <w:sz w:val="20"/>
                <w:szCs w:val="20"/>
              </w:rPr>
              <w:t>24.8%</w:t>
            </w:r>
          </w:p>
        </w:tc>
        <w:tc>
          <w:tcPr>
            <w:tcW w:w="788" w:type="dxa"/>
          </w:tcPr>
          <w:p w14:paraId="5C004FCE"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2F6402" w14:paraId="01BDCD25" w14:textId="77777777" w:rsidTr="00E8460A">
        <w:trPr>
          <w:trHeight w:val="113"/>
        </w:trPr>
        <w:tc>
          <w:tcPr>
            <w:tcW w:w="9727" w:type="dxa"/>
            <w:gridSpan w:val="6"/>
          </w:tcPr>
          <w:p w14:paraId="625C15D1" w14:textId="77777777" w:rsidR="00255EC0" w:rsidRPr="002F6402" w:rsidRDefault="00255EC0" w:rsidP="002F6402">
            <w:pPr>
              <w:pStyle w:val="Tabletextnospace"/>
              <w:rPr>
                <w:i/>
                <w:iCs/>
                <w:sz w:val="20"/>
                <w:szCs w:val="20"/>
              </w:rPr>
            </w:pPr>
            <w:r w:rsidRPr="002F6402">
              <w:rPr>
                <w:i/>
                <w:iCs/>
                <w:sz w:val="20"/>
                <w:szCs w:val="20"/>
              </w:rPr>
              <w:t>Higher result due to an increase in program payments that support businesses growth and address productivity issues during the period. The metrics do not include businesses funded through the Business Support Fund.</w:t>
            </w:r>
          </w:p>
        </w:tc>
      </w:tr>
      <w:tr w:rsidR="00255EC0" w:rsidRPr="002F6402" w14:paraId="40E31C75" w14:textId="77777777" w:rsidTr="00E8460A">
        <w:trPr>
          <w:trHeight w:val="113"/>
        </w:trPr>
        <w:tc>
          <w:tcPr>
            <w:tcW w:w="4390" w:type="dxa"/>
          </w:tcPr>
          <w:p w14:paraId="6973AC3A" w14:textId="6F98E075" w:rsidR="00255EC0" w:rsidRPr="002F6402" w:rsidRDefault="00255EC0" w:rsidP="002F6402">
            <w:pPr>
              <w:pStyle w:val="Tabletextnospace"/>
              <w:rPr>
                <w:sz w:val="20"/>
                <w:szCs w:val="20"/>
              </w:rPr>
            </w:pPr>
            <w:r w:rsidRPr="002F6402">
              <w:rPr>
                <w:sz w:val="20"/>
                <w:szCs w:val="20"/>
              </w:rPr>
              <w:t>Companies or new entrants supported through</w:t>
            </w:r>
            <w:r w:rsidR="002F6402">
              <w:rPr>
                <w:sz w:val="20"/>
                <w:szCs w:val="20"/>
              </w:rPr>
              <w:t xml:space="preserve"> </w:t>
            </w:r>
            <w:r w:rsidRPr="002F6402">
              <w:rPr>
                <w:sz w:val="20"/>
                <w:szCs w:val="20"/>
              </w:rPr>
              <w:t xml:space="preserve">the </w:t>
            </w:r>
            <w:proofErr w:type="spellStart"/>
            <w:r w:rsidRPr="002F6402">
              <w:rPr>
                <w:sz w:val="20"/>
                <w:szCs w:val="20"/>
              </w:rPr>
              <w:t>LaunchVic</w:t>
            </w:r>
            <w:proofErr w:type="spellEnd"/>
            <w:r w:rsidRPr="002F6402">
              <w:rPr>
                <w:sz w:val="20"/>
                <w:szCs w:val="20"/>
              </w:rPr>
              <w:t xml:space="preserve"> initiative</w:t>
            </w:r>
          </w:p>
        </w:tc>
        <w:tc>
          <w:tcPr>
            <w:tcW w:w="964" w:type="dxa"/>
          </w:tcPr>
          <w:p w14:paraId="15A31839" w14:textId="77777777" w:rsidR="00255EC0" w:rsidRPr="002F6402" w:rsidRDefault="00255EC0" w:rsidP="002F6402">
            <w:pPr>
              <w:pStyle w:val="Tabletextnospace"/>
              <w:jc w:val="right"/>
              <w:rPr>
                <w:sz w:val="20"/>
                <w:szCs w:val="20"/>
              </w:rPr>
            </w:pPr>
            <w:r w:rsidRPr="002F6402">
              <w:rPr>
                <w:sz w:val="20"/>
                <w:szCs w:val="20"/>
              </w:rPr>
              <w:t>number</w:t>
            </w:r>
          </w:p>
        </w:tc>
        <w:tc>
          <w:tcPr>
            <w:tcW w:w="1034" w:type="dxa"/>
          </w:tcPr>
          <w:p w14:paraId="2CE50372" w14:textId="77777777" w:rsidR="00255EC0" w:rsidRPr="002F6402" w:rsidRDefault="00255EC0" w:rsidP="002F6402">
            <w:pPr>
              <w:pStyle w:val="Tabletextnospace"/>
              <w:jc w:val="right"/>
              <w:rPr>
                <w:sz w:val="20"/>
                <w:szCs w:val="20"/>
              </w:rPr>
            </w:pPr>
            <w:r w:rsidRPr="002F6402">
              <w:rPr>
                <w:sz w:val="20"/>
                <w:szCs w:val="20"/>
              </w:rPr>
              <w:t>133</w:t>
            </w:r>
          </w:p>
        </w:tc>
        <w:tc>
          <w:tcPr>
            <w:tcW w:w="1134" w:type="dxa"/>
          </w:tcPr>
          <w:p w14:paraId="68C203DA" w14:textId="77777777" w:rsidR="00255EC0" w:rsidRPr="002F6402" w:rsidRDefault="00255EC0" w:rsidP="002F6402">
            <w:pPr>
              <w:pStyle w:val="Tabletextnospace"/>
              <w:jc w:val="right"/>
              <w:rPr>
                <w:sz w:val="20"/>
                <w:szCs w:val="20"/>
              </w:rPr>
            </w:pPr>
            <w:r w:rsidRPr="002F6402">
              <w:rPr>
                <w:sz w:val="20"/>
                <w:szCs w:val="20"/>
              </w:rPr>
              <w:t>70</w:t>
            </w:r>
          </w:p>
        </w:tc>
        <w:tc>
          <w:tcPr>
            <w:tcW w:w="1417" w:type="dxa"/>
          </w:tcPr>
          <w:p w14:paraId="761AC16C" w14:textId="77777777" w:rsidR="00255EC0" w:rsidRPr="002F6402" w:rsidRDefault="00255EC0" w:rsidP="002F6402">
            <w:pPr>
              <w:pStyle w:val="Tabletextnospace"/>
              <w:jc w:val="right"/>
              <w:rPr>
                <w:sz w:val="20"/>
                <w:szCs w:val="20"/>
              </w:rPr>
            </w:pPr>
            <w:r w:rsidRPr="002F6402">
              <w:rPr>
                <w:sz w:val="20"/>
                <w:szCs w:val="20"/>
              </w:rPr>
              <w:t>90.0%</w:t>
            </w:r>
          </w:p>
        </w:tc>
        <w:tc>
          <w:tcPr>
            <w:tcW w:w="788" w:type="dxa"/>
          </w:tcPr>
          <w:p w14:paraId="7B7B3668"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2F6402" w14:paraId="784267EF" w14:textId="77777777" w:rsidTr="00E8460A">
        <w:trPr>
          <w:trHeight w:val="113"/>
        </w:trPr>
        <w:tc>
          <w:tcPr>
            <w:tcW w:w="9727" w:type="dxa"/>
            <w:gridSpan w:val="6"/>
          </w:tcPr>
          <w:p w14:paraId="63C784E6" w14:textId="77777777" w:rsidR="00255EC0" w:rsidRPr="002F6402" w:rsidRDefault="00255EC0" w:rsidP="002F6402">
            <w:pPr>
              <w:pStyle w:val="Tabletextnospace"/>
              <w:rPr>
                <w:i/>
                <w:iCs/>
                <w:sz w:val="20"/>
                <w:szCs w:val="20"/>
              </w:rPr>
            </w:pPr>
            <w:r w:rsidRPr="002F6402">
              <w:rPr>
                <w:i/>
                <w:iCs/>
                <w:sz w:val="20"/>
                <w:szCs w:val="20"/>
              </w:rPr>
              <w:t xml:space="preserve">Higher result due to an increase in participation in the </w:t>
            </w:r>
            <w:proofErr w:type="spellStart"/>
            <w:r w:rsidRPr="002F6402">
              <w:rPr>
                <w:i/>
                <w:iCs/>
                <w:sz w:val="20"/>
                <w:szCs w:val="20"/>
              </w:rPr>
              <w:t>startup</w:t>
            </w:r>
            <w:proofErr w:type="spellEnd"/>
            <w:r w:rsidRPr="002F6402">
              <w:rPr>
                <w:i/>
                <w:iCs/>
                <w:sz w:val="20"/>
                <w:szCs w:val="20"/>
              </w:rPr>
              <w:t xml:space="preserve"> ecosystem across Victoria and demand for </w:t>
            </w:r>
            <w:proofErr w:type="spellStart"/>
            <w:r w:rsidRPr="002F6402">
              <w:rPr>
                <w:i/>
                <w:iCs/>
                <w:sz w:val="20"/>
                <w:szCs w:val="20"/>
              </w:rPr>
              <w:t>LaunchVic</w:t>
            </w:r>
            <w:proofErr w:type="spellEnd"/>
            <w:r w:rsidRPr="002F6402">
              <w:rPr>
                <w:i/>
                <w:iCs/>
                <w:sz w:val="20"/>
                <w:szCs w:val="20"/>
              </w:rPr>
              <w:t xml:space="preserve"> funded programs from the rapidly growing </w:t>
            </w:r>
            <w:proofErr w:type="spellStart"/>
            <w:r w:rsidRPr="002F6402">
              <w:rPr>
                <w:i/>
                <w:iCs/>
                <w:sz w:val="20"/>
                <w:szCs w:val="20"/>
              </w:rPr>
              <w:t>startup</w:t>
            </w:r>
            <w:proofErr w:type="spellEnd"/>
            <w:r w:rsidRPr="002F6402">
              <w:rPr>
                <w:i/>
                <w:iCs/>
                <w:sz w:val="20"/>
                <w:szCs w:val="20"/>
              </w:rPr>
              <w:t xml:space="preserve"> sector.</w:t>
            </w:r>
          </w:p>
        </w:tc>
      </w:tr>
      <w:tr w:rsidR="00255EC0" w:rsidRPr="002F6402" w14:paraId="3C5BAE95" w14:textId="77777777" w:rsidTr="00E8460A">
        <w:trPr>
          <w:trHeight w:val="113"/>
        </w:trPr>
        <w:tc>
          <w:tcPr>
            <w:tcW w:w="4390" w:type="dxa"/>
          </w:tcPr>
          <w:p w14:paraId="269A29BF" w14:textId="77777777" w:rsidR="00255EC0" w:rsidRPr="002F6402" w:rsidRDefault="00255EC0" w:rsidP="002F6402">
            <w:pPr>
              <w:pStyle w:val="Tabletextnospace"/>
              <w:rPr>
                <w:sz w:val="20"/>
                <w:szCs w:val="20"/>
              </w:rPr>
            </w:pPr>
            <w:r w:rsidRPr="002F6402">
              <w:rPr>
                <w:sz w:val="20"/>
                <w:szCs w:val="20"/>
              </w:rPr>
              <w:t>Engagements with businesses</w:t>
            </w:r>
          </w:p>
        </w:tc>
        <w:tc>
          <w:tcPr>
            <w:tcW w:w="964" w:type="dxa"/>
          </w:tcPr>
          <w:p w14:paraId="034049D9" w14:textId="77777777" w:rsidR="00255EC0" w:rsidRPr="002F6402" w:rsidRDefault="00255EC0" w:rsidP="002F6402">
            <w:pPr>
              <w:pStyle w:val="Tabletextnospace"/>
              <w:jc w:val="right"/>
              <w:rPr>
                <w:sz w:val="20"/>
                <w:szCs w:val="20"/>
              </w:rPr>
            </w:pPr>
            <w:r w:rsidRPr="002F6402">
              <w:rPr>
                <w:sz w:val="20"/>
                <w:szCs w:val="20"/>
              </w:rPr>
              <w:t>number</w:t>
            </w:r>
          </w:p>
        </w:tc>
        <w:tc>
          <w:tcPr>
            <w:tcW w:w="1034" w:type="dxa"/>
          </w:tcPr>
          <w:p w14:paraId="545DCBEB" w14:textId="77777777" w:rsidR="00255EC0" w:rsidRPr="002F6402" w:rsidRDefault="00255EC0" w:rsidP="002F6402">
            <w:pPr>
              <w:pStyle w:val="Tabletextnospace"/>
              <w:jc w:val="right"/>
              <w:rPr>
                <w:sz w:val="20"/>
                <w:szCs w:val="20"/>
              </w:rPr>
            </w:pPr>
            <w:r w:rsidRPr="002F6402">
              <w:rPr>
                <w:sz w:val="20"/>
                <w:szCs w:val="20"/>
              </w:rPr>
              <w:t>12,344</w:t>
            </w:r>
          </w:p>
        </w:tc>
        <w:tc>
          <w:tcPr>
            <w:tcW w:w="1134" w:type="dxa"/>
          </w:tcPr>
          <w:p w14:paraId="2D64D828" w14:textId="77777777" w:rsidR="00255EC0" w:rsidRPr="002F6402" w:rsidRDefault="00255EC0" w:rsidP="002F6402">
            <w:pPr>
              <w:pStyle w:val="Tabletextnospace"/>
              <w:jc w:val="right"/>
              <w:rPr>
                <w:sz w:val="20"/>
                <w:szCs w:val="20"/>
              </w:rPr>
            </w:pPr>
            <w:r w:rsidRPr="002F6402">
              <w:rPr>
                <w:sz w:val="20"/>
                <w:szCs w:val="20"/>
              </w:rPr>
              <w:t>14,000</w:t>
            </w:r>
          </w:p>
        </w:tc>
        <w:tc>
          <w:tcPr>
            <w:tcW w:w="1417" w:type="dxa"/>
          </w:tcPr>
          <w:p w14:paraId="10C54296" w14:textId="77777777" w:rsidR="00255EC0" w:rsidRPr="002F6402" w:rsidRDefault="00255EC0" w:rsidP="002F6402">
            <w:pPr>
              <w:pStyle w:val="Tabletextnospace"/>
              <w:jc w:val="right"/>
              <w:rPr>
                <w:sz w:val="20"/>
                <w:szCs w:val="20"/>
              </w:rPr>
            </w:pPr>
            <w:r w:rsidRPr="002F6402">
              <w:rPr>
                <w:sz w:val="20"/>
                <w:szCs w:val="20"/>
              </w:rPr>
              <w:t>-11.8%</w:t>
            </w:r>
          </w:p>
        </w:tc>
        <w:tc>
          <w:tcPr>
            <w:tcW w:w="788" w:type="dxa"/>
          </w:tcPr>
          <w:p w14:paraId="7A9835FA"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n</w:t>
            </w:r>
          </w:p>
        </w:tc>
      </w:tr>
      <w:tr w:rsidR="00255EC0" w:rsidRPr="002F6402" w14:paraId="1489393C" w14:textId="77777777" w:rsidTr="00E8460A">
        <w:trPr>
          <w:trHeight w:val="113"/>
        </w:trPr>
        <w:tc>
          <w:tcPr>
            <w:tcW w:w="9727" w:type="dxa"/>
            <w:gridSpan w:val="6"/>
          </w:tcPr>
          <w:p w14:paraId="24456039" w14:textId="17AF5256" w:rsidR="00255EC0" w:rsidRPr="002F6402" w:rsidRDefault="00255EC0" w:rsidP="002F6402">
            <w:pPr>
              <w:pStyle w:val="Tabletextnospace"/>
              <w:rPr>
                <w:i/>
                <w:iCs/>
                <w:sz w:val="20"/>
                <w:szCs w:val="20"/>
              </w:rPr>
            </w:pPr>
            <w:r w:rsidRPr="002F6402">
              <w:rPr>
                <w:i/>
                <w:iCs/>
                <w:sz w:val="20"/>
                <w:szCs w:val="20"/>
              </w:rPr>
              <w:t xml:space="preserve">Lower result due to access impediments </w:t>
            </w:r>
            <w:proofErr w:type="gramStart"/>
            <w:r w:rsidRPr="002F6402">
              <w:rPr>
                <w:i/>
                <w:iCs/>
                <w:sz w:val="20"/>
                <w:szCs w:val="20"/>
              </w:rPr>
              <w:t>as a result of</w:t>
            </w:r>
            <w:proofErr w:type="gramEnd"/>
            <w:r w:rsidRPr="002F6402">
              <w:rPr>
                <w:i/>
                <w:iCs/>
                <w:sz w:val="20"/>
                <w:szCs w:val="20"/>
              </w:rPr>
              <w:t xml:space="preserve"> coronavirus (COVID-19). In addition, </w:t>
            </w:r>
            <w:proofErr w:type="gramStart"/>
            <w:r w:rsidRPr="002F6402">
              <w:rPr>
                <w:i/>
                <w:iCs/>
                <w:sz w:val="20"/>
                <w:szCs w:val="20"/>
              </w:rPr>
              <w:t>a number of</w:t>
            </w:r>
            <w:proofErr w:type="gramEnd"/>
            <w:r w:rsidRPr="002F6402">
              <w:rPr>
                <w:i/>
                <w:iCs/>
                <w:sz w:val="20"/>
                <w:szCs w:val="20"/>
              </w:rPr>
              <w:t xml:space="preserve"> staff who would undertake business-as-usual engagements were enlisted to assist with the coronavirus (COVID</w:t>
            </w:r>
            <w:r w:rsidR="002F6402">
              <w:rPr>
                <w:i/>
                <w:iCs/>
                <w:sz w:val="20"/>
                <w:szCs w:val="20"/>
              </w:rPr>
              <w:noBreakHyphen/>
            </w:r>
            <w:r w:rsidRPr="002F6402">
              <w:rPr>
                <w:i/>
                <w:iCs/>
                <w:sz w:val="20"/>
                <w:szCs w:val="20"/>
              </w:rPr>
              <w:t xml:space="preserve">19) response. </w:t>
            </w:r>
          </w:p>
        </w:tc>
      </w:tr>
      <w:tr w:rsidR="00255EC0" w:rsidRPr="002F6402" w14:paraId="5E5CB03D" w14:textId="77777777" w:rsidTr="00E8460A">
        <w:trPr>
          <w:trHeight w:val="113"/>
        </w:trPr>
        <w:tc>
          <w:tcPr>
            <w:tcW w:w="4390" w:type="dxa"/>
          </w:tcPr>
          <w:p w14:paraId="6F65740F" w14:textId="77777777" w:rsidR="00255EC0" w:rsidRPr="002F6402" w:rsidRDefault="00255EC0" w:rsidP="002F6402">
            <w:pPr>
              <w:pStyle w:val="Tabletextnospace"/>
              <w:rPr>
                <w:sz w:val="20"/>
                <w:szCs w:val="20"/>
              </w:rPr>
            </w:pPr>
            <w:r w:rsidRPr="002F6402">
              <w:rPr>
                <w:sz w:val="20"/>
                <w:szCs w:val="20"/>
              </w:rPr>
              <w:t>Industry roundtables and engagement forums</w:t>
            </w:r>
          </w:p>
        </w:tc>
        <w:tc>
          <w:tcPr>
            <w:tcW w:w="964" w:type="dxa"/>
          </w:tcPr>
          <w:p w14:paraId="2222454F" w14:textId="77777777" w:rsidR="00255EC0" w:rsidRPr="002F6402" w:rsidRDefault="00255EC0" w:rsidP="002F6402">
            <w:pPr>
              <w:pStyle w:val="Tabletextnospace"/>
              <w:jc w:val="right"/>
              <w:rPr>
                <w:sz w:val="20"/>
                <w:szCs w:val="20"/>
              </w:rPr>
            </w:pPr>
            <w:r w:rsidRPr="002F6402">
              <w:rPr>
                <w:sz w:val="20"/>
                <w:szCs w:val="20"/>
              </w:rPr>
              <w:t>number</w:t>
            </w:r>
          </w:p>
        </w:tc>
        <w:tc>
          <w:tcPr>
            <w:tcW w:w="1034" w:type="dxa"/>
          </w:tcPr>
          <w:p w14:paraId="17C9A3DF" w14:textId="77777777" w:rsidR="00255EC0" w:rsidRPr="002F6402" w:rsidRDefault="00255EC0" w:rsidP="002F6402">
            <w:pPr>
              <w:pStyle w:val="Tabletextnospace"/>
              <w:jc w:val="right"/>
              <w:rPr>
                <w:sz w:val="20"/>
                <w:szCs w:val="20"/>
              </w:rPr>
            </w:pPr>
            <w:r w:rsidRPr="002F6402">
              <w:rPr>
                <w:sz w:val="20"/>
                <w:szCs w:val="20"/>
              </w:rPr>
              <w:t>29</w:t>
            </w:r>
          </w:p>
        </w:tc>
        <w:tc>
          <w:tcPr>
            <w:tcW w:w="1134" w:type="dxa"/>
          </w:tcPr>
          <w:p w14:paraId="2DA05005" w14:textId="77777777" w:rsidR="00255EC0" w:rsidRPr="002F6402" w:rsidRDefault="00255EC0" w:rsidP="002F6402">
            <w:pPr>
              <w:pStyle w:val="Tabletextnospace"/>
              <w:jc w:val="right"/>
              <w:rPr>
                <w:sz w:val="20"/>
                <w:szCs w:val="20"/>
              </w:rPr>
            </w:pPr>
            <w:r w:rsidRPr="002F6402">
              <w:rPr>
                <w:sz w:val="20"/>
                <w:szCs w:val="20"/>
              </w:rPr>
              <w:t>42</w:t>
            </w:r>
          </w:p>
        </w:tc>
        <w:tc>
          <w:tcPr>
            <w:tcW w:w="1417" w:type="dxa"/>
          </w:tcPr>
          <w:p w14:paraId="7A2A9785" w14:textId="77777777" w:rsidR="00255EC0" w:rsidRPr="002F6402" w:rsidRDefault="00255EC0" w:rsidP="002F6402">
            <w:pPr>
              <w:pStyle w:val="Tabletextnospace"/>
              <w:jc w:val="right"/>
              <w:rPr>
                <w:sz w:val="20"/>
                <w:szCs w:val="20"/>
              </w:rPr>
            </w:pPr>
            <w:r w:rsidRPr="002F6402">
              <w:rPr>
                <w:sz w:val="20"/>
                <w:szCs w:val="20"/>
              </w:rPr>
              <w:t>-31.0%</w:t>
            </w:r>
          </w:p>
        </w:tc>
        <w:tc>
          <w:tcPr>
            <w:tcW w:w="788" w:type="dxa"/>
          </w:tcPr>
          <w:p w14:paraId="4F03C300"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n</w:t>
            </w:r>
          </w:p>
        </w:tc>
      </w:tr>
      <w:tr w:rsidR="00255EC0" w:rsidRPr="002F6402" w14:paraId="0C5FD190" w14:textId="77777777" w:rsidTr="00E8460A">
        <w:trPr>
          <w:trHeight w:val="113"/>
        </w:trPr>
        <w:tc>
          <w:tcPr>
            <w:tcW w:w="9727" w:type="dxa"/>
            <w:gridSpan w:val="6"/>
          </w:tcPr>
          <w:p w14:paraId="24E1FAD0" w14:textId="77777777" w:rsidR="00255EC0" w:rsidRPr="002F6402" w:rsidRDefault="00255EC0" w:rsidP="002F6402">
            <w:pPr>
              <w:pStyle w:val="Tabletextnospace"/>
              <w:rPr>
                <w:i/>
                <w:iCs/>
                <w:sz w:val="20"/>
                <w:szCs w:val="20"/>
              </w:rPr>
            </w:pPr>
            <w:r w:rsidRPr="002F6402">
              <w:rPr>
                <w:i/>
                <w:iCs/>
                <w:sz w:val="20"/>
                <w:szCs w:val="20"/>
              </w:rPr>
              <w:t xml:space="preserve">Lower result due to the large number of industry roundtables and engagement forums that were scheduled to be held in person. Although </w:t>
            </w:r>
            <w:proofErr w:type="gramStart"/>
            <w:r w:rsidRPr="002F6402">
              <w:rPr>
                <w:i/>
                <w:iCs/>
                <w:sz w:val="20"/>
                <w:szCs w:val="20"/>
              </w:rPr>
              <w:t>a number of</w:t>
            </w:r>
            <w:proofErr w:type="gramEnd"/>
            <w:r w:rsidRPr="002F6402">
              <w:rPr>
                <w:i/>
                <w:iCs/>
                <w:sz w:val="20"/>
                <w:szCs w:val="20"/>
              </w:rPr>
              <w:t xml:space="preserve"> forums were held online, the outcome has been impacted due to a number of forums being deferred beyond 2019-20 or cancelled.</w:t>
            </w:r>
          </w:p>
        </w:tc>
      </w:tr>
      <w:tr w:rsidR="00255EC0" w:rsidRPr="002F6402" w14:paraId="4B979242" w14:textId="77777777" w:rsidTr="00E8460A">
        <w:trPr>
          <w:trHeight w:val="113"/>
        </w:trPr>
        <w:tc>
          <w:tcPr>
            <w:tcW w:w="4390" w:type="dxa"/>
          </w:tcPr>
          <w:p w14:paraId="52F7262D" w14:textId="77777777" w:rsidR="00255EC0" w:rsidRPr="002F6402" w:rsidRDefault="00255EC0" w:rsidP="002F6402">
            <w:pPr>
              <w:pStyle w:val="Tabletextnospace"/>
              <w:rPr>
                <w:sz w:val="20"/>
                <w:szCs w:val="20"/>
              </w:rPr>
            </w:pPr>
            <w:r w:rsidRPr="002F6402">
              <w:rPr>
                <w:sz w:val="20"/>
                <w:szCs w:val="20"/>
              </w:rPr>
              <w:t>New mobile base stations facilitated</w:t>
            </w:r>
          </w:p>
        </w:tc>
        <w:tc>
          <w:tcPr>
            <w:tcW w:w="964" w:type="dxa"/>
          </w:tcPr>
          <w:p w14:paraId="6E807445" w14:textId="77777777" w:rsidR="00255EC0" w:rsidRPr="002F6402" w:rsidRDefault="00255EC0" w:rsidP="002F6402">
            <w:pPr>
              <w:pStyle w:val="Tabletextnospace"/>
              <w:jc w:val="right"/>
              <w:rPr>
                <w:sz w:val="20"/>
                <w:szCs w:val="20"/>
              </w:rPr>
            </w:pPr>
            <w:r w:rsidRPr="002F6402">
              <w:rPr>
                <w:sz w:val="20"/>
                <w:szCs w:val="20"/>
              </w:rPr>
              <w:t>number</w:t>
            </w:r>
          </w:p>
        </w:tc>
        <w:tc>
          <w:tcPr>
            <w:tcW w:w="1034" w:type="dxa"/>
          </w:tcPr>
          <w:p w14:paraId="50F978CC" w14:textId="77777777" w:rsidR="00255EC0" w:rsidRPr="002F6402" w:rsidRDefault="00255EC0" w:rsidP="002F6402">
            <w:pPr>
              <w:pStyle w:val="Tabletextnospace"/>
              <w:jc w:val="right"/>
              <w:rPr>
                <w:sz w:val="20"/>
                <w:szCs w:val="20"/>
              </w:rPr>
            </w:pPr>
            <w:r w:rsidRPr="002F6402">
              <w:rPr>
                <w:sz w:val="20"/>
                <w:szCs w:val="20"/>
              </w:rPr>
              <w:t>43</w:t>
            </w:r>
          </w:p>
        </w:tc>
        <w:tc>
          <w:tcPr>
            <w:tcW w:w="1134" w:type="dxa"/>
          </w:tcPr>
          <w:p w14:paraId="0D9BFC29" w14:textId="77777777" w:rsidR="00255EC0" w:rsidRPr="002F6402" w:rsidRDefault="00255EC0" w:rsidP="002F6402">
            <w:pPr>
              <w:pStyle w:val="Tabletextnospace"/>
              <w:jc w:val="right"/>
              <w:rPr>
                <w:sz w:val="20"/>
                <w:szCs w:val="20"/>
              </w:rPr>
            </w:pPr>
            <w:r w:rsidRPr="002F6402">
              <w:rPr>
                <w:sz w:val="20"/>
                <w:szCs w:val="20"/>
              </w:rPr>
              <w:t>45</w:t>
            </w:r>
          </w:p>
        </w:tc>
        <w:tc>
          <w:tcPr>
            <w:tcW w:w="1417" w:type="dxa"/>
          </w:tcPr>
          <w:p w14:paraId="34256066" w14:textId="77777777" w:rsidR="00255EC0" w:rsidRPr="002F6402" w:rsidRDefault="00255EC0" w:rsidP="002F6402">
            <w:pPr>
              <w:pStyle w:val="Tabletextnospace"/>
              <w:jc w:val="right"/>
              <w:rPr>
                <w:sz w:val="20"/>
                <w:szCs w:val="20"/>
              </w:rPr>
            </w:pPr>
            <w:r w:rsidRPr="002F6402">
              <w:rPr>
                <w:sz w:val="20"/>
                <w:szCs w:val="20"/>
              </w:rPr>
              <w:t>-4.4%</w:t>
            </w:r>
          </w:p>
        </w:tc>
        <w:tc>
          <w:tcPr>
            <w:tcW w:w="788" w:type="dxa"/>
          </w:tcPr>
          <w:p w14:paraId="18F0090A"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2" w:hAnsi="Wingdings 2" w:cs="Wingdings 2"/>
                <w:sz w:val="20"/>
                <w:lang w:val="en-GB"/>
              </w:rPr>
              <w:t>™</w:t>
            </w:r>
          </w:p>
        </w:tc>
      </w:tr>
      <w:tr w:rsidR="00255EC0" w:rsidRPr="002F6402" w14:paraId="5683E72F" w14:textId="77777777" w:rsidTr="00E8460A">
        <w:trPr>
          <w:trHeight w:val="113"/>
        </w:trPr>
        <w:tc>
          <w:tcPr>
            <w:tcW w:w="4390" w:type="dxa"/>
          </w:tcPr>
          <w:p w14:paraId="10D2CEB6" w14:textId="77777777" w:rsidR="00255EC0" w:rsidRPr="002F6402" w:rsidRDefault="00255EC0" w:rsidP="002F6402">
            <w:pPr>
              <w:pStyle w:val="Tabletextnospace"/>
              <w:rPr>
                <w:sz w:val="20"/>
                <w:szCs w:val="20"/>
              </w:rPr>
            </w:pPr>
            <w:r w:rsidRPr="002F6402">
              <w:rPr>
                <w:sz w:val="20"/>
                <w:szCs w:val="20"/>
              </w:rPr>
              <w:t>Participation in Small Business Victoria targeted</w:t>
            </w:r>
            <w:r w:rsidRPr="002F6402">
              <w:rPr>
                <w:sz w:val="20"/>
                <w:szCs w:val="20"/>
              </w:rPr>
              <w:br/>
              <w:t>and inclusive events and business programs</w:t>
            </w:r>
          </w:p>
        </w:tc>
        <w:tc>
          <w:tcPr>
            <w:tcW w:w="964" w:type="dxa"/>
          </w:tcPr>
          <w:p w14:paraId="0250E2B4" w14:textId="77777777" w:rsidR="00255EC0" w:rsidRPr="002F6402" w:rsidRDefault="00255EC0" w:rsidP="002F6402">
            <w:pPr>
              <w:pStyle w:val="Tabletextnospace"/>
              <w:jc w:val="right"/>
              <w:rPr>
                <w:sz w:val="20"/>
                <w:szCs w:val="20"/>
              </w:rPr>
            </w:pPr>
            <w:r w:rsidRPr="002F6402">
              <w:rPr>
                <w:sz w:val="20"/>
                <w:szCs w:val="20"/>
              </w:rPr>
              <w:t>number</w:t>
            </w:r>
          </w:p>
        </w:tc>
        <w:tc>
          <w:tcPr>
            <w:tcW w:w="1034" w:type="dxa"/>
          </w:tcPr>
          <w:p w14:paraId="7415CAE9" w14:textId="77777777" w:rsidR="00255EC0" w:rsidRPr="002F6402" w:rsidRDefault="00255EC0" w:rsidP="002F6402">
            <w:pPr>
              <w:pStyle w:val="Tabletextnospace"/>
              <w:jc w:val="right"/>
              <w:rPr>
                <w:sz w:val="20"/>
                <w:szCs w:val="20"/>
              </w:rPr>
            </w:pPr>
            <w:r w:rsidRPr="002F6402">
              <w:rPr>
                <w:sz w:val="20"/>
                <w:szCs w:val="20"/>
              </w:rPr>
              <w:t>30,536</w:t>
            </w:r>
          </w:p>
        </w:tc>
        <w:tc>
          <w:tcPr>
            <w:tcW w:w="1134" w:type="dxa"/>
          </w:tcPr>
          <w:p w14:paraId="03163D58" w14:textId="77777777" w:rsidR="00255EC0" w:rsidRPr="002F6402" w:rsidRDefault="00255EC0" w:rsidP="002F6402">
            <w:pPr>
              <w:pStyle w:val="Tabletextnospace"/>
              <w:jc w:val="right"/>
              <w:rPr>
                <w:sz w:val="20"/>
                <w:szCs w:val="20"/>
              </w:rPr>
            </w:pPr>
            <w:r w:rsidRPr="002F6402">
              <w:rPr>
                <w:sz w:val="20"/>
                <w:szCs w:val="20"/>
              </w:rPr>
              <w:t>30,000</w:t>
            </w:r>
          </w:p>
        </w:tc>
        <w:tc>
          <w:tcPr>
            <w:tcW w:w="1417" w:type="dxa"/>
          </w:tcPr>
          <w:p w14:paraId="073C045B" w14:textId="77777777" w:rsidR="00255EC0" w:rsidRPr="002F6402" w:rsidRDefault="00255EC0" w:rsidP="002F6402">
            <w:pPr>
              <w:pStyle w:val="Tabletextnospace"/>
              <w:jc w:val="right"/>
              <w:rPr>
                <w:sz w:val="20"/>
                <w:szCs w:val="20"/>
              </w:rPr>
            </w:pPr>
            <w:r w:rsidRPr="002F6402">
              <w:rPr>
                <w:sz w:val="20"/>
                <w:szCs w:val="20"/>
              </w:rPr>
              <w:t>1.8%</w:t>
            </w:r>
          </w:p>
        </w:tc>
        <w:tc>
          <w:tcPr>
            <w:tcW w:w="788" w:type="dxa"/>
          </w:tcPr>
          <w:p w14:paraId="247FD10F"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2F6402" w14:paraId="3319B557" w14:textId="77777777" w:rsidTr="00E8460A">
        <w:trPr>
          <w:trHeight w:val="113"/>
        </w:trPr>
        <w:tc>
          <w:tcPr>
            <w:tcW w:w="4390" w:type="dxa"/>
          </w:tcPr>
          <w:p w14:paraId="1D48D041" w14:textId="77777777" w:rsidR="00255EC0" w:rsidRPr="002F6402" w:rsidRDefault="00255EC0" w:rsidP="002F6402">
            <w:pPr>
              <w:pStyle w:val="Tabletextnospace"/>
              <w:rPr>
                <w:sz w:val="20"/>
                <w:szCs w:val="20"/>
              </w:rPr>
            </w:pPr>
            <w:r w:rsidRPr="002F6402">
              <w:rPr>
                <w:sz w:val="20"/>
                <w:szCs w:val="20"/>
              </w:rPr>
              <w:t>Visits to Business Victoria digital channels</w:t>
            </w:r>
          </w:p>
        </w:tc>
        <w:tc>
          <w:tcPr>
            <w:tcW w:w="964" w:type="dxa"/>
          </w:tcPr>
          <w:p w14:paraId="0D6A0510" w14:textId="77777777" w:rsidR="00255EC0" w:rsidRPr="002F6402" w:rsidRDefault="00255EC0" w:rsidP="002F6402">
            <w:pPr>
              <w:pStyle w:val="Tabletextnospace"/>
              <w:jc w:val="right"/>
              <w:rPr>
                <w:sz w:val="20"/>
                <w:szCs w:val="20"/>
              </w:rPr>
            </w:pPr>
            <w:r w:rsidRPr="002F6402">
              <w:rPr>
                <w:sz w:val="20"/>
                <w:szCs w:val="20"/>
              </w:rPr>
              <w:t>number</w:t>
            </w:r>
          </w:p>
        </w:tc>
        <w:tc>
          <w:tcPr>
            <w:tcW w:w="1034" w:type="dxa"/>
          </w:tcPr>
          <w:p w14:paraId="3750FA2D" w14:textId="77777777" w:rsidR="00255EC0" w:rsidRPr="002F6402" w:rsidRDefault="00255EC0" w:rsidP="002F6402">
            <w:pPr>
              <w:pStyle w:val="Tabletextnospace"/>
              <w:jc w:val="right"/>
              <w:rPr>
                <w:sz w:val="20"/>
                <w:szCs w:val="20"/>
              </w:rPr>
            </w:pPr>
            <w:r w:rsidRPr="002F6402">
              <w:rPr>
                <w:sz w:val="20"/>
                <w:szCs w:val="20"/>
              </w:rPr>
              <w:t>5,293,814</w:t>
            </w:r>
          </w:p>
        </w:tc>
        <w:tc>
          <w:tcPr>
            <w:tcW w:w="1134" w:type="dxa"/>
          </w:tcPr>
          <w:p w14:paraId="389A4F23" w14:textId="77777777" w:rsidR="00255EC0" w:rsidRPr="002F6402" w:rsidRDefault="00255EC0" w:rsidP="002F6402">
            <w:pPr>
              <w:pStyle w:val="Tabletextnospace"/>
              <w:jc w:val="right"/>
              <w:rPr>
                <w:sz w:val="20"/>
                <w:szCs w:val="20"/>
              </w:rPr>
            </w:pPr>
            <w:r w:rsidRPr="002F6402">
              <w:rPr>
                <w:sz w:val="20"/>
                <w:szCs w:val="20"/>
              </w:rPr>
              <w:t>3,000,000</w:t>
            </w:r>
          </w:p>
        </w:tc>
        <w:tc>
          <w:tcPr>
            <w:tcW w:w="1417" w:type="dxa"/>
          </w:tcPr>
          <w:p w14:paraId="12DAD3CD" w14:textId="77777777" w:rsidR="00255EC0" w:rsidRPr="002F6402" w:rsidRDefault="00255EC0" w:rsidP="002F6402">
            <w:pPr>
              <w:pStyle w:val="Tabletextnospace"/>
              <w:jc w:val="right"/>
              <w:rPr>
                <w:sz w:val="20"/>
                <w:szCs w:val="20"/>
              </w:rPr>
            </w:pPr>
            <w:r w:rsidRPr="002F6402">
              <w:rPr>
                <w:sz w:val="20"/>
                <w:szCs w:val="20"/>
              </w:rPr>
              <w:t>76.5%</w:t>
            </w:r>
          </w:p>
        </w:tc>
        <w:tc>
          <w:tcPr>
            <w:tcW w:w="788" w:type="dxa"/>
          </w:tcPr>
          <w:p w14:paraId="6FFC0A08"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8728B5" w14:paraId="6EBA0A16" w14:textId="77777777" w:rsidTr="00E8460A">
        <w:trPr>
          <w:trHeight w:val="113"/>
        </w:trPr>
        <w:tc>
          <w:tcPr>
            <w:tcW w:w="9727" w:type="dxa"/>
            <w:gridSpan w:val="6"/>
          </w:tcPr>
          <w:p w14:paraId="7C4E9BC0" w14:textId="22B76619" w:rsidR="00255EC0" w:rsidRPr="008728B5" w:rsidRDefault="00255EC0" w:rsidP="002F6402">
            <w:pPr>
              <w:pStyle w:val="Tabletextnospace"/>
              <w:rPr>
                <w:i/>
                <w:iCs/>
                <w:sz w:val="20"/>
                <w:szCs w:val="20"/>
              </w:rPr>
            </w:pPr>
            <w:r w:rsidRPr="008728B5">
              <w:rPr>
                <w:i/>
                <w:iCs/>
                <w:sz w:val="20"/>
                <w:szCs w:val="20"/>
              </w:rPr>
              <w:t xml:space="preserve">Higher result due to increased website traffic. The Business Victoria digital channels were the </w:t>
            </w:r>
            <w:proofErr w:type="spellStart"/>
            <w:r w:rsidRPr="008728B5">
              <w:rPr>
                <w:i/>
                <w:iCs/>
                <w:sz w:val="20"/>
                <w:szCs w:val="20"/>
              </w:rPr>
              <w:t>WoVG</w:t>
            </w:r>
            <w:proofErr w:type="spellEnd"/>
            <w:r w:rsidRPr="008728B5">
              <w:rPr>
                <w:i/>
                <w:iCs/>
                <w:sz w:val="20"/>
                <w:szCs w:val="20"/>
              </w:rPr>
              <w:t xml:space="preserve"> online business information point</w:t>
            </w:r>
            <w:r w:rsidR="008728B5">
              <w:rPr>
                <w:i/>
                <w:iCs/>
                <w:sz w:val="20"/>
                <w:szCs w:val="20"/>
              </w:rPr>
              <w:t xml:space="preserve"> </w:t>
            </w:r>
            <w:r w:rsidRPr="008728B5">
              <w:rPr>
                <w:i/>
                <w:iCs/>
                <w:sz w:val="20"/>
                <w:szCs w:val="20"/>
              </w:rPr>
              <w:t xml:space="preserve">to provide businesses with bushfire and coronavirus (COVID-19) information and the portals for applying for support funding. </w:t>
            </w:r>
          </w:p>
        </w:tc>
      </w:tr>
      <w:tr w:rsidR="00255EC0" w:rsidRPr="008728B5" w14:paraId="1796EA20" w14:textId="77777777" w:rsidTr="00E8460A">
        <w:trPr>
          <w:trHeight w:val="113"/>
        </w:trPr>
        <w:tc>
          <w:tcPr>
            <w:tcW w:w="9727" w:type="dxa"/>
            <w:gridSpan w:val="6"/>
          </w:tcPr>
          <w:p w14:paraId="7221D936" w14:textId="77777777" w:rsidR="00255EC0" w:rsidRPr="008728B5" w:rsidRDefault="00255EC0" w:rsidP="002F6402">
            <w:pPr>
              <w:pStyle w:val="Tabletextnospace"/>
              <w:rPr>
                <w:b/>
                <w:bCs/>
                <w:sz w:val="20"/>
                <w:szCs w:val="20"/>
              </w:rPr>
            </w:pPr>
            <w:r w:rsidRPr="008728B5">
              <w:rPr>
                <w:b/>
                <w:bCs/>
                <w:sz w:val="20"/>
                <w:szCs w:val="20"/>
              </w:rPr>
              <w:t>Quality</w:t>
            </w:r>
          </w:p>
        </w:tc>
      </w:tr>
      <w:tr w:rsidR="00255EC0" w:rsidRPr="002F6402" w14:paraId="5446D78E" w14:textId="77777777" w:rsidTr="00E8460A">
        <w:trPr>
          <w:trHeight w:val="113"/>
        </w:trPr>
        <w:tc>
          <w:tcPr>
            <w:tcW w:w="4390" w:type="dxa"/>
          </w:tcPr>
          <w:p w14:paraId="13A08AB2" w14:textId="77777777" w:rsidR="00255EC0" w:rsidRPr="002F6402" w:rsidRDefault="00255EC0" w:rsidP="002F6402">
            <w:pPr>
              <w:pStyle w:val="Tabletextnospace"/>
              <w:rPr>
                <w:sz w:val="20"/>
                <w:szCs w:val="20"/>
              </w:rPr>
            </w:pPr>
            <w:r w:rsidRPr="002F6402">
              <w:rPr>
                <w:sz w:val="20"/>
                <w:szCs w:val="20"/>
              </w:rPr>
              <w:t xml:space="preserve">Client satisfaction of small business information, referral, mentoring </w:t>
            </w:r>
            <w:proofErr w:type="gramStart"/>
            <w:r w:rsidRPr="002F6402">
              <w:rPr>
                <w:sz w:val="20"/>
                <w:szCs w:val="20"/>
              </w:rPr>
              <w:t>service</w:t>
            </w:r>
            <w:proofErr w:type="gramEnd"/>
            <w:r w:rsidRPr="002F6402">
              <w:rPr>
                <w:sz w:val="20"/>
                <w:szCs w:val="20"/>
              </w:rPr>
              <w:t xml:space="preserve"> and business programs</w:t>
            </w:r>
          </w:p>
        </w:tc>
        <w:tc>
          <w:tcPr>
            <w:tcW w:w="964" w:type="dxa"/>
          </w:tcPr>
          <w:p w14:paraId="10F58391" w14:textId="77777777" w:rsidR="00255EC0" w:rsidRPr="002F6402" w:rsidRDefault="00255EC0" w:rsidP="008728B5">
            <w:pPr>
              <w:pStyle w:val="Tabletextnospace"/>
              <w:jc w:val="right"/>
              <w:rPr>
                <w:sz w:val="20"/>
                <w:szCs w:val="20"/>
              </w:rPr>
            </w:pPr>
            <w:r w:rsidRPr="002F6402">
              <w:rPr>
                <w:sz w:val="20"/>
                <w:szCs w:val="20"/>
              </w:rPr>
              <w:t>per cent</w:t>
            </w:r>
          </w:p>
        </w:tc>
        <w:tc>
          <w:tcPr>
            <w:tcW w:w="1034" w:type="dxa"/>
          </w:tcPr>
          <w:p w14:paraId="35C50E4B" w14:textId="77777777" w:rsidR="00255EC0" w:rsidRPr="002F6402" w:rsidRDefault="00255EC0" w:rsidP="008728B5">
            <w:pPr>
              <w:pStyle w:val="Tabletextnospace"/>
              <w:jc w:val="right"/>
              <w:rPr>
                <w:sz w:val="20"/>
                <w:szCs w:val="20"/>
              </w:rPr>
            </w:pPr>
            <w:r w:rsidRPr="002F6402">
              <w:rPr>
                <w:sz w:val="20"/>
                <w:szCs w:val="20"/>
              </w:rPr>
              <w:t>93.45</w:t>
            </w:r>
          </w:p>
        </w:tc>
        <w:tc>
          <w:tcPr>
            <w:tcW w:w="1134" w:type="dxa"/>
          </w:tcPr>
          <w:p w14:paraId="63C22B0F" w14:textId="77777777" w:rsidR="00255EC0" w:rsidRPr="002F6402" w:rsidRDefault="00255EC0" w:rsidP="008728B5">
            <w:pPr>
              <w:pStyle w:val="Tabletextnospace"/>
              <w:jc w:val="right"/>
              <w:rPr>
                <w:sz w:val="20"/>
                <w:szCs w:val="20"/>
              </w:rPr>
            </w:pPr>
            <w:r w:rsidRPr="002F6402">
              <w:rPr>
                <w:sz w:val="20"/>
                <w:szCs w:val="20"/>
              </w:rPr>
              <w:t>90</w:t>
            </w:r>
          </w:p>
        </w:tc>
        <w:tc>
          <w:tcPr>
            <w:tcW w:w="1417" w:type="dxa"/>
          </w:tcPr>
          <w:p w14:paraId="2AFADA28" w14:textId="77777777" w:rsidR="00255EC0" w:rsidRPr="002F6402" w:rsidRDefault="00255EC0" w:rsidP="008728B5">
            <w:pPr>
              <w:pStyle w:val="Tabletextnospace"/>
              <w:jc w:val="right"/>
              <w:rPr>
                <w:sz w:val="20"/>
                <w:szCs w:val="20"/>
              </w:rPr>
            </w:pPr>
            <w:r w:rsidRPr="002F6402">
              <w:rPr>
                <w:sz w:val="20"/>
                <w:szCs w:val="20"/>
              </w:rPr>
              <w:t>3.8%</w:t>
            </w:r>
          </w:p>
        </w:tc>
        <w:tc>
          <w:tcPr>
            <w:tcW w:w="788" w:type="dxa"/>
          </w:tcPr>
          <w:p w14:paraId="74900619"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2F6402" w14:paraId="6FCE07D9" w14:textId="77777777" w:rsidTr="00E8460A">
        <w:trPr>
          <w:trHeight w:val="113"/>
        </w:trPr>
        <w:tc>
          <w:tcPr>
            <w:tcW w:w="4390" w:type="dxa"/>
          </w:tcPr>
          <w:p w14:paraId="3CC840C5" w14:textId="77777777" w:rsidR="00255EC0" w:rsidRPr="002F6402" w:rsidRDefault="00255EC0" w:rsidP="002F6402">
            <w:pPr>
              <w:pStyle w:val="Tabletextnospace"/>
              <w:rPr>
                <w:sz w:val="20"/>
                <w:szCs w:val="20"/>
              </w:rPr>
            </w:pPr>
            <w:r w:rsidRPr="002F6402">
              <w:rPr>
                <w:sz w:val="20"/>
                <w:szCs w:val="20"/>
              </w:rPr>
              <w:lastRenderedPageBreak/>
              <w:t>Client satisfaction with the Victorian Government Business Offices</w:t>
            </w:r>
          </w:p>
        </w:tc>
        <w:tc>
          <w:tcPr>
            <w:tcW w:w="964" w:type="dxa"/>
          </w:tcPr>
          <w:p w14:paraId="6969ABC4" w14:textId="77777777" w:rsidR="00255EC0" w:rsidRPr="002F6402" w:rsidRDefault="00255EC0" w:rsidP="008728B5">
            <w:pPr>
              <w:pStyle w:val="Tabletextnospace"/>
              <w:jc w:val="right"/>
              <w:rPr>
                <w:sz w:val="20"/>
                <w:szCs w:val="20"/>
              </w:rPr>
            </w:pPr>
            <w:r w:rsidRPr="002F6402">
              <w:rPr>
                <w:sz w:val="20"/>
                <w:szCs w:val="20"/>
              </w:rPr>
              <w:t>per cent</w:t>
            </w:r>
          </w:p>
        </w:tc>
        <w:tc>
          <w:tcPr>
            <w:tcW w:w="1034" w:type="dxa"/>
          </w:tcPr>
          <w:p w14:paraId="15EF751E" w14:textId="77777777" w:rsidR="00255EC0" w:rsidRPr="002F6402" w:rsidRDefault="00255EC0" w:rsidP="008728B5">
            <w:pPr>
              <w:pStyle w:val="Tabletextnospace"/>
              <w:jc w:val="right"/>
              <w:rPr>
                <w:sz w:val="20"/>
                <w:szCs w:val="20"/>
              </w:rPr>
            </w:pPr>
            <w:r w:rsidRPr="002F6402">
              <w:rPr>
                <w:sz w:val="20"/>
                <w:szCs w:val="20"/>
              </w:rPr>
              <w:t>77.4</w:t>
            </w:r>
          </w:p>
        </w:tc>
        <w:tc>
          <w:tcPr>
            <w:tcW w:w="1134" w:type="dxa"/>
          </w:tcPr>
          <w:p w14:paraId="1E6CBD7E" w14:textId="77777777" w:rsidR="00255EC0" w:rsidRPr="002F6402" w:rsidRDefault="00255EC0" w:rsidP="008728B5">
            <w:pPr>
              <w:pStyle w:val="Tabletextnospace"/>
              <w:jc w:val="right"/>
              <w:rPr>
                <w:sz w:val="20"/>
                <w:szCs w:val="20"/>
              </w:rPr>
            </w:pPr>
            <w:r w:rsidRPr="002F6402">
              <w:rPr>
                <w:sz w:val="20"/>
                <w:szCs w:val="20"/>
              </w:rPr>
              <w:t>80</w:t>
            </w:r>
          </w:p>
        </w:tc>
        <w:tc>
          <w:tcPr>
            <w:tcW w:w="1417" w:type="dxa"/>
          </w:tcPr>
          <w:p w14:paraId="4CAE4A16" w14:textId="77777777" w:rsidR="00255EC0" w:rsidRPr="002F6402" w:rsidRDefault="00255EC0" w:rsidP="008728B5">
            <w:pPr>
              <w:pStyle w:val="Tabletextnospace"/>
              <w:jc w:val="right"/>
              <w:rPr>
                <w:sz w:val="20"/>
                <w:szCs w:val="20"/>
              </w:rPr>
            </w:pPr>
            <w:r w:rsidRPr="002F6402">
              <w:rPr>
                <w:sz w:val="20"/>
                <w:szCs w:val="20"/>
              </w:rPr>
              <w:t>-3.2%</w:t>
            </w:r>
          </w:p>
        </w:tc>
        <w:tc>
          <w:tcPr>
            <w:tcW w:w="788" w:type="dxa"/>
          </w:tcPr>
          <w:p w14:paraId="555D1A7D"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2" w:hAnsi="Wingdings 2" w:cs="Wingdings 2"/>
                <w:sz w:val="20"/>
                <w:lang w:val="en-GB"/>
              </w:rPr>
              <w:t>™</w:t>
            </w:r>
          </w:p>
        </w:tc>
      </w:tr>
      <w:tr w:rsidR="00255EC0" w:rsidRPr="002F6402" w14:paraId="635D72DA" w14:textId="77777777" w:rsidTr="00E8460A">
        <w:trPr>
          <w:trHeight w:val="113"/>
        </w:trPr>
        <w:tc>
          <w:tcPr>
            <w:tcW w:w="4390" w:type="dxa"/>
          </w:tcPr>
          <w:p w14:paraId="4E0FF2E3" w14:textId="77777777" w:rsidR="00255EC0" w:rsidRPr="002F6402" w:rsidRDefault="00255EC0" w:rsidP="002F6402">
            <w:pPr>
              <w:pStyle w:val="Tabletextnospace"/>
              <w:rPr>
                <w:sz w:val="20"/>
                <w:szCs w:val="20"/>
              </w:rPr>
            </w:pPr>
            <w:r w:rsidRPr="002F6402">
              <w:rPr>
                <w:sz w:val="20"/>
                <w:szCs w:val="20"/>
              </w:rPr>
              <w:t>Client satisfaction with Victorian Small Business Commission mediation service</w:t>
            </w:r>
          </w:p>
        </w:tc>
        <w:tc>
          <w:tcPr>
            <w:tcW w:w="964" w:type="dxa"/>
          </w:tcPr>
          <w:p w14:paraId="54E5CD66" w14:textId="77777777" w:rsidR="00255EC0" w:rsidRPr="002F6402" w:rsidRDefault="00255EC0" w:rsidP="008728B5">
            <w:pPr>
              <w:pStyle w:val="Tabletextnospace"/>
              <w:jc w:val="right"/>
              <w:rPr>
                <w:sz w:val="20"/>
                <w:szCs w:val="20"/>
              </w:rPr>
            </w:pPr>
            <w:r w:rsidRPr="002F6402">
              <w:rPr>
                <w:sz w:val="20"/>
                <w:szCs w:val="20"/>
              </w:rPr>
              <w:t>per cent</w:t>
            </w:r>
          </w:p>
        </w:tc>
        <w:tc>
          <w:tcPr>
            <w:tcW w:w="1034" w:type="dxa"/>
          </w:tcPr>
          <w:p w14:paraId="0F05A138" w14:textId="77777777" w:rsidR="00255EC0" w:rsidRPr="002F6402" w:rsidRDefault="00255EC0" w:rsidP="008728B5">
            <w:pPr>
              <w:pStyle w:val="Tabletextnospace"/>
              <w:jc w:val="right"/>
              <w:rPr>
                <w:sz w:val="20"/>
                <w:szCs w:val="20"/>
              </w:rPr>
            </w:pPr>
            <w:r w:rsidRPr="002F6402">
              <w:rPr>
                <w:sz w:val="20"/>
                <w:szCs w:val="20"/>
              </w:rPr>
              <w:t>90.2</w:t>
            </w:r>
          </w:p>
        </w:tc>
        <w:tc>
          <w:tcPr>
            <w:tcW w:w="1134" w:type="dxa"/>
          </w:tcPr>
          <w:p w14:paraId="660688AE" w14:textId="77777777" w:rsidR="00255EC0" w:rsidRPr="002F6402" w:rsidRDefault="00255EC0" w:rsidP="008728B5">
            <w:pPr>
              <w:pStyle w:val="Tabletextnospace"/>
              <w:jc w:val="right"/>
              <w:rPr>
                <w:sz w:val="20"/>
                <w:szCs w:val="20"/>
              </w:rPr>
            </w:pPr>
            <w:r w:rsidRPr="002F6402">
              <w:rPr>
                <w:sz w:val="20"/>
                <w:szCs w:val="20"/>
              </w:rPr>
              <w:t>85</w:t>
            </w:r>
          </w:p>
        </w:tc>
        <w:tc>
          <w:tcPr>
            <w:tcW w:w="1417" w:type="dxa"/>
          </w:tcPr>
          <w:p w14:paraId="23B662EA" w14:textId="77777777" w:rsidR="00255EC0" w:rsidRPr="002F6402" w:rsidRDefault="00255EC0" w:rsidP="008728B5">
            <w:pPr>
              <w:pStyle w:val="Tabletextnospace"/>
              <w:jc w:val="right"/>
              <w:rPr>
                <w:sz w:val="20"/>
                <w:szCs w:val="20"/>
              </w:rPr>
            </w:pPr>
            <w:r w:rsidRPr="002F6402">
              <w:rPr>
                <w:sz w:val="20"/>
                <w:szCs w:val="20"/>
              </w:rPr>
              <w:t>6.1%</w:t>
            </w:r>
          </w:p>
        </w:tc>
        <w:tc>
          <w:tcPr>
            <w:tcW w:w="788" w:type="dxa"/>
          </w:tcPr>
          <w:p w14:paraId="26FD6D79"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8728B5" w14:paraId="4EC39C93" w14:textId="77777777" w:rsidTr="00E8460A">
        <w:trPr>
          <w:trHeight w:val="113"/>
        </w:trPr>
        <w:tc>
          <w:tcPr>
            <w:tcW w:w="9727" w:type="dxa"/>
            <w:gridSpan w:val="6"/>
          </w:tcPr>
          <w:p w14:paraId="130C025E" w14:textId="77777777" w:rsidR="00255EC0" w:rsidRPr="008728B5" w:rsidRDefault="00255EC0" w:rsidP="002F6402">
            <w:pPr>
              <w:pStyle w:val="Tabletextnospace"/>
              <w:rPr>
                <w:i/>
                <w:iCs/>
                <w:sz w:val="20"/>
                <w:szCs w:val="20"/>
              </w:rPr>
            </w:pPr>
            <w:r w:rsidRPr="008728B5">
              <w:rPr>
                <w:i/>
                <w:iCs/>
                <w:sz w:val="20"/>
                <w:szCs w:val="20"/>
              </w:rPr>
              <w:t>Higher result due to applicants and respondents both reporting high levels of satisfaction. Renewal of the Victorian Small Business Commission mediators enabled a refreshing of experience and skills contributing to this BP3 measure being exceeded.</w:t>
            </w:r>
          </w:p>
        </w:tc>
      </w:tr>
      <w:tr w:rsidR="00255EC0" w:rsidRPr="002F6402" w14:paraId="38FF28CC" w14:textId="77777777" w:rsidTr="00E8460A">
        <w:trPr>
          <w:trHeight w:val="113"/>
        </w:trPr>
        <w:tc>
          <w:tcPr>
            <w:tcW w:w="4390" w:type="dxa"/>
          </w:tcPr>
          <w:p w14:paraId="415A97BB" w14:textId="77777777" w:rsidR="00255EC0" w:rsidRPr="002F6402" w:rsidRDefault="00255EC0" w:rsidP="002F6402">
            <w:pPr>
              <w:pStyle w:val="Tabletextnospace"/>
              <w:rPr>
                <w:sz w:val="20"/>
                <w:szCs w:val="20"/>
              </w:rPr>
            </w:pPr>
            <w:r w:rsidRPr="002F6402">
              <w:rPr>
                <w:sz w:val="20"/>
                <w:szCs w:val="20"/>
              </w:rPr>
              <w:t>Proportion of business disputes presented to the Victorian Small Business Commission successfully mediated</w:t>
            </w:r>
          </w:p>
        </w:tc>
        <w:tc>
          <w:tcPr>
            <w:tcW w:w="964" w:type="dxa"/>
          </w:tcPr>
          <w:p w14:paraId="4B7BC317" w14:textId="77777777" w:rsidR="00255EC0" w:rsidRPr="002F6402" w:rsidRDefault="00255EC0" w:rsidP="008728B5">
            <w:pPr>
              <w:pStyle w:val="Tabletextnospace"/>
              <w:jc w:val="right"/>
              <w:rPr>
                <w:sz w:val="20"/>
                <w:szCs w:val="20"/>
              </w:rPr>
            </w:pPr>
            <w:r w:rsidRPr="002F6402">
              <w:rPr>
                <w:sz w:val="20"/>
                <w:szCs w:val="20"/>
              </w:rPr>
              <w:t>per cent</w:t>
            </w:r>
          </w:p>
        </w:tc>
        <w:tc>
          <w:tcPr>
            <w:tcW w:w="1034" w:type="dxa"/>
          </w:tcPr>
          <w:p w14:paraId="65F8213F" w14:textId="77777777" w:rsidR="00255EC0" w:rsidRPr="002F6402" w:rsidRDefault="00255EC0" w:rsidP="008728B5">
            <w:pPr>
              <w:pStyle w:val="Tabletextnospace"/>
              <w:jc w:val="right"/>
              <w:rPr>
                <w:sz w:val="20"/>
                <w:szCs w:val="20"/>
              </w:rPr>
            </w:pPr>
            <w:r w:rsidRPr="002F6402">
              <w:rPr>
                <w:sz w:val="20"/>
                <w:szCs w:val="20"/>
              </w:rPr>
              <w:t>81.6</w:t>
            </w:r>
          </w:p>
        </w:tc>
        <w:tc>
          <w:tcPr>
            <w:tcW w:w="1134" w:type="dxa"/>
          </w:tcPr>
          <w:p w14:paraId="7B204A32" w14:textId="77777777" w:rsidR="00255EC0" w:rsidRPr="002F6402" w:rsidRDefault="00255EC0" w:rsidP="008728B5">
            <w:pPr>
              <w:pStyle w:val="Tabletextnospace"/>
              <w:jc w:val="right"/>
              <w:rPr>
                <w:sz w:val="20"/>
                <w:szCs w:val="20"/>
              </w:rPr>
            </w:pPr>
            <w:r w:rsidRPr="002F6402">
              <w:rPr>
                <w:sz w:val="20"/>
                <w:szCs w:val="20"/>
              </w:rPr>
              <w:t>75</w:t>
            </w:r>
          </w:p>
        </w:tc>
        <w:tc>
          <w:tcPr>
            <w:tcW w:w="1417" w:type="dxa"/>
          </w:tcPr>
          <w:p w14:paraId="20CB57FA" w14:textId="77777777" w:rsidR="00255EC0" w:rsidRPr="002F6402" w:rsidRDefault="00255EC0" w:rsidP="008728B5">
            <w:pPr>
              <w:pStyle w:val="Tabletextnospace"/>
              <w:jc w:val="right"/>
              <w:rPr>
                <w:sz w:val="20"/>
                <w:szCs w:val="20"/>
              </w:rPr>
            </w:pPr>
            <w:r w:rsidRPr="002F6402">
              <w:rPr>
                <w:sz w:val="20"/>
                <w:szCs w:val="20"/>
              </w:rPr>
              <w:t>8.8%</w:t>
            </w:r>
          </w:p>
        </w:tc>
        <w:tc>
          <w:tcPr>
            <w:tcW w:w="788" w:type="dxa"/>
          </w:tcPr>
          <w:p w14:paraId="33FAD661"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8728B5" w14:paraId="61D1E450" w14:textId="77777777" w:rsidTr="00E8460A">
        <w:trPr>
          <w:trHeight w:val="113"/>
        </w:trPr>
        <w:tc>
          <w:tcPr>
            <w:tcW w:w="9727" w:type="dxa"/>
            <w:gridSpan w:val="6"/>
          </w:tcPr>
          <w:p w14:paraId="2FCCE09E" w14:textId="77777777" w:rsidR="00255EC0" w:rsidRPr="008728B5" w:rsidRDefault="00255EC0" w:rsidP="002F6402">
            <w:pPr>
              <w:pStyle w:val="Tabletextnospace"/>
              <w:rPr>
                <w:i/>
                <w:iCs/>
                <w:sz w:val="20"/>
                <w:szCs w:val="20"/>
              </w:rPr>
            </w:pPr>
            <w:r w:rsidRPr="008728B5">
              <w:rPr>
                <w:i/>
                <w:iCs/>
                <w:sz w:val="20"/>
                <w:szCs w:val="20"/>
              </w:rPr>
              <w:t>Higher result due to the renewal of the Victorian Small Business Commission’s two mediator panels (Metro and Regional), which enabled a refreshing of experience and skills, contributing to the positive result. The high success rate has continued despite moving to remote mediations due to the coronavirus (COVID-19) impacts.</w:t>
            </w:r>
          </w:p>
        </w:tc>
      </w:tr>
      <w:tr w:rsidR="00255EC0" w:rsidRPr="002F6402" w14:paraId="1AA0A069" w14:textId="77777777" w:rsidTr="00E8460A">
        <w:trPr>
          <w:trHeight w:val="113"/>
        </w:trPr>
        <w:tc>
          <w:tcPr>
            <w:tcW w:w="4390" w:type="dxa"/>
          </w:tcPr>
          <w:p w14:paraId="4C30C5E0" w14:textId="77777777" w:rsidR="00255EC0" w:rsidRPr="002F6402" w:rsidRDefault="00255EC0" w:rsidP="002F6402">
            <w:pPr>
              <w:pStyle w:val="Tabletextnospace"/>
              <w:rPr>
                <w:sz w:val="20"/>
                <w:szCs w:val="20"/>
              </w:rPr>
            </w:pPr>
            <w:r w:rsidRPr="002F6402">
              <w:rPr>
                <w:sz w:val="20"/>
                <w:szCs w:val="20"/>
              </w:rPr>
              <w:t xml:space="preserve">Proportion of business disputes resolved by the Victorian Small Business Commission prior to mediation </w:t>
            </w:r>
          </w:p>
        </w:tc>
        <w:tc>
          <w:tcPr>
            <w:tcW w:w="964" w:type="dxa"/>
          </w:tcPr>
          <w:p w14:paraId="06240309" w14:textId="77777777" w:rsidR="00255EC0" w:rsidRPr="002F6402" w:rsidRDefault="00255EC0" w:rsidP="008728B5">
            <w:pPr>
              <w:pStyle w:val="Tabletextnospace"/>
              <w:jc w:val="right"/>
              <w:rPr>
                <w:sz w:val="20"/>
                <w:szCs w:val="20"/>
              </w:rPr>
            </w:pPr>
            <w:r w:rsidRPr="002F6402">
              <w:rPr>
                <w:sz w:val="20"/>
                <w:szCs w:val="20"/>
              </w:rPr>
              <w:t>per cent</w:t>
            </w:r>
          </w:p>
        </w:tc>
        <w:tc>
          <w:tcPr>
            <w:tcW w:w="1034" w:type="dxa"/>
          </w:tcPr>
          <w:p w14:paraId="2E952FE3" w14:textId="77777777" w:rsidR="00255EC0" w:rsidRPr="002F6402" w:rsidRDefault="00255EC0" w:rsidP="008728B5">
            <w:pPr>
              <w:pStyle w:val="Tabletextnospace"/>
              <w:jc w:val="right"/>
              <w:rPr>
                <w:sz w:val="20"/>
                <w:szCs w:val="20"/>
              </w:rPr>
            </w:pPr>
            <w:r w:rsidRPr="002F6402">
              <w:rPr>
                <w:sz w:val="20"/>
                <w:szCs w:val="20"/>
              </w:rPr>
              <w:t>38</w:t>
            </w:r>
          </w:p>
        </w:tc>
        <w:tc>
          <w:tcPr>
            <w:tcW w:w="1134" w:type="dxa"/>
          </w:tcPr>
          <w:p w14:paraId="2C5AD31C" w14:textId="77777777" w:rsidR="00255EC0" w:rsidRPr="002F6402" w:rsidRDefault="00255EC0" w:rsidP="008728B5">
            <w:pPr>
              <w:pStyle w:val="Tabletextnospace"/>
              <w:jc w:val="right"/>
              <w:rPr>
                <w:sz w:val="20"/>
                <w:szCs w:val="20"/>
              </w:rPr>
            </w:pPr>
            <w:r w:rsidRPr="002F6402">
              <w:rPr>
                <w:sz w:val="20"/>
                <w:szCs w:val="20"/>
              </w:rPr>
              <w:t>30</w:t>
            </w:r>
          </w:p>
        </w:tc>
        <w:tc>
          <w:tcPr>
            <w:tcW w:w="1417" w:type="dxa"/>
          </w:tcPr>
          <w:p w14:paraId="3361A321" w14:textId="77777777" w:rsidR="00255EC0" w:rsidRPr="002F6402" w:rsidRDefault="00255EC0" w:rsidP="008728B5">
            <w:pPr>
              <w:pStyle w:val="Tabletextnospace"/>
              <w:jc w:val="right"/>
              <w:rPr>
                <w:sz w:val="20"/>
                <w:szCs w:val="20"/>
              </w:rPr>
            </w:pPr>
            <w:r w:rsidRPr="002F6402">
              <w:rPr>
                <w:sz w:val="20"/>
                <w:szCs w:val="20"/>
              </w:rPr>
              <w:t>26.7%</w:t>
            </w:r>
          </w:p>
        </w:tc>
        <w:tc>
          <w:tcPr>
            <w:tcW w:w="788" w:type="dxa"/>
          </w:tcPr>
          <w:p w14:paraId="43BBE72E" w14:textId="77777777" w:rsidR="00255EC0" w:rsidRPr="002F6402"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2F6402">
              <w:rPr>
                <w:rFonts w:ascii="Wingdings" w:hAnsi="Wingdings" w:cs="Wingdings"/>
                <w:position w:val="-2"/>
                <w:sz w:val="20"/>
                <w:lang w:val="en-GB"/>
              </w:rPr>
              <w:t>ü</w:t>
            </w:r>
          </w:p>
        </w:tc>
      </w:tr>
      <w:tr w:rsidR="00255EC0" w:rsidRPr="008728B5" w14:paraId="0ECB4EEC" w14:textId="77777777" w:rsidTr="00E8460A">
        <w:trPr>
          <w:trHeight w:val="113"/>
        </w:trPr>
        <w:tc>
          <w:tcPr>
            <w:tcW w:w="9727" w:type="dxa"/>
            <w:gridSpan w:val="6"/>
          </w:tcPr>
          <w:p w14:paraId="1F36A7AD" w14:textId="77777777" w:rsidR="00255EC0" w:rsidRPr="008728B5" w:rsidRDefault="00255EC0" w:rsidP="002F6402">
            <w:pPr>
              <w:pStyle w:val="Tabletextnospace"/>
              <w:rPr>
                <w:i/>
                <w:iCs/>
                <w:sz w:val="20"/>
                <w:szCs w:val="20"/>
              </w:rPr>
            </w:pPr>
            <w:r w:rsidRPr="008728B5">
              <w:rPr>
                <w:i/>
                <w:iCs/>
                <w:sz w:val="20"/>
                <w:szCs w:val="20"/>
              </w:rPr>
              <w:t>Higher result due to effective application of alternative dispute resolution process and preliminary assistance by the Victorian Small Business Commission’s Dispute Resolution Officers. The result is supported by positive client feedback. The resolution rate has increased despite the impact of coronavirus (COVID-19).</w:t>
            </w:r>
          </w:p>
        </w:tc>
      </w:tr>
      <w:tr w:rsidR="00255EC0" w:rsidRPr="008728B5" w14:paraId="092FD2CC" w14:textId="77777777" w:rsidTr="00E8460A">
        <w:trPr>
          <w:trHeight w:val="113"/>
        </w:trPr>
        <w:tc>
          <w:tcPr>
            <w:tcW w:w="9727" w:type="dxa"/>
            <w:gridSpan w:val="6"/>
          </w:tcPr>
          <w:p w14:paraId="289F7A9E" w14:textId="77777777" w:rsidR="00255EC0" w:rsidRPr="008728B5" w:rsidRDefault="00255EC0" w:rsidP="002F6402">
            <w:pPr>
              <w:pStyle w:val="Tabletextnospace"/>
              <w:rPr>
                <w:b/>
                <w:bCs/>
                <w:sz w:val="20"/>
                <w:szCs w:val="20"/>
              </w:rPr>
            </w:pPr>
            <w:r w:rsidRPr="008728B5">
              <w:rPr>
                <w:b/>
                <w:bCs/>
                <w:sz w:val="20"/>
                <w:szCs w:val="20"/>
              </w:rPr>
              <w:t>Cost</w:t>
            </w:r>
          </w:p>
        </w:tc>
      </w:tr>
      <w:tr w:rsidR="00255EC0" w:rsidRPr="008728B5" w14:paraId="0B22BB07" w14:textId="77777777" w:rsidTr="00E8460A">
        <w:trPr>
          <w:trHeight w:val="113"/>
        </w:trPr>
        <w:tc>
          <w:tcPr>
            <w:tcW w:w="4390" w:type="dxa"/>
          </w:tcPr>
          <w:p w14:paraId="0AB695F5" w14:textId="77777777" w:rsidR="00255EC0" w:rsidRPr="008728B5" w:rsidRDefault="00255EC0" w:rsidP="002F6402">
            <w:pPr>
              <w:pStyle w:val="Tabletextnospace"/>
              <w:rPr>
                <w:sz w:val="20"/>
                <w:szCs w:val="20"/>
              </w:rPr>
            </w:pPr>
            <w:r w:rsidRPr="008728B5">
              <w:rPr>
                <w:sz w:val="20"/>
                <w:szCs w:val="20"/>
              </w:rPr>
              <w:t>Total output cost</w:t>
            </w:r>
          </w:p>
        </w:tc>
        <w:tc>
          <w:tcPr>
            <w:tcW w:w="964" w:type="dxa"/>
          </w:tcPr>
          <w:p w14:paraId="19A3942D" w14:textId="77777777" w:rsidR="00255EC0" w:rsidRPr="008728B5" w:rsidRDefault="00255EC0" w:rsidP="008728B5">
            <w:pPr>
              <w:pStyle w:val="Tabletextnospace"/>
              <w:jc w:val="right"/>
              <w:rPr>
                <w:sz w:val="20"/>
                <w:szCs w:val="20"/>
              </w:rPr>
            </w:pPr>
            <w:r w:rsidRPr="008728B5">
              <w:rPr>
                <w:sz w:val="20"/>
                <w:szCs w:val="20"/>
              </w:rPr>
              <w:t>$ million</w:t>
            </w:r>
          </w:p>
        </w:tc>
        <w:tc>
          <w:tcPr>
            <w:tcW w:w="1034" w:type="dxa"/>
          </w:tcPr>
          <w:p w14:paraId="3378305B" w14:textId="77777777" w:rsidR="00255EC0" w:rsidRPr="008728B5" w:rsidRDefault="00255EC0" w:rsidP="008728B5">
            <w:pPr>
              <w:pStyle w:val="Tabletextnospace"/>
              <w:jc w:val="right"/>
              <w:rPr>
                <w:sz w:val="20"/>
                <w:szCs w:val="20"/>
              </w:rPr>
            </w:pPr>
            <w:r w:rsidRPr="008728B5">
              <w:rPr>
                <w:sz w:val="20"/>
                <w:szCs w:val="20"/>
              </w:rPr>
              <w:t>122.8</w:t>
            </w:r>
          </w:p>
        </w:tc>
        <w:tc>
          <w:tcPr>
            <w:tcW w:w="1134" w:type="dxa"/>
          </w:tcPr>
          <w:p w14:paraId="24E3DAC4" w14:textId="77777777" w:rsidR="00255EC0" w:rsidRPr="008728B5" w:rsidRDefault="00255EC0" w:rsidP="008728B5">
            <w:pPr>
              <w:pStyle w:val="Tabletextnospace"/>
              <w:jc w:val="right"/>
              <w:rPr>
                <w:sz w:val="20"/>
                <w:szCs w:val="20"/>
              </w:rPr>
            </w:pPr>
            <w:r w:rsidRPr="008728B5">
              <w:rPr>
                <w:sz w:val="20"/>
                <w:szCs w:val="20"/>
              </w:rPr>
              <w:t>153.5</w:t>
            </w:r>
          </w:p>
        </w:tc>
        <w:tc>
          <w:tcPr>
            <w:tcW w:w="1417" w:type="dxa"/>
          </w:tcPr>
          <w:p w14:paraId="544C6486" w14:textId="77777777" w:rsidR="00255EC0" w:rsidRPr="008728B5" w:rsidRDefault="00255EC0" w:rsidP="008728B5">
            <w:pPr>
              <w:pStyle w:val="Tabletextnospace"/>
              <w:jc w:val="right"/>
              <w:rPr>
                <w:sz w:val="20"/>
                <w:szCs w:val="20"/>
              </w:rPr>
            </w:pPr>
            <w:r w:rsidRPr="008728B5">
              <w:rPr>
                <w:sz w:val="20"/>
                <w:szCs w:val="20"/>
              </w:rPr>
              <w:t>-20.0%</w:t>
            </w:r>
          </w:p>
        </w:tc>
        <w:tc>
          <w:tcPr>
            <w:tcW w:w="788" w:type="dxa"/>
          </w:tcPr>
          <w:p w14:paraId="11B941EC" w14:textId="77777777" w:rsidR="00255EC0" w:rsidRPr="008728B5"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728B5">
              <w:rPr>
                <w:rFonts w:ascii="Wingdings" w:hAnsi="Wingdings" w:cs="Wingdings"/>
                <w:position w:val="-2"/>
                <w:sz w:val="20"/>
                <w:lang w:val="en-GB"/>
              </w:rPr>
              <w:t>ü</w:t>
            </w:r>
          </w:p>
        </w:tc>
      </w:tr>
      <w:tr w:rsidR="00255EC0" w:rsidRPr="008728B5" w14:paraId="5FFFEE93" w14:textId="77777777" w:rsidTr="00E8460A">
        <w:trPr>
          <w:trHeight w:val="113"/>
        </w:trPr>
        <w:tc>
          <w:tcPr>
            <w:tcW w:w="9727" w:type="dxa"/>
            <w:gridSpan w:val="6"/>
          </w:tcPr>
          <w:p w14:paraId="4E6DA92C" w14:textId="77777777" w:rsidR="00255EC0" w:rsidRPr="008728B5" w:rsidRDefault="00255EC0" w:rsidP="002F6402">
            <w:pPr>
              <w:pStyle w:val="Tabletextnospace"/>
              <w:rPr>
                <w:i/>
                <w:iCs/>
                <w:sz w:val="20"/>
                <w:szCs w:val="20"/>
              </w:rPr>
            </w:pPr>
            <w:r w:rsidRPr="008728B5">
              <w:rPr>
                <w:i/>
                <w:iCs/>
                <w:sz w:val="20"/>
                <w:szCs w:val="20"/>
              </w:rPr>
              <w:t>The 2019–20 result was lower than budget due to the timing of payments relating to the delivery of various programs.</w:t>
            </w:r>
          </w:p>
        </w:tc>
      </w:tr>
      <w:tr w:rsidR="00255EC0" w:rsidRPr="00255EC0" w14:paraId="0AEC1EE3" w14:textId="77777777" w:rsidTr="00E8460A">
        <w:trPr>
          <w:trHeight w:val="113"/>
        </w:trPr>
        <w:tc>
          <w:tcPr>
            <w:tcW w:w="9727" w:type="dxa"/>
            <w:gridSpan w:val="6"/>
          </w:tcPr>
          <w:p w14:paraId="78706553" w14:textId="77777777" w:rsidR="00255EC0" w:rsidRPr="00255EC0" w:rsidRDefault="00255EC0" w:rsidP="002F6402">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1F699626" w14:textId="77777777" w:rsidR="00255EC0" w:rsidRPr="00255EC0" w:rsidRDefault="00255EC0" w:rsidP="008728B5">
      <w:pPr>
        <w:pStyle w:val="Body"/>
      </w:pPr>
    </w:p>
    <w:p w14:paraId="38907778" w14:textId="77777777" w:rsidR="00255EC0" w:rsidRPr="00255EC0" w:rsidRDefault="00255EC0" w:rsidP="008728B5">
      <w:pPr>
        <w:pStyle w:val="Heading3"/>
      </w:pPr>
      <w:r w:rsidRPr="00255EC0">
        <w:t>Objective 3: Be a globally connected economy</w:t>
      </w:r>
    </w:p>
    <w:p w14:paraId="19440439" w14:textId="31C08A64" w:rsidR="00255EC0" w:rsidRPr="00255EC0" w:rsidRDefault="00255EC0" w:rsidP="008728B5">
      <w:pPr>
        <w:pStyle w:val="Body"/>
      </w:pPr>
      <w:r w:rsidRPr="00255EC0">
        <w:t>This objective seeks to connect Victoria to the world by helping Victorian businesses successfully trade into global markets, and growing Victoria’s proportion of international student enrolments</w:t>
      </w:r>
      <w:r w:rsidR="008728B5">
        <w:t xml:space="preserve"> </w:t>
      </w:r>
      <w:r w:rsidRPr="00255EC0">
        <w:t>in Australia.</w:t>
      </w:r>
    </w:p>
    <w:p w14:paraId="2362FADA" w14:textId="2E75D00E" w:rsidR="00255EC0" w:rsidRPr="00255EC0" w:rsidRDefault="00255EC0" w:rsidP="008728B5">
      <w:pPr>
        <w:pStyle w:val="Heading3"/>
      </w:pPr>
      <w:r w:rsidRPr="00255EC0">
        <w:t>Progress towards achieving</w:t>
      </w:r>
      <w:r w:rsidR="008728B5">
        <w:t xml:space="preserve"> </w:t>
      </w:r>
      <w:r w:rsidRPr="00255EC0">
        <w:t>this objective</w:t>
      </w:r>
    </w:p>
    <w:p w14:paraId="273E34B8" w14:textId="77777777" w:rsidR="00255EC0" w:rsidRPr="00255EC0" w:rsidRDefault="00255EC0" w:rsidP="008728B5">
      <w:pPr>
        <w:pStyle w:val="Body"/>
      </w:pPr>
      <w:r w:rsidRPr="00255EC0">
        <w:t>In 2019–20, the department reported progress against this objective using the following objective indicators and outputs:</w:t>
      </w:r>
    </w:p>
    <w:p w14:paraId="1879412D" w14:textId="77777777" w:rsidR="00255EC0" w:rsidRPr="00255EC0" w:rsidRDefault="00255EC0" w:rsidP="008728B5">
      <w:pPr>
        <w:pStyle w:val="Heading4"/>
      </w:pPr>
      <w:r w:rsidRPr="00255EC0">
        <w:t>Objective Indicators</w:t>
      </w:r>
    </w:p>
    <w:p w14:paraId="7EC61603" w14:textId="77777777" w:rsidR="00255EC0" w:rsidRPr="00255EC0" w:rsidRDefault="00255EC0" w:rsidP="008728B5">
      <w:pPr>
        <w:pStyle w:val="L1Bullets"/>
      </w:pPr>
      <w:r w:rsidRPr="00255EC0">
        <w:t>Export sales generated from government programs</w:t>
      </w:r>
    </w:p>
    <w:p w14:paraId="104779EA" w14:textId="77777777" w:rsidR="00255EC0" w:rsidRPr="00255EC0" w:rsidRDefault="00255EC0" w:rsidP="008728B5">
      <w:pPr>
        <w:pStyle w:val="L1Bulletslast"/>
      </w:pPr>
      <w:r w:rsidRPr="00255EC0">
        <w:t>International students attracted to Victoria</w:t>
      </w:r>
    </w:p>
    <w:p w14:paraId="211CAD33" w14:textId="77777777" w:rsidR="00255EC0" w:rsidRPr="00255EC0" w:rsidRDefault="00255EC0" w:rsidP="008728B5">
      <w:pPr>
        <w:pStyle w:val="Heading4"/>
      </w:pPr>
      <w:r w:rsidRPr="00255EC0">
        <w:lastRenderedPageBreak/>
        <w:t>Outputs</w:t>
      </w:r>
    </w:p>
    <w:p w14:paraId="642D30ED" w14:textId="77777777" w:rsidR="00255EC0" w:rsidRPr="00255EC0" w:rsidRDefault="00255EC0" w:rsidP="008728B5">
      <w:pPr>
        <w:pStyle w:val="L1Bulletslast"/>
      </w:pPr>
      <w:r w:rsidRPr="00255EC0">
        <w:t>Trade and Global Engagement</w:t>
      </w:r>
    </w:p>
    <w:p w14:paraId="05DEA86C" w14:textId="77777777" w:rsidR="00255EC0" w:rsidRPr="00255EC0" w:rsidRDefault="00255EC0" w:rsidP="008728B5">
      <w:pPr>
        <w:pStyle w:val="Heading4"/>
      </w:pPr>
      <w:r w:rsidRPr="00255EC0">
        <w:t>Indicator: Export sales generated from government programs</w:t>
      </w:r>
    </w:p>
    <w:p w14:paraId="49EFE025" w14:textId="77777777" w:rsidR="00255EC0" w:rsidRPr="00255EC0" w:rsidRDefault="00255EC0" w:rsidP="008728B5">
      <w:pPr>
        <w:pStyle w:val="Heading5"/>
      </w:pPr>
      <w:r w:rsidRPr="00255EC0">
        <w:t>Table 6: Export sales generated from government programs</w:t>
      </w:r>
    </w:p>
    <w:tbl>
      <w:tblPr>
        <w:tblStyle w:val="TableGrid"/>
        <w:tblW w:w="9638" w:type="dxa"/>
        <w:tblLayout w:type="fixed"/>
        <w:tblLook w:val="0020" w:firstRow="1" w:lastRow="0" w:firstColumn="0" w:lastColumn="0" w:noHBand="0" w:noVBand="0"/>
      </w:tblPr>
      <w:tblGrid>
        <w:gridCol w:w="4390"/>
        <w:gridCol w:w="1312"/>
        <w:gridCol w:w="1312"/>
        <w:gridCol w:w="1312"/>
        <w:gridCol w:w="1312"/>
      </w:tblGrid>
      <w:tr w:rsidR="00255EC0" w:rsidRPr="008728B5" w14:paraId="763B4542" w14:textId="77777777" w:rsidTr="00E8460A">
        <w:trPr>
          <w:trHeight w:val="113"/>
        </w:trPr>
        <w:tc>
          <w:tcPr>
            <w:tcW w:w="4390" w:type="dxa"/>
          </w:tcPr>
          <w:p w14:paraId="1276D786" w14:textId="77777777" w:rsidR="00255EC0" w:rsidRPr="008728B5" w:rsidRDefault="00255EC0" w:rsidP="008728B5">
            <w:pPr>
              <w:pStyle w:val="TableColumnheading"/>
              <w:spacing w:before="40" w:after="40"/>
              <w:rPr>
                <w:sz w:val="20"/>
                <w:szCs w:val="18"/>
              </w:rPr>
            </w:pPr>
            <w:r w:rsidRPr="008728B5">
              <w:rPr>
                <w:sz w:val="20"/>
                <w:szCs w:val="18"/>
              </w:rPr>
              <w:t>Measure (unit of measure)</w:t>
            </w:r>
          </w:p>
        </w:tc>
        <w:tc>
          <w:tcPr>
            <w:tcW w:w="1312" w:type="dxa"/>
          </w:tcPr>
          <w:p w14:paraId="7436EF5E" w14:textId="77777777" w:rsidR="00255EC0" w:rsidRPr="008728B5" w:rsidRDefault="00255EC0" w:rsidP="008728B5">
            <w:pPr>
              <w:pStyle w:val="TableColumnheading"/>
              <w:spacing w:before="40" w:after="40"/>
              <w:jc w:val="right"/>
              <w:rPr>
                <w:sz w:val="20"/>
                <w:szCs w:val="18"/>
              </w:rPr>
            </w:pPr>
            <w:r w:rsidRPr="008728B5">
              <w:rPr>
                <w:sz w:val="20"/>
                <w:szCs w:val="18"/>
              </w:rPr>
              <w:t>2016–17</w:t>
            </w:r>
          </w:p>
        </w:tc>
        <w:tc>
          <w:tcPr>
            <w:tcW w:w="1312" w:type="dxa"/>
          </w:tcPr>
          <w:p w14:paraId="7A89D21F" w14:textId="77777777" w:rsidR="00255EC0" w:rsidRPr="008728B5" w:rsidRDefault="00255EC0" w:rsidP="008728B5">
            <w:pPr>
              <w:pStyle w:val="TableColumnheading"/>
              <w:spacing w:before="40" w:after="40"/>
              <w:jc w:val="right"/>
              <w:rPr>
                <w:sz w:val="20"/>
                <w:szCs w:val="18"/>
              </w:rPr>
            </w:pPr>
            <w:r w:rsidRPr="008728B5">
              <w:rPr>
                <w:sz w:val="20"/>
                <w:szCs w:val="18"/>
              </w:rPr>
              <w:t>2017–18</w:t>
            </w:r>
          </w:p>
        </w:tc>
        <w:tc>
          <w:tcPr>
            <w:tcW w:w="1312" w:type="dxa"/>
          </w:tcPr>
          <w:p w14:paraId="144EDB89" w14:textId="77777777" w:rsidR="00255EC0" w:rsidRPr="008728B5" w:rsidRDefault="00255EC0" w:rsidP="008728B5">
            <w:pPr>
              <w:pStyle w:val="TableColumnheading"/>
              <w:spacing w:before="40" w:after="40"/>
              <w:jc w:val="right"/>
              <w:rPr>
                <w:sz w:val="20"/>
                <w:szCs w:val="18"/>
              </w:rPr>
            </w:pPr>
            <w:r w:rsidRPr="008728B5">
              <w:rPr>
                <w:sz w:val="20"/>
                <w:szCs w:val="18"/>
              </w:rPr>
              <w:t>2018–19</w:t>
            </w:r>
          </w:p>
        </w:tc>
        <w:tc>
          <w:tcPr>
            <w:tcW w:w="1312" w:type="dxa"/>
          </w:tcPr>
          <w:p w14:paraId="3048DC61" w14:textId="77777777" w:rsidR="00255EC0" w:rsidRPr="008728B5" w:rsidRDefault="00255EC0" w:rsidP="008728B5">
            <w:pPr>
              <w:pStyle w:val="TableColumnheading"/>
              <w:spacing w:before="40" w:after="40"/>
              <w:jc w:val="right"/>
              <w:rPr>
                <w:sz w:val="20"/>
                <w:szCs w:val="18"/>
              </w:rPr>
            </w:pPr>
            <w:r w:rsidRPr="008728B5">
              <w:rPr>
                <w:sz w:val="20"/>
                <w:szCs w:val="18"/>
              </w:rPr>
              <w:t>2019–20</w:t>
            </w:r>
          </w:p>
        </w:tc>
      </w:tr>
      <w:tr w:rsidR="00255EC0" w:rsidRPr="008728B5" w14:paraId="78448455" w14:textId="77777777" w:rsidTr="00E8460A">
        <w:trPr>
          <w:trHeight w:val="113"/>
        </w:trPr>
        <w:tc>
          <w:tcPr>
            <w:tcW w:w="4390" w:type="dxa"/>
          </w:tcPr>
          <w:p w14:paraId="5ADCF4E1" w14:textId="4A50F704" w:rsidR="00255EC0" w:rsidRPr="008728B5" w:rsidRDefault="00255EC0" w:rsidP="008728B5">
            <w:pPr>
              <w:pStyle w:val="Tabletextnospace"/>
              <w:rPr>
                <w:sz w:val="20"/>
              </w:rPr>
            </w:pPr>
            <w:r w:rsidRPr="008728B5">
              <w:rPr>
                <w:sz w:val="20"/>
              </w:rPr>
              <w:t xml:space="preserve">Actual export sales generated </w:t>
            </w:r>
            <w:proofErr w:type="gramStart"/>
            <w:r w:rsidRPr="008728B5">
              <w:rPr>
                <w:sz w:val="20"/>
              </w:rPr>
              <w:t>as a result</w:t>
            </w:r>
            <w:r w:rsidR="008728B5">
              <w:rPr>
                <w:sz w:val="20"/>
              </w:rPr>
              <w:t xml:space="preserve"> </w:t>
            </w:r>
            <w:r w:rsidRPr="008728B5">
              <w:rPr>
                <w:sz w:val="20"/>
              </w:rPr>
              <w:t>of</w:t>
            </w:r>
            <w:proofErr w:type="gramEnd"/>
            <w:r w:rsidRPr="008728B5">
              <w:rPr>
                <w:sz w:val="20"/>
              </w:rPr>
              <w:t xml:space="preserve"> participation in government programs ($ million)</w:t>
            </w:r>
          </w:p>
        </w:tc>
        <w:tc>
          <w:tcPr>
            <w:tcW w:w="1312" w:type="dxa"/>
          </w:tcPr>
          <w:p w14:paraId="69AB37F9" w14:textId="77777777" w:rsidR="00255EC0" w:rsidRPr="008728B5" w:rsidRDefault="00255EC0" w:rsidP="008728B5">
            <w:pPr>
              <w:pStyle w:val="Tabletextnospace"/>
              <w:jc w:val="right"/>
              <w:rPr>
                <w:sz w:val="20"/>
              </w:rPr>
            </w:pPr>
            <w:r w:rsidRPr="008728B5">
              <w:rPr>
                <w:sz w:val="20"/>
              </w:rPr>
              <w:t>648</w:t>
            </w:r>
          </w:p>
        </w:tc>
        <w:tc>
          <w:tcPr>
            <w:tcW w:w="1312" w:type="dxa"/>
          </w:tcPr>
          <w:p w14:paraId="688F3C4C" w14:textId="77777777" w:rsidR="00255EC0" w:rsidRPr="008728B5" w:rsidRDefault="00255EC0" w:rsidP="008728B5">
            <w:pPr>
              <w:pStyle w:val="Tabletextnospace"/>
              <w:jc w:val="right"/>
              <w:rPr>
                <w:sz w:val="20"/>
              </w:rPr>
            </w:pPr>
            <w:r w:rsidRPr="008728B5">
              <w:rPr>
                <w:sz w:val="20"/>
              </w:rPr>
              <w:t>807</w:t>
            </w:r>
          </w:p>
        </w:tc>
        <w:tc>
          <w:tcPr>
            <w:tcW w:w="1312" w:type="dxa"/>
          </w:tcPr>
          <w:p w14:paraId="5A091E94" w14:textId="77777777" w:rsidR="00255EC0" w:rsidRPr="008728B5" w:rsidRDefault="00255EC0" w:rsidP="008728B5">
            <w:pPr>
              <w:pStyle w:val="Tabletextnospace"/>
              <w:jc w:val="right"/>
              <w:rPr>
                <w:sz w:val="20"/>
              </w:rPr>
            </w:pPr>
            <w:r w:rsidRPr="008728B5">
              <w:rPr>
                <w:sz w:val="20"/>
              </w:rPr>
              <w:t>668</w:t>
            </w:r>
          </w:p>
        </w:tc>
        <w:tc>
          <w:tcPr>
            <w:tcW w:w="1312" w:type="dxa"/>
          </w:tcPr>
          <w:p w14:paraId="2AE6EDFB" w14:textId="77777777" w:rsidR="00255EC0" w:rsidRPr="008728B5" w:rsidRDefault="00255EC0" w:rsidP="008728B5">
            <w:pPr>
              <w:pStyle w:val="Tabletextnospace"/>
              <w:jc w:val="right"/>
              <w:rPr>
                <w:sz w:val="20"/>
              </w:rPr>
            </w:pPr>
            <w:r w:rsidRPr="008728B5">
              <w:rPr>
                <w:sz w:val="20"/>
              </w:rPr>
              <w:t>709</w:t>
            </w:r>
          </w:p>
        </w:tc>
      </w:tr>
    </w:tbl>
    <w:p w14:paraId="77959C06" w14:textId="77777777" w:rsidR="00255EC0" w:rsidRPr="00255EC0" w:rsidRDefault="00255EC0" w:rsidP="008728B5">
      <w:pPr>
        <w:pStyle w:val="Body"/>
      </w:pPr>
    </w:p>
    <w:p w14:paraId="418F88CB" w14:textId="6E4A0AAF" w:rsidR="00255EC0" w:rsidRPr="00255EC0" w:rsidRDefault="00255EC0" w:rsidP="008728B5">
      <w:pPr>
        <w:pStyle w:val="Heading5"/>
        <w:rPr>
          <w:rFonts w:ascii="VIC Medium" w:hAnsi="VIC Medium" w:cs="VIC Medium"/>
        </w:rPr>
      </w:pPr>
      <w:r w:rsidRPr="00255EC0">
        <w:t>Figure 4: Export sales generated</w:t>
      </w:r>
      <w:r w:rsidR="008728B5">
        <w:t xml:space="preserve"> </w:t>
      </w:r>
      <w:r w:rsidRPr="00255EC0">
        <w:t>from government programs</w:t>
      </w:r>
    </w:p>
    <w:p w14:paraId="3A7F9BE7" w14:textId="2F794D84" w:rsidR="00255EC0" w:rsidRPr="00255EC0" w:rsidRDefault="008728B5" w:rsidP="008728B5">
      <w:pPr>
        <w:pStyle w:val="Body"/>
      </w:pPr>
      <w:r>
        <w:rPr>
          <w:noProof/>
        </w:rPr>
        <w:drawing>
          <wp:inline distT="0" distB="0" distL="0" distR="0" wp14:anchorId="5B9F93F9" wp14:editId="721894C9">
            <wp:extent cx="1990725" cy="1323975"/>
            <wp:effectExtent l="0" t="0" r="9525" b="9525"/>
            <wp:docPr id="9" name="Graphic 9" descr="Figure 4: Export sales generated from government program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Figure 4: Export sales generated from government programs graph"/>
                    <pic:cNvPicPr/>
                  </pic:nvPicPr>
                  <pic:blipFill>
                    <a:blip r:embed="rId16">
                      <a:extLst>
                        <a:ext uri="{96DAC541-7B7A-43D3-8B79-37D633B846F1}">
                          <asvg:svgBlip xmlns:asvg="http://schemas.microsoft.com/office/drawing/2016/SVG/main" r:embed="rId17"/>
                        </a:ext>
                      </a:extLst>
                    </a:blip>
                    <a:stretch>
                      <a:fillRect/>
                    </a:stretch>
                  </pic:blipFill>
                  <pic:spPr>
                    <a:xfrm>
                      <a:off x="0" y="0"/>
                      <a:ext cx="1990725" cy="1323975"/>
                    </a:xfrm>
                    <a:prstGeom prst="rect">
                      <a:avLst/>
                    </a:prstGeom>
                  </pic:spPr>
                </pic:pic>
              </a:graphicData>
            </a:graphic>
          </wp:inline>
        </w:drawing>
      </w:r>
    </w:p>
    <w:p w14:paraId="4C8CC3AF" w14:textId="2A62D39A" w:rsidR="00255EC0" w:rsidRPr="00255EC0" w:rsidRDefault="00255EC0" w:rsidP="008728B5">
      <w:pPr>
        <w:pStyle w:val="Body"/>
      </w:pPr>
      <w:r w:rsidRPr="00255EC0">
        <w:t>In total, Victorian Government programs resulted</w:t>
      </w:r>
      <w:r w:rsidR="008728B5">
        <w:t xml:space="preserve"> </w:t>
      </w:r>
      <w:r w:rsidRPr="00255EC0">
        <w:t>in $3.3 billion of actual export sales over the five</w:t>
      </w:r>
      <w:r w:rsidR="006F4118">
        <w:noBreakHyphen/>
      </w:r>
      <w:r w:rsidRPr="00255EC0">
        <w:t>year period from 2015–16. In 2019–20, the result</w:t>
      </w:r>
      <w:r w:rsidR="006F4118">
        <w:t xml:space="preserve"> </w:t>
      </w:r>
      <w:r w:rsidRPr="00255EC0">
        <w:t>was $709 million of actual export sales. This result was achieved through the department’s delivery</w:t>
      </w:r>
      <w:r w:rsidR="006F4118">
        <w:t xml:space="preserve"> </w:t>
      </w:r>
      <w:r w:rsidRPr="00255EC0">
        <w:t>of services to connect Victorian companies</w:t>
      </w:r>
      <w:r w:rsidR="006F4118">
        <w:t xml:space="preserve"> </w:t>
      </w:r>
      <w:r w:rsidRPr="00255EC0">
        <w:t xml:space="preserve">to international buyers and networks to foster business opportunities, as well as services to build the skills, knowledge and capability of Victorian businesses to enter and succeed in global markets. </w:t>
      </w:r>
    </w:p>
    <w:p w14:paraId="4F3BF773" w14:textId="26F1D36C" w:rsidR="00255EC0" w:rsidRPr="00255EC0" w:rsidRDefault="00255EC0" w:rsidP="008728B5">
      <w:pPr>
        <w:pStyle w:val="Body"/>
      </w:pPr>
      <w:r w:rsidRPr="00255EC0">
        <w:t>Strong outcomes were achieved in key Asian</w:t>
      </w:r>
      <w:r w:rsidR="006F4118">
        <w:t xml:space="preserve"> </w:t>
      </w:r>
      <w:r w:rsidRPr="00255EC0">
        <w:t>markets, including China, as well as the United</w:t>
      </w:r>
      <w:r w:rsidR="006F4118">
        <w:t xml:space="preserve"> </w:t>
      </w:r>
      <w:r w:rsidRPr="00255EC0">
        <w:t>States. Notable outcomes were also observed</w:t>
      </w:r>
      <w:r w:rsidR="006F4118">
        <w:t xml:space="preserve"> </w:t>
      </w:r>
      <w:r w:rsidRPr="00255EC0">
        <w:t>in key markets throughout South East Asia,</w:t>
      </w:r>
      <w:r w:rsidR="006F4118">
        <w:t xml:space="preserve"> </w:t>
      </w:r>
      <w:r w:rsidRPr="00255EC0">
        <w:t>India, Latin America and in the MENA (Middle</w:t>
      </w:r>
      <w:r w:rsidR="006F4118">
        <w:t xml:space="preserve"> </w:t>
      </w:r>
      <w:r w:rsidRPr="00255EC0">
        <w:t>East and North Africa Region). These outcomes</w:t>
      </w:r>
      <w:r w:rsidR="006F4118">
        <w:t xml:space="preserve"> </w:t>
      </w:r>
      <w:r w:rsidRPr="00255EC0">
        <w:t>are particularly significant given the need for</w:t>
      </w:r>
      <w:r w:rsidR="006F4118">
        <w:t xml:space="preserve"> </w:t>
      </w:r>
      <w:r w:rsidRPr="00255EC0">
        <w:t>Victorian businesses to diversify their markets</w:t>
      </w:r>
      <w:r w:rsidR="006F4118">
        <w:t xml:space="preserve"> </w:t>
      </w:r>
      <w:r w:rsidRPr="00255EC0">
        <w:t>of focus. These outcomes follow from strategies</w:t>
      </w:r>
      <w:r w:rsidR="006F4118">
        <w:t xml:space="preserve"> </w:t>
      </w:r>
      <w:r w:rsidRPr="00255EC0">
        <w:t>released in 2018 including the Victorian</w:t>
      </w:r>
      <w:r w:rsidR="006F4118">
        <w:t xml:space="preserve"> </w:t>
      </w:r>
      <w:r w:rsidRPr="00255EC0">
        <w:t>Government India Strategy, the South East</w:t>
      </w:r>
      <w:r w:rsidR="006F4118">
        <w:t xml:space="preserve"> </w:t>
      </w:r>
      <w:r w:rsidRPr="00255EC0">
        <w:t xml:space="preserve">Asia Trade and Investment Strategy, and Latin America Trade and Investment Strategy. </w:t>
      </w:r>
    </w:p>
    <w:p w14:paraId="4A90DFAD" w14:textId="77777777" w:rsidR="00255EC0" w:rsidRPr="00255EC0" w:rsidRDefault="00255EC0" w:rsidP="006F4118">
      <w:pPr>
        <w:pStyle w:val="Body"/>
      </w:pPr>
      <w:r w:rsidRPr="00255EC0">
        <w:t xml:space="preserve">The department’s suite of export and trade programs are provided by staff based in Melbourne and throughout the 22 Victorian Government Trade and Investment Network offices, providing tailored support to assist firms to realise and capture export sales. Services include provision of market intelligence, introductions to key contacts in-market, promotion of industry capability and ongoing support and advice. </w:t>
      </w:r>
    </w:p>
    <w:p w14:paraId="32E1D514" w14:textId="1C7CBCFB" w:rsidR="00255EC0" w:rsidRPr="00255EC0" w:rsidRDefault="00255EC0" w:rsidP="006F4118">
      <w:pPr>
        <w:pStyle w:val="Body"/>
      </w:pPr>
      <w:r w:rsidRPr="00255EC0">
        <w:t>The department’s Outbound and Inbound Trade</w:t>
      </w:r>
      <w:r w:rsidR="006F4118">
        <w:t xml:space="preserve"> </w:t>
      </w:r>
      <w:r w:rsidRPr="00255EC0">
        <w:t>Mission Programs, Asia Gateway and Export Skills</w:t>
      </w:r>
      <w:r w:rsidR="006F4118">
        <w:t xml:space="preserve"> </w:t>
      </w:r>
      <w:r w:rsidRPr="00255EC0">
        <w:t>program are also vital to generating export sales.</w:t>
      </w:r>
      <w:r w:rsidR="006F4118">
        <w:t xml:space="preserve"> </w:t>
      </w:r>
      <w:r w:rsidRPr="00255EC0">
        <w:t>Collectively the department’s trade and export programs promote, champion, partner and elevate the status of Victorian businesses taking their</w:t>
      </w:r>
      <w:r w:rsidR="006F4118">
        <w:t xml:space="preserve"> </w:t>
      </w:r>
      <w:r w:rsidRPr="00255EC0">
        <w:t>products and services to the world, engaging 2265 companies in total across all programs in 2019–20.</w:t>
      </w:r>
      <w:r w:rsidR="006F4118">
        <w:t xml:space="preserve"> </w:t>
      </w:r>
      <w:r w:rsidRPr="00255EC0">
        <w:t>This includes over 550 Victorian companies being involved in the Inbound and Outbound Trade</w:t>
      </w:r>
      <w:r w:rsidR="006F4118">
        <w:t xml:space="preserve"> </w:t>
      </w:r>
      <w:r w:rsidRPr="00255EC0">
        <w:t>Mission Programs.</w:t>
      </w:r>
    </w:p>
    <w:p w14:paraId="1CB822F4" w14:textId="611D699D" w:rsidR="00255EC0" w:rsidRPr="00255EC0" w:rsidRDefault="00255EC0" w:rsidP="006F4118">
      <w:pPr>
        <w:pStyle w:val="Body"/>
        <w:keepLines/>
      </w:pPr>
      <w:r w:rsidRPr="00255EC0">
        <w:lastRenderedPageBreak/>
        <w:t>The department has closely monitored the onset</w:t>
      </w:r>
      <w:r w:rsidR="006F4118">
        <w:t xml:space="preserve"> </w:t>
      </w:r>
      <w:r w:rsidRPr="00255EC0">
        <w:t>of coronavirus (COVID-19), including anticipated impact on exports. The closure of international borders to personal and business travel</w:t>
      </w:r>
      <w:r w:rsidR="006F4118">
        <w:t xml:space="preserve"> </w:t>
      </w:r>
      <w:r w:rsidRPr="00255EC0">
        <w:t>and falling global demand is having an immediate and significant impact on trade, especially services exports including international education</w:t>
      </w:r>
      <w:r w:rsidR="006F4118">
        <w:t xml:space="preserve"> </w:t>
      </w:r>
      <w:r w:rsidRPr="00255EC0">
        <w:t>and tourism. The department has commenced delivery of new and refreshed export programs</w:t>
      </w:r>
      <w:r w:rsidR="006F4118">
        <w:t xml:space="preserve"> </w:t>
      </w:r>
      <w:r w:rsidRPr="00255EC0">
        <w:t>and services to enable businesses to remain engaged in international trade during this time,</w:t>
      </w:r>
      <w:r w:rsidR="006F4118">
        <w:t xml:space="preserve"> </w:t>
      </w:r>
      <w:r w:rsidRPr="00255EC0">
        <w:t>for example through transitioning to delivering virtual trade missions.</w:t>
      </w:r>
    </w:p>
    <w:p w14:paraId="2B874ADC" w14:textId="77777777" w:rsidR="00255EC0" w:rsidRPr="00255EC0" w:rsidRDefault="00255EC0" w:rsidP="00C261A7">
      <w:pPr>
        <w:pStyle w:val="Heading4"/>
      </w:pPr>
      <w:r w:rsidRPr="00255EC0">
        <w:t>Indicator: International students attracted to Victoria</w:t>
      </w:r>
    </w:p>
    <w:p w14:paraId="004FA77A" w14:textId="77777777" w:rsidR="00255EC0" w:rsidRPr="00255EC0" w:rsidRDefault="00255EC0" w:rsidP="00C261A7">
      <w:pPr>
        <w:pStyle w:val="Heading5"/>
      </w:pPr>
      <w:r w:rsidRPr="00255EC0">
        <w:t>Table 7: Victoria’s proportion of international student enrolments in Australia</w:t>
      </w:r>
    </w:p>
    <w:tbl>
      <w:tblPr>
        <w:tblStyle w:val="TableGrid"/>
        <w:tblW w:w="9638" w:type="dxa"/>
        <w:tblLayout w:type="fixed"/>
        <w:tblLook w:val="0020" w:firstRow="1" w:lastRow="0" w:firstColumn="0" w:lastColumn="0" w:noHBand="0" w:noVBand="0"/>
      </w:tblPr>
      <w:tblGrid>
        <w:gridCol w:w="4673"/>
        <w:gridCol w:w="1241"/>
        <w:gridCol w:w="1241"/>
        <w:gridCol w:w="1241"/>
        <w:gridCol w:w="1242"/>
      </w:tblGrid>
      <w:tr w:rsidR="00255EC0" w:rsidRPr="00C261A7" w14:paraId="1B47E72B" w14:textId="77777777" w:rsidTr="00E8460A">
        <w:trPr>
          <w:trHeight w:val="113"/>
        </w:trPr>
        <w:tc>
          <w:tcPr>
            <w:tcW w:w="4673" w:type="dxa"/>
          </w:tcPr>
          <w:p w14:paraId="0AD8A6BA" w14:textId="77777777" w:rsidR="00255EC0" w:rsidRPr="00C261A7" w:rsidRDefault="00255EC0" w:rsidP="00C261A7">
            <w:pPr>
              <w:pStyle w:val="TableColumnheading"/>
              <w:spacing w:before="40" w:after="40"/>
              <w:rPr>
                <w:sz w:val="20"/>
              </w:rPr>
            </w:pPr>
            <w:r w:rsidRPr="00C261A7">
              <w:rPr>
                <w:sz w:val="20"/>
              </w:rPr>
              <w:t>Measure (unit of measure)</w:t>
            </w:r>
          </w:p>
        </w:tc>
        <w:tc>
          <w:tcPr>
            <w:tcW w:w="1241" w:type="dxa"/>
          </w:tcPr>
          <w:p w14:paraId="3480D1EA" w14:textId="77777777" w:rsidR="00255EC0" w:rsidRPr="00C261A7" w:rsidRDefault="00255EC0" w:rsidP="00C261A7">
            <w:pPr>
              <w:pStyle w:val="TableColumnheading"/>
              <w:spacing w:before="40" w:after="40"/>
              <w:jc w:val="right"/>
              <w:rPr>
                <w:sz w:val="20"/>
              </w:rPr>
            </w:pPr>
            <w:r w:rsidRPr="00C261A7">
              <w:rPr>
                <w:sz w:val="20"/>
              </w:rPr>
              <w:t>2016–17</w:t>
            </w:r>
          </w:p>
        </w:tc>
        <w:tc>
          <w:tcPr>
            <w:tcW w:w="1241" w:type="dxa"/>
          </w:tcPr>
          <w:p w14:paraId="4D01C388" w14:textId="77777777" w:rsidR="00255EC0" w:rsidRPr="00C261A7" w:rsidRDefault="00255EC0" w:rsidP="00C261A7">
            <w:pPr>
              <w:pStyle w:val="TableColumnheading"/>
              <w:spacing w:before="40" w:after="40"/>
              <w:jc w:val="right"/>
              <w:rPr>
                <w:sz w:val="20"/>
              </w:rPr>
            </w:pPr>
            <w:r w:rsidRPr="00C261A7">
              <w:rPr>
                <w:sz w:val="20"/>
              </w:rPr>
              <w:t>2017–18</w:t>
            </w:r>
          </w:p>
        </w:tc>
        <w:tc>
          <w:tcPr>
            <w:tcW w:w="1241" w:type="dxa"/>
          </w:tcPr>
          <w:p w14:paraId="57B71893" w14:textId="77777777" w:rsidR="00255EC0" w:rsidRPr="00C261A7" w:rsidRDefault="00255EC0" w:rsidP="00C261A7">
            <w:pPr>
              <w:pStyle w:val="TableColumnheading"/>
              <w:spacing w:before="40" w:after="40"/>
              <w:jc w:val="right"/>
              <w:rPr>
                <w:sz w:val="20"/>
              </w:rPr>
            </w:pPr>
            <w:r w:rsidRPr="00C261A7">
              <w:rPr>
                <w:sz w:val="20"/>
              </w:rPr>
              <w:t>2018–19</w:t>
            </w:r>
          </w:p>
        </w:tc>
        <w:tc>
          <w:tcPr>
            <w:tcW w:w="1242" w:type="dxa"/>
          </w:tcPr>
          <w:p w14:paraId="2636B198" w14:textId="77777777" w:rsidR="00255EC0" w:rsidRPr="00C261A7" w:rsidRDefault="00255EC0" w:rsidP="00C261A7">
            <w:pPr>
              <w:pStyle w:val="TableColumnheading"/>
              <w:spacing w:before="40" w:after="40"/>
              <w:jc w:val="right"/>
              <w:rPr>
                <w:sz w:val="20"/>
              </w:rPr>
            </w:pPr>
            <w:r w:rsidRPr="00C261A7">
              <w:rPr>
                <w:sz w:val="20"/>
              </w:rPr>
              <w:t>2019–20</w:t>
            </w:r>
          </w:p>
        </w:tc>
      </w:tr>
      <w:tr w:rsidR="00255EC0" w:rsidRPr="00C261A7" w14:paraId="2D9B6980" w14:textId="77777777" w:rsidTr="00E8460A">
        <w:trPr>
          <w:trHeight w:val="60"/>
        </w:trPr>
        <w:tc>
          <w:tcPr>
            <w:tcW w:w="4673" w:type="dxa"/>
          </w:tcPr>
          <w:p w14:paraId="307C1305" w14:textId="77777777" w:rsidR="00255EC0" w:rsidRPr="00C261A7" w:rsidRDefault="00255EC0" w:rsidP="00C261A7">
            <w:pPr>
              <w:pStyle w:val="Tabletextnospace"/>
              <w:rPr>
                <w:sz w:val="20"/>
                <w:szCs w:val="20"/>
              </w:rPr>
            </w:pPr>
            <w:r w:rsidRPr="00C261A7">
              <w:rPr>
                <w:sz w:val="20"/>
                <w:szCs w:val="20"/>
              </w:rPr>
              <w:t>Victoria’s proportion of all international student enrolments in Australia (per cent)</w:t>
            </w:r>
          </w:p>
        </w:tc>
        <w:tc>
          <w:tcPr>
            <w:tcW w:w="1241" w:type="dxa"/>
          </w:tcPr>
          <w:p w14:paraId="22F27BB6" w14:textId="77777777" w:rsidR="00255EC0" w:rsidRPr="00C261A7" w:rsidRDefault="00255EC0" w:rsidP="00C261A7">
            <w:pPr>
              <w:pStyle w:val="Tabletextnospace"/>
              <w:jc w:val="right"/>
              <w:rPr>
                <w:sz w:val="20"/>
                <w:szCs w:val="20"/>
              </w:rPr>
            </w:pPr>
            <w:r w:rsidRPr="00C261A7">
              <w:rPr>
                <w:sz w:val="20"/>
                <w:szCs w:val="20"/>
              </w:rPr>
              <w:t>31</w:t>
            </w:r>
          </w:p>
        </w:tc>
        <w:tc>
          <w:tcPr>
            <w:tcW w:w="1241" w:type="dxa"/>
          </w:tcPr>
          <w:p w14:paraId="4B80C73D" w14:textId="77777777" w:rsidR="00255EC0" w:rsidRPr="00C261A7" w:rsidRDefault="00255EC0" w:rsidP="00C261A7">
            <w:pPr>
              <w:pStyle w:val="Tabletextnospace"/>
              <w:jc w:val="right"/>
              <w:rPr>
                <w:sz w:val="20"/>
                <w:szCs w:val="20"/>
              </w:rPr>
            </w:pPr>
            <w:r w:rsidRPr="00C261A7">
              <w:rPr>
                <w:sz w:val="20"/>
                <w:szCs w:val="20"/>
              </w:rPr>
              <w:t>32</w:t>
            </w:r>
          </w:p>
        </w:tc>
        <w:tc>
          <w:tcPr>
            <w:tcW w:w="1241" w:type="dxa"/>
          </w:tcPr>
          <w:p w14:paraId="26684C00" w14:textId="77777777" w:rsidR="00255EC0" w:rsidRPr="00C261A7" w:rsidRDefault="00255EC0" w:rsidP="00C261A7">
            <w:pPr>
              <w:pStyle w:val="Tabletextnospace"/>
              <w:jc w:val="right"/>
              <w:rPr>
                <w:sz w:val="20"/>
                <w:szCs w:val="20"/>
              </w:rPr>
            </w:pPr>
            <w:r w:rsidRPr="00C261A7">
              <w:rPr>
                <w:sz w:val="20"/>
                <w:szCs w:val="20"/>
              </w:rPr>
              <w:t>32</w:t>
            </w:r>
          </w:p>
        </w:tc>
        <w:tc>
          <w:tcPr>
            <w:tcW w:w="1242" w:type="dxa"/>
          </w:tcPr>
          <w:p w14:paraId="0A385181" w14:textId="77777777" w:rsidR="00255EC0" w:rsidRPr="00C261A7" w:rsidRDefault="00255EC0" w:rsidP="00C261A7">
            <w:pPr>
              <w:pStyle w:val="Tabletextnospace"/>
              <w:jc w:val="right"/>
              <w:rPr>
                <w:sz w:val="20"/>
                <w:szCs w:val="20"/>
              </w:rPr>
            </w:pPr>
            <w:r w:rsidRPr="00C261A7">
              <w:rPr>
                <w:sz w:val="20"/>
                <w:szCs w:val="20"/>
              </w:rPr>
              <w:t>32</w:t>
            </w:r>
          </w:p>
        </w:tc>
      </w:tr>
      <w:tr w:rsidR="00255EC0" w:rsidRPr="00C261A7" w14:paraId="19F88E76" w14:textId="77777777" w:rsidTr="00E8460A">
        <w:trPr>
          <w:trHeight w:val="60"/>
        </w:trPr>
        <w:tc>
          <w:tcPr>
            <w:tcW w:w="9638" w:type="dxa"/>
            <w:gridSpan w:val="5"/>
          </w:tcPr>
          <w:p w14:paraId="3E2B30B6" w14:textId="3C880D2D" w:rsidR="00255EC0" w:rsidRPr="00C261A7" w:rsidRDefault="00255EC0" w:rsidP="00C261A7">
            <w:pPr>
              <w:pStyle w:val="Tablefootnote"/>
            </w:pPr>
            <w:r w:rsidRPr="00C261A7">
              <w:t>Note: Financial year data on international student enrolments is not available. Figures in the table are calendar year data reflecting</w:t>
            </w:r>
            <w:r w:rsidR="00C261A7">
              <w:t xml:space="preserve"> </w:t>
            </w:r>
            <w:r w:rsidRPr="00C261A7">
              <w:t>the academic year and capturing peaks and troughs of enrolment periods.</w:t>
            </w:r>
          </w:p>
        </w:tc>
      </w:tr>
    </w:tbl>
    <w:p w14:paraId="6F7DFE42" w14:textId="77777777" w:rsidR="00255EC0" w:rsidRPr="00255EC0" w:rsidRDefault="00255EC0" w:rsidP="00C261A7">
      <w:pPr>
        <w:pStyle w:val="Body"/>
      </w:pPr>
    </w:p>
    <w:p w14:paraId="4F902F6C" w14:textId="758C5268" w:rsidR="00255EC0" w:rsidRPr="00255EC0" w:rsidRDefault="00255EC0" w:rsidP="00C261A7">
      <w:pPr>
        <w:pStyle w:val="Heading5"/>
        <w:rPr>
          <w:rFonts w:ascii="VIC Medium" w:hAnsi="VIC Medium" w:cs="VIC Medium"/>
        </w:rPr>
      </w:pPr>
      <w:r w:rsidRPr="00255EC0">
        <w:t>Figure 5: Victoria’s proportion of all</w:t>
      </w:r>
      <w:r w:rsidR="00C261A7">
        <w:t xml:space="preserve"> </w:t>
      </w:r>
      <w:r w:rsidRPr="00255EC0">
        <w:t>international student enrolments in Australia</w:t>
      </w:r>
    </w:p>
    <w:p w14:paraId="69782F67" w14:textId="2B92C628" w:rsidR="00255EC0" w:rsidRPr="00255EC0" w:rsidRDefault="00C261A7" w:rsidP="00C261A7">
      <w:pPr>
        <w:pStyle w:val="Body"/>
      </w:pPr>
      <w:r>
        <w:rPr>
          <w:noProof/>
        </w:rPr>
        <w:drawing>
          <wp:inline distT="0" distB="0" distL="0" distR="0" wp14:anchorId="38C8A507" wp14:editId="4D6A3A56">
            <wp:extent cx="1990725" cy="1323975"/>
            <wp:effectExtent l="0" t="0" r="9525" b="9525"/>
            <wp:docPr id="10" name="Graphic 10" descr="Figure 5: Victoria’s proportion of all international student enrolments in Australi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Figure 5: Victoria’s proportion of all international student enrolments in Australia graph"/>
                    <pic:cNvPicPr/>
                  </pic:nvPicPr>
                  <pic:blipFill>
                    <a:blip r:embed="rId18">
                      <a:extLst>
                        <a:ext uri="{96DAC541-7B7A-43D3-8B79-37D633B846F1}">
                          <asvg:svgBlip xmlns:asvg="http://schemas.microsoft.com/office/drawing/2016/SVG/main" r:embed="rId19"/>
                        </a:ext>
                      </a:extLst>
                    </a:blip>
                    <a:stretch>
                      <a:fillRect/>
                    </a:stretch>
                  </pic:blipFill>
                  <pic:spPr>
                    <a:xfrm>
                      <a:off x="0" y="0"/>
                      <a:ext cx="1990725" cy="1323975"/>
                    </a:xfrm>
                    <a:prstGeom prst="rect">
                      <a:avLst/>
                    </a:prstGeom>
                  </pic:spPr>
                </pic:pic>
              </a:graphicData>
            </a:graphic>
          </wp:inline>
        </w:drawing>
      </w:r>
    </w:p>
    <w:p w14:paraId="42BF7535" w14:textId="2D203468" w:rsidR="00255EC0" w:rsidRPr="00255EC0" w:rsidRDefault="00255EC0" w:rsidP="00C261A7">
      <w:pPr>
        <w:pStyle w:val="Body"/>
      </w:pPr>
      <w:r w:rsidRPr="00255EC0">
        <w:t>Victoria’s national share of international student enrolments continues to grow, from 31 per cent</w:t>
      </w:r>
      <w:r w:rsidR="00C261A7">
        <w:t xml:space="preserve"> </w:t>
      </w:r>
      <w:r w:rsidRPr="00255EC0">
        <w:t>of Australia’s international enrolments in 2016–17</w:t>
      </w:r>
      <w:r w:rsidR="00C261A7">
        <w:t xml:space="preserve"> </w:t>
      </w:r>
      <w:r w:rsidRPr="00255EC0">
        <w:t>to 32 per cent in 2019–20. As a result of strong enrolment growth, the international education</w:t>
      </w:r>
      <w:r w:rsidR="00C261A7">
        <w:t xml:space="preserve"> </w:t>
      </w:r>
      <w:r w:rsidRPr="00255EC0">
        <w:t>sector generated a record high $13.7 billion</w:t>
      </w:r>
      <w:r w:rsidR="00C261A7">
        <w:t xml:space="preserve"> </w:t>
      </w:r>
      <w:r w:rsidRPr="00255EC0">
        <w:t>in export revenue for the state in 2019 and</w:t>
      </w:r>
      <w:r w:rsidR="00C261A7">
        <w:t xml:space="preserve"> </w:t>
      </w:r>
      <w:r w:rsidRPr="00255EC0">
        <w:t>supported around 79,000 Victorian jobs</w:t>
      </w:r>
      <w:r w:rsidR="00C261A7">
        <w:t xml:space="preserve"> </w:t>
      </w:r>
      <w:r w:rsidRPr="00255EC0">
        <w:t>in 2018 (latest available data). Melbourne also retained its ranking as Australia’s best student</w:t>
      </w:r>
      <w:r w:rsidR="00E1407F">
        <w:t xml:space="preserve"> </w:t>
      </w:r>
      <w:r w:rsidRPr="00255EC0">
        <w:t>city and the third best in the world (QS Best</w:t>
      </w:r>
      <w:r w:rsidR="00E1407F">
        <w:t xml:space="preserve"> </w:t>
      </w:r>
      <w:r w:rsidRPr="00255EC0">
        <w:t xml:space="preserve">Student Cities 2019). </w:t>
      </w:r>
    </w:p>
    <w:p w14:paraId="46005695" w14:textId="77777777" w:rsidR="00255EC0" w:rsidRPr="00255EC0" w:rsidRDefault="00255EC0" w:rsidP="00C261A7">
      <w:pPr>
        <w:pStyle w:val="Body"/>
      </w:pPr>
      <w:r w:rsidRPr="00255EC0">
        <w:t xml:space="preserve">In 2019, Victoria’s international student enrolment numbers were up 10.6 per cent year on year, surpassing national average growth (9.7 per cent) and growth in key competitor states New South Wales (9.4 per cent) and Queensland (7.9 per cent). Growth was largely driven by South Asian markets, including India, </w:t>
      </w:r>
      <w:proofErr w:type="gramStart"/>
      <w:r w:rsidRPr="00255EC0">
        <w:t>Nepal</w:t>
      </w:r>
      <w:proofErr w:type="gramEnd"/>
      <w:r w:rsidRPr="00255EC0">
        <w:t xml:space="preserve"> and Sri Lanka.</w:t>
      </w:r>
    </w:p>
    <w:p w14:paraId="10A7EC6A" w14:textId="139342FB" w:rsidR="00255EC0" w:rsidRPr="00255EC0" w:rsidRDefault="00255EC0" w:rsidP="00E1407F">
      <w:pPr>
        <w:pStyle w:val="Body"/>
      </w:pPr>
      <w:r w:rsidRPr="00255EC0">
        <w:t>The 2019–20 bushfires and the coronavirus (COVID-19) pandemic are expected to impact on the overall number of international students in Australia. Australian Bureau of Statistics data indicates that overseas student visa holder arrivals to Australia are down by close to 100 per cent, from around 46,040 arrivals in June 2019, to less than 60 in June 2020. This dramatic decline in new student visa holder arrivals has significant ramifications for the future</w:t>
      </w:r>
      <w:r w:rsidR="00E1407F">
        <w:t xml:space="preserve"> </w:t>
      </w:r>
      <w:r w:rsidRPr="00255EC0">
        <w:t xml:space="preserve">of the international education sector. </w:t>
      </w:r>
    </w:p>
    <w:p w14:paraId="15255476" w14:textId="0A54B429" w:rsidR="00255EC0" w:rsidRPr="00255EC0" w:rsidRDefault="00255EC0" w:rsidP="00E1407F">
      <w:pPr>
        <w:pStyle w:val="Body"/>
      </w:pPr>
      <w:r w:rsidRPr="00255EC0">
        <w:t>Despite the significant decline in new student</w:t>
      </w:r>
      <w:r w:rsidR="00E1407F">
        <w:t xml:space="preserve"> </w:t>
      </w:r>
      <w:r w:rsidRPr="00255EC0">
        <w:t>visa holder arrivals, large numbers of current</w:t>
      </w:r>
      <w:r w:rsidR="00E1407F">
        <w:t xml:space="preserve"> </w:t>
      </w:r>
      <w:r w:rsidRPr="00255EC0">
        <w:t>international students remain onshore.</w:t>
      </w:r>
      <w:r w:rsidR="00E1407F">
        <w:t xml:space="preserve"> </w:t>
      </w:r>
      <w:r w:rsidRPr="00255EC0">
        <w:t>Throughout the coronavirus (COVID-19) pandemic,</w:t>
      </w:r>
      <w:r w:rsidR="00E1407F">
        <w:t xml:space="preserve"> </w:t>
      </w:r>
      <w:r w:rsidRPr="00255EC0">
        <w:t>the department has strengthened its existing</w:t>
      </w:r>
      <w:r w:rsidR="00E1407F">
        <w:t xml:space="preserve"> </w:t>
      </w:r>
      <w:r w:rsidRPr="00255EC0">
        <w:t>suite of onshore student support programs.</w:t>
      </w:r>
      <w:r w:rsidR="00E1407F">
        <w:t xml:space="preserve"> </w:t>
      </w:r>
      <w:r w:rsidRPr="00255EC0">
        <w:t>This includes expanded case management,</w:t>
      </w:r>
      <w:r w:rsidR="00E1407F">
        <w:t xml:space="preserve"> </w:t>
      </w:r>
      <w:r w:rsidRPr="00255EC0">
        <w:t>accommodation support and free legal advice,</w:t>
      </w:r>
      <w:r w:rsidR="00E1407F">
        <w:t xml:space="preserve"> </w:t>
      </w:r>
      <w:r w:rsidRPr="00255EC0">
        <w:t>online and over the phone through the Study</w:t>
      </w:r>
      <w:r w:rsidR="00E1407F">
        <w:t xml:space="preserve"> </w:t>
      </w:r>
      <w:r w:rsidRPr="00255EC0">
        <w:t>Melbourne Student Centre, to meet increased</w:t>
      </w:r>
      <w:r w:rsidR="00E1407F">
        <w:t xml:space="preserve"> </w:t>
      </w:r>
      <w:r w:rsidRPr="00255EC0">
        <w:t>requests for assistance from international</w:t>
      </w:r>
      <w:r w:rsidR="00E1407F">
        <w:t xml:space="preserve"> </w:t>
      </w:r>
      <w:r w:rsidRPr="00255EC0">
        <w:t>students. In 2019–20, the department commenced</w:t>
      </w:r>
      <w:r w:rsidR="00E1407F">
        <w:t xml:space="preserve"> </w:t>
      </w:r>
      <w:r w:rsidRPr="00255EC0">
        <w:t>delivery of the $45 million International Student</w:t>
      </w:r>
      <w:r w:rsidR="00E1407F">
        <w:t xml:space="preserve"> </w:t>
      </w:r>
      <w:r w:rsidRPr="00255EC0">
        <w:t>Emergency Relief Fund to support international</w:t>
      </w:r>
      <w:r w:rsidR="00E1407F">
        <w:t xml:space="preserve"> </w:t>
      </w:r>
      <w:r w:rsidRPr="00255EC0">
        <w:t xml:space="preserve">students experiencing lost or </w:t>
      </w:r>
      <w:r w:rsidRPr="00255EC0">
        <w:lastRenderedPageBreak/>
        <w:t xml:space="preserve">reduced employment and financial hardship </w:t>
      </w:r>
      <w:proofErr w:type="gramStart"/>
      <w:r w:rsidRPr="00255EC0">
        <w:t>as a result of</w:t>
      </w:r>
      <w:proofErr w:type="gramEnd"/>
      <w:r w:rsidRPr="00255EC0">
        <w:t xml:space="preserve"> coronavirus</w:t>
      </w:r>
      <w:r w:rsidR="00E1407F">
        <w:t xml:space="preserve"> </w:t>
      </w:r>
      <w:r w:rsidRPr="00255EC0">
        <w:t>(COVID-19). This support reinforces the State’s</w:t>
      </w:r>
      <w:r w:rsidR="00E1407F">
        <w:t xml:space="preserve"> </w:t>
      </w:r>
      <w:r w:rsidRPr="00255EC0">
        <w:t>reputation as a safe and welcoming destination</w:t>
      </w:r>
      <w:r w:rsidR="00E1407F">
        <w:t xml:space="preserve"> </w:t>
      </w:r>
      <w:r w:rsidRPr="00255EC0">
        <w:t xml:space="preserve">for future international students. </w:t>
      </w:r>
    </w:p>
    <w:p w14:paraId="4BC09E20" w14:textId="77777777" w:rsidR="00255EC0" w:rsidRPr="00255EC0" w:rsidRDefault="00255EC0" w:rsidP="00044E3D">
      <w:pPr>
        <w:pStyle w:val="Heading3"/>
      </w:pPr>
      <w:r w:rsidRPr="00255EC0">
        <w:t>Performance against output performance measures</w:t>
      </w:r>
    </w:p>
    <w:p w14:paraId="377F0C37" w14:textId="7A9E7E80" w:rsidR="00255EC0" w:rsidRPr="00255EC0" w:rsidRDefault="00255EC0" w:rsidP="00044E3D">
      <w:pPr>
        <w:pStyle w:val="Body"/>
      </w:pPr>
      <w:r w:rsidRPr="00255EC0">
        <w:t>Table 8 represents performance against the Trade and Global Engagement output. This output promotes business growth opportunities by connecting organisations to global business opportunities in priority markets and supporting the establishment and deepening of strategic commercial partnerships.</w:t>
      </w:r>
      <w:r w:rsidR="00044E3D">
        <w:t xml:space="preserve"> </w:t>
      </w:r>
      <w:r w:rsidRPr="00255EC0">
        <w:t>It also positions Victoria as a destination of choice for international students.</w:t>
      </w:r>
    </w:p>
    <w:p w14:paraId="2004649C" w14:textId="77777777" w:rsidR="00255EC0" w:rsidRPr="00255EC0" w:rsidRDefault="00255EC0" w:rsidP="00044E3D">
      <w:pPr>
        <w:pStyle w:val="Heading5"/>
      </w:pPr>
      <w:r w:rsidRPr="00255EC0">
        <w:t>Table 8: Output – Trade and Global Engagement</w:t>
      </w:r>
    </w:p>
    <w:tbl>
      <w:tblPr>
        <w:tblStyle w:val="TableGrid"/>
        <w:tblW w:w="9776" w:type="dxa"/>
        <w:tblLayout w:type="fixed"/>
        <w:tblLook w:val="0020" w:firstRow="1" w:lastRow="0" w:firstColumn="0" w:lastColumn="0" w:noHBand="0" w:noVBand="0"/>
      </w:tblPr>
      <w:tblGrid>
        <w:gridCol w:w="4649"/>
        <w:gridCol w:w="964"/>
        <w:gridCol w:w="963"/>
        <w:gridCol w:w="964"/>
        <w:gridCol w:w="1386"/>
        <w:gridCol w:w="850"/>
      </w:tblGrid>
      <w:tr w:rsidR="00255EC0" w:rsidRPr="0010296A" w14:paraId="5F9D5C3E" w14:textId="77777777" w:rsidTr="00E8460A">
        <w:trPr>
          <w:trHeight w:val="113"/>
        </w:trPr>
        <w:tc>
          <w:tcPr>
            <w:tcW w:w="4649" w:type="dxa"/>
          </w:tcPr>
          <w:p w14:paraId="63948B36" w14:textId="77777777" w:rsidR="00255EC0" w:rsidRPr="0010296A" w:rsidRDefault="00255EC0" w:rsidP="00044E3D">
            <w:pPr>
              <w:pStyle w:val="TableColumnheading"/>
              <w:rPr>
                <w:sz w:val="20"/>
              </w:rPr>
            </w:pPr>
            <w:r w:rsidRPr="0010296A">
              <w:rPr>
                <w:sz w:val="20"/>
              </w:rPr>
              <w:t xml:space="preserve">Performance measures </w:t>
            </w:r>
          </w:p>
        </w:tc>
        <w:tc>
          <w:tcPr>
            <w:tcW w:w="964" w:type="dxa"/>
          </w:tcPr>
          <w:p w14:paraId="54AD8EF3" w14:textId="77777777" w:rsidR="00255EC0" w:rsidRPr="0010296A" w:rsidRDefault="00255EC0" w:rsidP="0010296A">
            <w:pPr>
              <w:pStyle w:val="TableColumnheading"/>
              <w:jc w:val="right"/>
              <w:rPr>
                <w:sz w:val="20"/>
              </w:rPr>
            </w:pPr>
            <w:r w:rsidRPr="0010296A">
              <w:rPr>
                <w:sz w:val="20"/>
              </w:rPr>
              <w:t>Unit of measure</w:t>
            </w:r>
          </w:p>
        </w:tc>
        <w:tc>
          <w:tcPr>
            <w:tcW w:w="963" w:type="dxa"/>
          </w:tcPr>
          <w:p w14:paraId="2151F58B" w14:textId="77777777" w:rsidR="00255EC0" w:rsidRPr="0010296A" w:rsidRDefault="00255EC0" w:rsidP="0010296A">
            <w:pPr>
              <w:pStyle w:val="TableColumnheading"/>
              <w:jc w:val="right"/>
              <w:rPr>
                <w:sz w:val="20"/>
              </w:rPr>
            </w:pPr>
            <w:r w:rsidRPr="0010296A">
              <w:rPr>
                <w:sz w:val="20"/>
              </w:rPr>
              <w:t>2019–20 actual</w:t>
            </w:r>
          </w:p>
        </w:tc>
        <w:tc>
          <w:tcPr>
            <w:tcW w:w="964" w:type="dxa"/>
          </w:tcPr>
          <w:p w14:paraId="6045933C" w14:textId="77777777" w:rsidR="00255EC0" w:rsidRPr="0010296A" w:rsidRDefault="00255EC0" w:rsidP="0010296A">
            <w:pPr>
              <w:pStyle w:val="TableColumnheading"/>
              <w:jc w:val="right"/>
              <w:rPr>
                <w:sz w:val="20"/>
              </w:rPr>
            </w:pPr>
            <w:r w:rsidRPr="0010296A">
              <w:rPr>
                <w:sz w:val="20"/>
              </w:rPr>
              <w:t>2019–20 target</w:t>
            </w:r>
          </w:p>
        </w:tc>
        <w:tc>
          <w:tcPr>
            <w:tcW w:w="1386" w:type="dxa"/>
          </w:tcPr>
          <w:p w14:paraId="682E5869" w14:textId="77777777" w:rsidR="00255EC0" w:rsidRPr="0010296A" w:rsidRDefault="00255EC0" w:rsidP="0010296A">
            <w:pPr>
              <w:pStyle w:val="TableColumnheading"/>
              <w:jc w:val="right"/>
              <w:rPr>
                <w:sz w:val="20"/>
              </w:rPr>
            </w:pPr>
            <w:r w:rsidRPr="0010296A">
              <w:rPr>
                <w:sz w:val="20"/>
              </w:rPr>
              <w:t xml:space="preserve">Performance variation (%) </w:t>
            </w:r>
          </w:p>
        </w:tc>
        <w:tc>
          <w:tcPr>
            <w:tcW w:w="850" w:type="dxa"/>
          </w:tcPr>
          <w:p w14:paraId="55029866" w14:textId="77777777" w:rsidR="00255EC0" w:rsidRPr="0010296A" w:rsidRDefault="00255EC0" w:rsidP="0010296A">
            <w:pPr>
              <w:pStyle w:val="TableColumnheading"/>
              <w:jc w:val="right"/>
              <w:rPr>
                <w:sz w:val="20"/>
              </w:rPr>
            </w:pPr>
            <w:r w:rsidRPr="0010296A">
              <w:rPr>
                <w:sz w:val="20"/>
              </w:rPr>
              <w:t xml:space="preserve">Result </w:t>
            </w:r>
          </w:p>
        </w:tc>
      </w:tr>
      <w:tr w:rsidR="00255EC0" w:rsidRPr="0010296A" w14:paraId="1F4A6DB5" w14:textId="77777777" w:rsidTr="00E8460A">
        <w:trPr>
          <w:trHeight w:val="113"/>
        </w:trPr>
        <w:tc>
          <w:tcPr>
            <w:tcW w:w="9776" w:type="dxa"/>
            <w:gridSpan w:val="6"/>
          </w:tcPr>
          <w:p w14:paraId="32E89289" w14:textId="77777777" w:rsidR="00255EC0" w:rsidRPr="0010296A" w:rsidRDefault="00255EC0" w:rsidP="00044E3D">
            <w:pPr>
              <w:pStyle w:val="Tabletextnospace"/>
              <w:rPr>
                <w:b/>
                <w:bCs/>
                <w:sz w:val="20"/>
                <w:szCs w:val="20"/>
              </w:rPr>
            </w:pPr>
            <w:r w:rsidRPr="0010296A">
              <w:rPr>
                <w:b/>
                <w:bCs/>
                <w:sz w:val="20"/>
                <w:szCs w:val="20"/>
              </w:rPr>
              <w:t>Quantity</w:t>
            </w:r>
          </w:p>
        </w:tc>
      </w:tr>
      <w:tr w:rsidR="00255EC0" w:rsidRPr="0010296A" w14:paraId="503D78F1" w14:textId="77777777" w:rsidTr="00E8460A">
        <w:trPr>
          <w:trHeight w:val="113"/>
        </w:trPr>
        <w:tc>
          <w:tcPr>
            <w:tcW w:w="4649" w:type="dxa"/>
          </w:tcPr>
          <w:p w14:paraId="055F8DBA" w14:textId="77777777" w:rsidR="00255EC0" w:rsidRPr="0010296A" w:rsidRDefault="00255EC0" w:rsidP="00044E3D">
            <w:pPr>
              <w:pStyle w:val="Tabletextnospace"/>
              <w:rPr>
                <w:sz w:val="20"/>
                <w:szCs w:val="20"/>
              </w:rPr>
            </w:pPr>
            <w:r w:rsidRPr="0010296A">
              <w:rPr>
                <w:sz w:val="20"/>
                <w:szCs w:val="20"/>
              </w:rPr>
              <w:t xml:space="preserve">Actual export sales generated </w:t>
            </w:r>
            <w:proofErr w:type="gramStart"/>
            <w:r w:rsidRPr="0010296A">
              <w:rPr>
                <w:sz w:val="20"/>
                <w:szCs w:val="20"/>
              </w:rPr>
              <w:t>as a result of</w:t>
            </w:r>
            <w:proofErr w:type="gramEnd"/>
            <w:r w:rsidRPr="0010296A">
              <w:rPr>
                <w:sz w:val="20"/>
                <w:szCs w:val="20"/>
              </w:rPr>
              <w:t xml:space="preserve"> participation in government programs</w:t>
            </w:r>
          </w:p>
        </w:tc>
        <w:tc>
          <w:tcPr>
            <w:tcW w:w="964" w:type="dxa"/>
          </w:tcPr>
          <w:p w14:paraId="3DCCCB4C" w14:textId="77777777" w:rsidR="00255EC0" w:rsidRPr="0010296A" w:rsidRDefault="00255EC0" w:rsidP="0010296A">
            <w:pPr>
              <w:pStyle w:val="Tabletextnospace"/>
              <w:jc w:val="right"/>
              <w:rPr>
                <w:sz w:val="20"/>
                <w:szCs w:val="20"/>
              </w:rPr>
            </w:pPr>
            <w:r w:rsidRPr="0010296A">
              <w:rPr>
                <w:sz w:val="20"/>
                <w:szCs w:val="20"/>
              </w:rPr>
              <w:t>$ million</w:t>
            </w:r>
          </w:p>
        </w:tc>
        <w:tc>
          <w:tcPr>
            <w:tcW w:w="963" w:type="dxa"/>
          </w:tcPr>
          <w:p w14:paraId="749FFB52" w14:textId="77777777" w:rsidR="00255EC0" w:rsidRPr="0010296A" w:rsidRDefault="00255EC0" w:rsidP="0010296A">
            <w:pPr>
              <w:pStyle w:val="Tabletextnospace"/>
              <w:jc w:val="right"/>
              <w:rPr>
                <w:sz w:val="20"/>
                <w:szCs w:val="20"/>
              </w:rPr>
            </w:pPr>
            <w:r w:rsidRPr="0010296A">
              <w:rPr>
                <w:sz w:val="20"/>
                <w:szCs w:val="20"/>
              </w:rPr>
              <w:t>709</w:t>
            </w:r>
          </w:p>
        </w:tc>
        <w:tc>
          <w:tcPr>
            <w:tcW w:w="964" w:type="dxa"/>
          </w:tcPr>
          <w:p w14:paraId="38797B64" w14:textId="77777777" w:rsidR="00255EC0" w:rsidRPr="0010296A" w:rsidRDefault="00255EC0" w:rsidP="0010296A">
            <w:pPr>
              <w:pStyle w:val="Tabletextnospace"/>
              <w:jc w:val="right"/>
              <w:rPr>
                <w:sz w:val="20"/>
                <w:szCs w:val="20"/>
              </w:rPr>
            </w:pPr>
            <w:r w:rsidRPr="0010296A">
              <w:rPr>
                <w:sz w:val="20"/>
                <w:szCs w:val="20"/>
              </w:rPr>
              <w:t>550</w:t>
            </w:r>
          </w:p>
        </w:tc>
        <w:tc>
          <w:tcPr>
            <w:tcW w:w="1386" w:type="dxa"/>
          </w:tcPr>
          <w:p w14:paraId="277F75E2" w14:textId="77777777" w:rsidR="00255EC0" w:rsidRPr="0010296A" w:rsidRDefault="00255EC0" w:rsidP="0010296A">
            <w:pPr>
              <w:pStyle w:val="Tabletextnospace"/>
              <w:jc w:val="right"/>
              <w:rPr>
                <w:sz w:val="20"/>
                <w:szCs w:val="20"/>
              </w:rPr>
            </w:pPr>
            <w:r w:rsidRPr="0010296A">
              <w:rPr>
                <w:sz w:val="20"/>
                <w:szCs w:val="20"/>
              </w:rPr>
              <w:t>28.9%</w:t>
            </w:r>
          </w:p>
        </w:tc>
        <w:tc>
          <w:tcPr>
            <w:tcW w:w="850" w:type="dxa"/>
          </w:tcPr>
          <w:p w14:paraId="5FDA2EAC"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ü</w:t>
            </w:r>
          </w:p>
        </w:tc>
      </w:tr>
      <w:tr w:rsidR="00255EC0" w:rsidRPr="0010296A" w14:paraId="28B8B488" w14:textId="77777777" w:rsidTr="00E8460A">
        <w:trPr>
          <w:trHeight w:val="113"/>
        </w:trPr>
        <w:tc>
          <w:tcPr>
            <w:tcW w:w="9776" w:type="dxa"/>
            <w:gridSpan w:val="6"/>
          </w:tcPr>
          <w:p w14:paraId="61558413" w14:textId="77777777" w:rsidR="00255EC0" w:rsidRPr="0010296A" w:rsidRDefault="00255EC0" w:rsidP="00044E3D">
            <w:pPr>
              <w:pStyle w:val="Tabletextnospace"/>
              <w:rPr>
                <w:i/>
                <w:iCs/>
                <w:sz w:val="20"/>
                <w:szCs w:val="20"/>
              </w:rPr>
            </w:pPr>
            <w:r w:rsidRPr="0010296A">
              <w:rPr>
                <w:i/>
                <w:iCs/>
                <w:sz w:val="20"/>
                <w:szCs w:val="20"/>
              </w:rPr>
              <w:t xml:space="preserve">Higher result due to stronger than expected export outcomes by businesses participating in government programs, including participation in trade missions in prior years. </w:t>
            </w:r>
          </w:p>
        </w:tc>
      </w:tr>
      <w:tr w:rsidR="00255EC0" w:rsidRPr="0010296A" w14:paraId="2B42A326" w14:textId="77777777" w:rsidTr="00E8460A">
        <w:trPr>
          <w:trHeight w:val="113"/>
        </w:trPr>
        <w:tc>
          <w:tcPr>
            <w:tcW w:w="4649" w:type="dxa"/>
          </w:tcPr>
          <w:p w14:paraId="50F280E6" w14:textId="77777777" w:rsidR="00255EC0" w:rsidRPr="0010296A" w:rsidRDefault="00255EC0" w:rsidP="00044E3D">
            <w:pPr>
              <w:pStyle w:val="Tabletextnospace"/>
              <w:rPr>
                <w:sz w:val="20"/>
                <w:szCs w:val="20"/>
              </w:rPr>
            </w:pPr>
            <w:r w:rsidRPr="0010296A">
              <w:rPr>
                <w:sz w:val="20"/>
                <w:szCs w:val="20"/>
              </w:rPr>
              <w:t>Clients engaged in export and trade programs</w:t>
            </w:r>
          </w:p>
        </w:tc>
        <w:tc>
          <w:tcPr>
            <w:tcW w:w="964" w:type="dxa"/>
          </w:tcPr>
          <w:p w14:paraId="0247D9F1" w14:textId="77777777" w:rsidR="00255EC0" w:rsidRPr="0010296A" w:rsidRDefault="00255EC0" w:rsidP="0010296A">
            <w:pPr>
              <w:pStyle w:val="Tabletextnospace"/>
              <w:jc w:val="right"/>
              <w:rPr>
                <w:sz w:val="20"/>
                <w:szCs w:val="20"/>
              </w:rPr>
            </w:pPr>
            <w:r w:rsidRPr="0010296A">
              <w:rPr>
                <w:sz w:val="20"/>
                <w:szCs w:val="20"/>
              </w:rPr>
              <w:t>number</w:t>
            </w:r>
          </w:p>
        </w:tc>
        <w:tc>
          <w:tcPr>
            <w:tcW w:w="963" w:type="dxa"/>
          </w:tcPr>
          <w:p w14:paraId="1980929F" w14:textId="77777777" w:rsidR="00255EC0" w:rsidRPr="0010296A" w:rsidRDefault="00255EC0" w:rsidP="0010296A">
            <w:pPr>
              <w:pStyle w:val="Tabletextnospace"/>
              <w:jc w:val="right"/>
              <w:rPr>
                <w:sz w:val="20"/>
                <w:szCs w:val="20"/>
              </w:rPr>
            </w:pPr>
            <w:r w:rsidRPr="0010296A">
              <w:rPr>
                <w:sz w:val="20"/>
                <w:szCs w:val="20"/>
              </w:rPr>
              <w:t>2265</w:t>
            </w:r>
          </w:p>
        </w:tc>
        <w:tc>
          <w:tcPr>
            <w:tcW w:w="964" w:type="dxa"/>
          </w:tcPr>
          <w:p w14:paraId="7485ADB6" w14:textId="77777777" w:rsidR="00255EC0" w:rsidRPr="0010296A" w:rsidRDefault="00255EC0" w:rsidP="0010296A">
            <w:pPr>
              <w:pStyle w:val="Tabletextnospace"/>
              <w:jc w:val="right"/>
              <w:rPr>
                <w:sz w:val="20"/>
                <w:szCs w:val="20"/>
              </w:rPr>
            </w:pPr>
            <w:r w:rsidRPr="0010296A">
              <w:rPr>
                <w:sz w:val="20"/>
                <w:szCs w:val="20"/>
              </w:rPr>
              <w:t>2500</w:t>
            </w:r>
          </w:p>
        </w:tc>
        <w:tc>
          <w:tcPr>
            <w:tcW w:w="1386" w:type="dxa"/>
          </w:tcPr>
          <w:p w14:paraId="476608B1" w14:textId="77777777" w:rsidR="00255EC0" w:rsidRPr="0010296A" w:rsidRDefault="00255EC0" w:rsidP="0010296A">
            <w:pPr>
              <w:pStyle w:val="Tabletextnospace"/>
              <w:jc w:val="right"/>
              <w:rPr>
                <w:sz w:val="20"/>
                <w:szCs w:val="20"/>
              </w:rPr>
            </w:pPr>
            <w:r w:rsidRPr="0010296A">
              <w:rPr>
                <w:sz w:val="20"/>
                <w:szCs w:val="20"/>
              </w:rPr>
              <w:t>-9.4%</w:t>
            </w:r>
          </w:p>
        </w:tc>
        <w:tc>
          <w:tcPr>
            <w:tcW w:w="850" w:type="dxa"/>
          </w:tcPr>
          <w:p w14:paraId="30684598"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n</w:t>
            </w:r>
          </w:p>
        </w:tc>
      </w:tr>
      <w:tr w:rsidR="00255EC0" w:rsidRPr="0010296A" w14:paraId="761C1D68" w14:textId="77777777" w:rsidTr="00E8460A">
        <w:trPr>
          <w:trHeight w:val="113"/>
        </w:trPr>
        <w:tc>
          <w:tcPr>
            <w:tcW w:w="9776" w:type="dxa"/>
            <w:gridSpan w:val="6"/>
          </w:tcPr>
          <w:p w14:paraId="3679B4DC" w14:textId="2B59E79B" w:rsidR="00255EC0" w:rsidRPr="0010296A" w:rsidRDefault="00255EC0" w:rsidP="00044E3D">
            <w:pPr>
              <w:pStyle w:val="Tabletextnospace"/>
              <w:rPr>
                <w:i/>
                <w:iCs/>
                <w:sz w:val="20"/>
                <w:szCs w:val="20"/>
              </w:rPr>
            </w:pPr>
            <w:r w:rsidRPr="0010296A">
              <w:rPr>
                <w:i/>
                <w:iCs/>
                <w:sz w:val="20"/>
                <w:szCs w:val="20"/>
              </w:rPr>
              <w:t>Lower result due to the cancellation of major trade shows and exhibitions in key global markets (</w:t>
            </w:r>
            <w:proofErr w:type="gramStart"/>
            <w:r w:rsidRPr="0010296A">
              <w:rPr>
                <w:i/>
                <w:iCs/>
                <w:sz w:val="20"/>
                <w:szCs w:val="20"/>
              </w:rPr>
              <w:t>as a result of</w:t>
            </w:r>
            <w:proofErr w:type="gramEnd"/>
            <w:r w:rsidRPr="0010296A">
              <w:rPr>
                <w:i/>
                <w:iCs/>
                <w:sz w:val="20"/>
                <w:szCs w:val="20"/>
              </w:rPr>
              <w:t xml:space="preserve"> coronavirus (COVID-19)) in the second half of the year.</w:t>
            </w:r>
          </w:p>
        </w:tc>
      </w:tr>
      <w:tr w:rsidR="00255EC0" w:rsidRPr="0010296A" w14:paraId="471DE831" w14:textId="77777777" w:rsidTr="00E8460A">
        <w:trPr>
          <w:trHeight w:val="113"/>
        </w:trPr>
        <w:tc>
          <w:tcPr>
            <w:tcW w:w="4649" w:type="dxa"/>
          </w:tcPr>
          <w:p w14:paraId="2FA1158B" w14:textId="77777777" w:rsidR="00255EC0" w:rsidRPr="0010296A" w:rsidRDefault="00255EC0" w:rsidP="00044E3D">
            <w:pPr>
              <w:pStyle w:val="Tabletextnospace"/>
              <w:rPr>
                <w:sz w:val="20"/>
                <w:szCs w:val="20"/>
              </w:rPr>
            </w:pPr>
            <w:r w:rsidRPr="0010296A">
              <w:rPr>
                <w:sz w:val="20"/>
                <w:szCs w:val="20"/>
              </w:rPr>
              <w:t>International delegates participated in the inbound trade mission program</w:t>
            </w:r>
          </w:p>
        </w:tc>
        <w:tc>
          <w:tcPr>
            <w:tcW w:w="964" w:type="dxa"/>
          </w:tcPr>
          <w:p w14:paraId="51C44B97" w14:textId="77777777" w:rsidR="00255EC0" w:rsidRPr="0010296A" w:rsidRDefault="00255EC0" w:rsidP="0010296A">
            <w:pPr>
              <w:pStyle w:val="Tabletextnospace"/>
              <w:jc w:val="right"/>
              <w:rPr>
                <w:sz w:val="20"/>
                <w:szCs w:val="20"/>
              </w:rPr>
            </w:pPr>
            <w:r w:rsidRPr="0010296A">
              <w:rPr>
                <w:sz w:val="20"/>
                <w:szCs w:val="20"/>
              </w:rPr>
              <w:t>number</w:t>
            </w:r>
          </w:p>
        </w:tc>
        <w:tc>
          <w:tcPr>
            <w:tcW w:w="963" w:type="dxa"/>
          </w:tcPr>
          <w:p w14:paraId="7294AE61" w14:textId="77777777" w:rsidR="00255EC0" w:rsidRPr="0010296A" w:rsidRDefault="00255EC0" w:rsidP="0010296A">
            <w:pPr>
              <w:pStyle w:val="Tabletextnospace"/>
              <w:jc w:val="right"/>
              <w:rPr>
                <w:sz w:val="20"/>
                <w:szCs w:val="20"/>
              </w:rPr>
            </w:pPr>
            <w:r w:rsidRPr="0010296A">
              <w:rPr>
                <w:sz w:val="20"/>
                <w:szCs w:val="20"/>
              </w:rPr>
              <w:t>593</w:t>
            </w:r>
          </w:p>
        </w:tc>
        <w:tc>
          <w:tcPr>
            <w:tcW w:w="964" w:type="dxa"/>
          </w:tcPr>
          <w:p w14:paraId="4CF2A6DD" w14:textId="77777777" w:rsidR="00255EC0" w:rsidRPr="0010296A" w:rsidRDefault="00255EC0" w:rsidP="0010296A">
            <w:pPr>
              <w:pStyle w:val="Tabletextnospace"/>
              <w:jc w:val="right"/>
              <w:rPr>
                <w:sz w:val="20"/>
                <w:szCs w:val="20"/>
              </w:rPr>
            </w:pPr>
            <w:r w:rsidRPr="0010296A">
              <w:rPr>
                <w:sz w:val="20"/>
                <w:szCs w:val="20"/>
              </w:rPr>
              <w:t>550</w:t>
            </w:r>
          </w:p>
        </w:tc>
        <w:tc>
          <w:tcPr>
            <w:tcW w:w="1386" w:type="dxa"/>
          </w:tcPr>
          <w:p w14:paraId="13F84E38" w14:textId="77777777" w:rsidR="00255EC0" w:rsidRPr="0010296A" w:rsidRDefault="00255EC0" w:rsidP="0010296A">
            <w:pPr>
              <w:pStyle w:val="Tabletextnospace"/>
              <w:jc w:val="right"/>
              <w:rPr>
                <w:sz w:val="20"/>
                <w:szCs w:val="20"/>
              </w:rPr>
            </w:pPr>
            <w:r w:rsidRPr="0010296A">
              <w:rPr>
                <w:sz w:val="20"/>
                <w:szCs w:val="20"/>
              </w:rPr>
              <w:t>7.8%</w:t>
            </w:r>
          </w:p>
        </w:tc>
        <w:tc>
          <w:tcPr>
            <w:tcW w:w="850" w:type="dxa"/>
          </w:tcPr>
          <w:p w14:paraId="37DD7D55"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ü</w:t>
            </w:r>
          </w:p>
        </w:tc>
      </w:tr>
      <w:tr w:rsidR="00255EC0" w:rsidRPr="0010296A" w14:paraId="72174AAC" w14:textId="77777777" w:rsidTr="00E8460A">
        <w:trPr>
          <w:trHeight w:val="113"/>
        </w:trPr>
        <w:tc>
          <w:tcPr>
            <w:tcW w:w="9776" w:type="dxa"/>
            <w:gridSpan w:val="6"/>
          </w:tcPr>
          <w:p w14:paraId="6161701F" w14:textId="77777777" w:rsidR="00255EC0" w:rsidRPr="0010296A" w:rsidRDefault="00255EC0" w:rsidP="00044E3D">
            <w:pPr>
              <w:pStyle w:val="Tabletextnospace"/>
              <w:rPr>
                <w:i/>
                <w:iCs/>
                <w:sz w:val="20"/>
                <w:szCs w:val="20"/>
              </w:rPr>
            </w:pPr>
            <w:r w:rsidRPr="0010296A">
              <w:rPr>
                <w:i/>
                <w:iCs/>
                <w:sz w:val="20"/>
                <w:szCs w:val="20"/>
              </w:rPr>
              <w:t>Higher result due to the high level of participation in inbound trade missions prior to the impact of coronavirus (COVID-19) travel restrictions.</w:t>
            </w:r>
          </w:p>
        </w:tc>
      </w:tr>
      <w:tr w:rsidR="00255EC0" w:rsidRPr="0010296A" w14:paraId="0039584F" w14:textId="77777777" w:rsidTr="00E8460A">
        <w:trPr>
          <w:trHeight w:val="113"/>
        </w:trPr>
        <w:tc>
          <w:tcPr>
            <w:tcW w:w="4649" w:type="dxa"/>
          </w:tcPr>
          <w:p w14:paraId="02989A88" w14:textId="1463E530" w:rsidR="00255EC0" w:rsidRPr="0010296A" w:rsidRDefault="00255EC0" w:rsidP="00044E3D">
            <w:pPr>
              <w:pStyle w:val="Tabletextnospace"/>
              <w:rPr>
                <w:sz w:val="20"/>
                <w:szCs w:val="20"/>
              </w:rPr>
            </w:pPr>
            <w:r w:rsidRPr="0010296A">
              <w:rPr>
                <w:sz w:val="20"/>
                <w:szCs w:val="20"/>
              </w:rPr>
              <w:t>Number of Victorian companies assisted</w:t>
            </w:r>
            <w:r w:rsidR="0010296A">
              <w:rPr>
                <w:sz w:val="20"/>
                <w:szCs w:val="20"/>
              </w:rPr>
              <w:t xml:space="preserve"> </w:t>
            </w:r>
            <w:r w:rsidRPr="0010296A">
              <w:rPr>
                <w:sz w:val="20"/>
                <w:szCs w:val="20"/>
              </w:rPr>
              <w:t>by Wine Industry initiatives</w:t>
            </w:r>
          </w:p>
        </w:tc>
        <w:tc>
          <w:tcPr>
            <w:tcW w:w="964" w:type="dxa"/>
          </w:tcPr>
          <w:p w14:paraId="336CF234" w14:textId="77777777" w:rsidR="00255EC0" w:rsidRPr="0010296A" w:rsidRDefault="00255EC0" w:rsidP="0010296A">
            <w:pPr>
              <w:pStyle w:val="Tabletextnospace"/>
              <w:jc w:val="right"/>
              <w:rPr>
                <w:sz w:val="20"/>
                <w:szCs w:val="20"/>
              </w:rPr>
            </w:pPr>
            <w:r w:rsidRPr="0010296A">
              <w:rPr>
                <w:sz w:val="20"/>
                <w:szCs w:val="20"/>
              </w:rPr>
              <w:t>number</w:t>
            </w:r>
          </w:p>
        </w:tc>
        <w:tc>
          <w:tcPr>
            <w:tcW w:w="963" w:type="dxa"/>
          </w:tcPr>
          <w:p w14:paraId="75948177" w14:textId="77777777" w:rsidR="00255EC0" w:rsidRPr="0010296A" w:rsidRDefault="00255EC0" w:rsidP="0010296A">
            <w:pPr>
              <w:pStyle w:val="Tabletextnospace"/>
              <w:jc w:val="right"/>
              <w:rPr>
                <w:sz w:val="20"/>
                <w:szCs w:val="20"/>
              </w:rPr>
            </w:pPr>
            <w:r w:rsidRPr="0010296A">
              <w:rPr>
                <w:sz w:val="20"/>
                <w:szCs w:val="20"/>
              </w:rPr>
              <w:t>65</w:t>
            </w:r>
          </w:p>
        </w:tc>
        <w:tc>
          <w:tcPr>
            <w:tcW w:w="964" w:type="dxa"/>
          </w:tcPr>
          <w:p w14:paraId="5D37BB7F" w14:textId="77777777" w:rsidR="00255EC0" w:rsidRPr="0010296A" w:rsidRDefault="00255EC0" w:rsidP="0010296A">
            <w:pPr>
              <w:pStyle w:val="Tabletextnospace"/>
              <w:jc w:val="right"/>
              <w:rPr>
                <w:sz w:val="20"/>
                <w:szCs w:val="20"/>
              </w:rPr>
            </w:pPr>
            <w:r w:rsidRPr="0010296A">
              <w:rPr>
                <w:sz w:val="20"/>
                <w:szCs w:val="20"/>
              </w:rPr>
              <w:t>60</w:t>
            </w:r>
          </w:p>
        </w:tc>
        <w:tc>
          <w:tcPr>
            <w:tcW w:w="1386" w:type="dxa"/>
          </w:tcPr>
          <w:p w14:paraId="3E20EE59" w14:textId="77777777" w:rsidR="00255EC0" w:rsidRPr="0010296A" w:rsidRDefault="00255EC0" w:rsidP="0010296A">
            <w:pPr>
              <w:pStyle w:val="Tabletextnospace"/>
              <w:jc w:val="right"/>
              <w:rPr>
                <w:sz w:val="20"/>
                <w:szCs w:val="20"/>
              </w:rPr>
            </w:pPr>
            <w:r w:rsidRPr="0010296A">
              <w:rPr>
                <w:sz w:val="20"/>
                <w:szCs w:val="20"/>
              </w:rPr>
              <w:t>8.3%</w:t>
            </w:r>
          </w:p>
        </w:tc>
        <w:tc>
          <w:tcPr>
            <w:tcW w:w="850" w:type="dxa"/>
          </w:tcPr>
          <w:p w14:paraId="1064A5CD"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ü</w:t>
            </w:r>
          </w:p>
        </w:tc>
      </w:tr>
      <w:tr w:rsidR="00255EC0" w:rsidRPr="0010296A" w14:paraId="3FBD4973" w14:textId="77777777" w:rsidTr="00E8460A">
        <w:trPr>
          <w:trHeight w:val="113"/>
        </w:trPr>
        <w:tc>
          <w:tcPr>
            <w:tcW w:w="9776" w:type="dxa"/>
            <w:gridSpan w:val="6"/>
          </w:tcPr>
          <w:p w14:paraId="32FD6FF8" w14:textId="77777777" w:rsidR="00255EC0" w:rsidRPr="0010296A" w:rsidRDefault="00255EC0" w:rsidP="00044E3D">
            <w:pPr>
              <w:pStyle w:val="Tabletextnospace"/>
              <w:rPr>
                <w:i/>
                <w:iCs/>
                <w:sz w:val="20"/>
                <w:szCs w:val="20"/>
              </w:rPr>
            </w:pPr>
            <w:r w:rsidRPr="0010296A">
              <w:rPr>
                <w:i/>
                <w:iCs/>
                <w:sz w:val="20"/>
                <w:szCs w:val="20"/>
              </w:rPr>
              <w:t>Higher result due to strong industry engagement in the first half of the year.</w:t>
            </w:r>
          </w:p>
        </w:tc>
      </w:tr>
      <w:tr w:rsidR="00255EC0" w:rsidRPr="0010296A" w14:paraId="49569782" w14:textId="77777777" w:rsidTr="00E8460A">
        <w:trPr>
          <w:trHeight w:val="113"/>
        </w:trPr>
        <w:tc>
          <w:tcPr>
            <w:tcW w:w="4649" w:type="dxa"/>
          </w:tcPr>
          <w:p w14:paraId="5BB78629" w14:textId="72D8B040" w:rsidR="00255EC0" w:rsidRPr="0010296A" w:rsidRDefault="00255EC0" w:rsidP="00044E3D">
            <w:pPr>
              <w:pStyle w:val="Tabletextnospace"/>
              <w:rPr>
                <w:sz w:val="20"/>
                <w:szCs w:val="20"/>
              </w:rPr>
            </w:pPr>
            <w:r w:rsidRPr="0010296A">
              <w:rPr>
                <w:sz w:val="20"/>
                <w:szCs w:val="20"/>
              </w:rPr>
              <w:t>Significant interactions with Victorian agri-food companies and exporters, international customers</w:t>
            </w:r>
            <w:r w:rsidR="0010296A">
              <w:rPr>
                <w:sz w:val="20"/>
                <w:szCs w:val="20"/>
              </w:rPr>
              <w:t xml:space="preserve"> </w:t>
            </w:r>
            <w:r w:rsidRPr="0010296A">
              <w:rPr>
                <w:sz w:val="20"/>
                <w:szCs w:val="20"/>
              </w:rPr>
              <w:t>and trading partners that facilitate export</w:t>
            </w:r>
            <w:r w:rsidR="0010296A">
              <w:rPr>
                <w:sz w:val="20"/>
                <w:szCs w:val="20"/>
              </w:rPr>
              <w:t xml:space="preserve"> </w:t>
            </w:r>
            <w:r w:rsidRPr="0010296A">
              <w:rPr>
                <w:sz w:val="20"/>
                <w:szCs w:val="20"/>
              </w:rPr>
              <w:t>and investment outcomes for Victoria</w:t>
            </w:r>
          </w:p>
        </w:tc>
        <w:tc>
          <w:tcPr>
            <w:tcW w:w="964" w:type="dxa"/>
          </w:tcPr>
          <w:p w14:paraId="2AA2B461" w14:textId="77777777" w:rsidR="00255EC0" w:rsidRPr="0010296A" w:rsidRDefault="00255EC0" w:rsidP="0010296A">
            <w:pPr>
              <w:pStyle w:val="Tabletextnospace"/>
              <w:jc w:val="right"/>
              <w:rPr>
                <w:sz w:val="20"/>
                <w:szCs w:val="20"/>
              </w:rPr>
            </w:pPr>
            <w:r w:rsidRPr="0010296A">
              <w:rPr>
                <w:sz w:val="20"/>
                <w:szCs w:val="20"/>
              </w:rPr>
              <w:t>number</w:t>
            </w:r>
          </w:p>
        </w:tc>
        <w:tc>
          <w:tcPr>
            <w:tcW w:w="963" w:type="dxa"/>
          </w:tcPr>
          <w:p w14:paraId="3EEEACC7" w14:textId="77777777" w:rsidR="00255EC0" w:rsidRPr="0010296A" w:rsidRDefault="00255EC0" w:rsidP="0010296A">
            <w:pPr>
              <w:pStyle w:val="Tabletextnospace"/>
              <w:jc w:val="right"/>
              <w:rPr>
                <w:sz w:val="20"/>
                <w:szCs w:val="20"/>
              </w:rPr>
            </w:pPr>
            <w:r w:rsidRPr="0010296A">
              <w:rPr>
                <w:sz w:val="20"/>
                <w:szCs w:val="20"/>
              </w:rPr>
              <w:t>195</w:t>
            </w:r>
          </w:p>
        </w:tc>
        <w:tc>
          <w:tcPr>
            <w:tcW w:w="964" w:type="dxa"/>
          </w:tcPr>
          <w:p w14:paraId="65672954" w14:textId="77777777" w:rsidR="00255EC0" w:rsidRPr="0010296A" w:rsidRDefault="00255EC0" w:rsidP="0010296A">
            <w:pPr>
              <w:pStyle w:val="Tabletextnospace"/>
              <w:jc w:val="right"/>
              <w:rPr>
                <w:sz w:val="20"/>
                <w:szCs w:val="20"/>
              </w:rPr>
            </w:pPr>
            <w:r w:rsidRPr="0010296A">
              <w:rPr>
                <w:sz w:val="20"/>
                <w:szCs w:val="20"/>
              </w:rPr>
              <w:t>250</w:t>
            </w:r>
          </w:p>
        </w:tc>
        <w:tc>
          <w:tcPr>
            <w:tcW w:w="1386" w:type="dxa"/>
          </w:tcPr>
          <w:p w14:paraId="41A96FF4" w14:textId="77777777" w:rsidR="00255EC0" w:rsidRPr="0010296A" w:rsidRDefault="00255EC0" w:rsidP="0010296A">
            <w:pPr>
              <w:pStyle w:val="Tabletextnospace"/>
              <w:jc w:val="right"/>
              <w:rPr>
                <w:sz w:val="20"/>
                <w:szCs w:val="20"/>
              </w:rPr>
            </w:pPr>
            <w:r w:rsidRPr="0010296A">
              <w:rPr>
                <w:sz w:val="20"/>
                <w:szCs w:val="20"/>
              </w:rPr>
              <w:t>-22.0%</w:t>
            </w:r>
          </w:p>
        </w:tc>
        <w:tc>
          <w:tcPr>
            <w:tcW w:w="850" w:type="dxa"/>
          </w:tcPr>
          <w:p w14:paraId="1C38C7D2"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n</w:t>
            </w:r>
          </w:p>
        </w:tc>
      </w:tr>
      <w:tr w:rsidR="00255EC0" w:rsidRPr="0010296A" w14:paraId="6ED542FB" w14:textId="77777777" w:rsidTr="00E8460A">
        <w:trPr>
          <w:trHeight w:val="113"/>
        </w:trPr>
        <w:tc>
          <w:tcPr>
            <w:tcW w:w="9776" w:type="dxa"/>
            <w:gridSpan w:val="6"/>
          </w:tcPr>
          <w:p w14:paraId="19FF365D" w14:textId="7DEE6B80" w:rsidR="00255EC0" w:rsidRPr="0010296A" w:rsidRDefault="00255EC0" w:rsidP="00044E3D">
            <w:pPr>
              <w:pStyle w:val="Tabletextnospace"/>
              <w:rPr>
                <w:i/>
                <w:iCs/>
                <w:sz w:val="20"/>
                <w:szCs w:val="20"/>
              </w:rPr>
            </w:pPr>
            <w:r w:rsidRPr="0010296A">
              <w:rPr>
                <w:i/>
                <w:iCs/>
                <w:sz w:val="20"/>
                <w:szCs w:val="20"/>
              </w:rPr>
              <w:t>Lower result due to the cancellation of major trade shows and exhibitions in key global markets (</w:t>
            </w:r>
            <w:proofErr w:type="gramStart"/>
            <w:r w:rsidRPr="0010296A">
              <w:rPr>
                <w:i/>
                <w:iCs/>
                <w:sz w:val="20"/>
                <w:szCs w:val="20"/>
              </w:rPr>
              <w:t>as a result of</w:t>
            </w:r>
            <w:proofErr w:type="gramEnd"/>
            <w:r w:rsidRPr="0010296A">
              <w:rPr>
                <w:i/>
                <w:iCs/>
                <w:sz w:val="20"/>
                <w:szCs w:val="20"/>
              </w:rPr>
              <w:t xml:space="preserve"> coronavirus (COVID-19)) in the second half of the year. </w:t>
            </w:r>
          </w:p>
        </w:tc>
      </w:tr>
      <w:tr w:rsidR="00255EC0" w:rsidRPr="0010296A" w14:paraId="23E1180B" w14:textId="77777777" w:rsidTr="00E8460A">
        <w:trPr>
          <w:trHeight w:val="113"/>
        </w:trPr>
        <w:tc>
          <w:tcPr>
            <w:tcW w:w="4649" w:type="dxa"/>
          </w:tcPr>
          <w:p w14:paraId="0677960B" w14:textId="77777777" w:rsidR="00255EC0" w:rsidRPr="0010296A" w:rsidRDefault="00255EC0" w:rsidP="00044E3D">
            <w:pPr>
              <w:pStyle w:val="Tabletextnospace"/>
              <w:rPr>
                <w:sz w:val="20"/>
                <w:szCs w:val="20"/>
              </w:rPr>
            </w:pPr>
            <w:r w:rsidRPr="0010296A">
              <w:rPr>
                <w:sz w:val="20"/>
                <w:szCs w:val="20"/>
              </w:rPr>
              <w:t>Victoria’s proportion of all international student enrolments in Australia</w:t>
            </w:r>
          </w:p>
        </w:tc>
        <w:tc>
          <w:tcPr>
            <w:tcW w:w="964" w:type="dxa"/>
          </w:tcPr>
          <w:p w14:paraId="34C3C50A" w14:textId="77777777" w:rsidR="00255EC0" w:rsidRPr="0010296A" w:rsidRDefault="00255EC0" w:rsidP="0010296A">
            <w:pPr>
              <w:pStyle w:val="Tabletextnospace"/>
              <w:jc w:val="right"/>
              <w:rPr>
                <w:sz w:val="20"/>
                <w:szCs w:val="20"/>
              </w:rPr>
            </w:pPr>
            <w:r w:rsidRPr="0010296A">
              <w:rPr>
                <w:sz w:val="20"/>
                <w:szCs w:val="20"/>
              </w:rPr>
              <w:t>per cent</w:t>
            </w:r>
          </w:p>
        </w:tc>
        <w:tc>
          <w:tcPr>
            <w:tcW w:w="963" w:type="dxa"/>
          </w:tcPr>
          <w:p w14:paraId="556AEE71" w14:textId="77777777" w:rsidR="00255EC0" w:rsidRPr="0010296A" w:rsidRDefault="00255EC0" w:rsidP="0010296A">
            <w:pPr>
              <w:pStyle w:val="Tabletextnospace"/>
              <w:jc w:val="right"/>
              <w:rPr>
                <w:sz w:val="20"/>
                <w:szCs w:val="20"/>
              </w:rPr>
            </w:pPr>
            <w:r w:rsidRPr="0010296A">
              <w:rPr>
                <w:sz w:val="20"/>
                <w:szCs w:val="20"/>
              </w:rPr>
              <w:t>32.2</w:t>
            </w:r>
          </w:p>
        </w:tc>
        <w:tc>
          <w:tcPr>
            <w:tcW w:w="964" w:type="dxa"/>
          </w:tcPr>
          <w:p w14:paraId="024A4EC7" w14:textId="77777777" w:rsidR="00255EC0" w:rsidRPr="0010296A" w:rsidRDefault="00255EC0" w:rsidP="0010296A">
            <w:pPr>
              <w:pStyle w:val="Tabletextnospace"/>
              <w:jc w:val="right"/>
              <w:rPr>
                <w:sz w:val="20"/>
                <w:szCs w:val="20"/>
              </w:rPr>
            </w:pPr>
            <w:r w:rsidRPr="0010296A">
              <w:rPr>
                <w:sz w:val="20"/>
                <w:szCs w:val="20"/>
              </w:rPr>
              <w:t>30</w:t>
            </w:r>
          </w:p>
        </w:tc>
        <w:tc>
          <w:tcPr>
            <w:tcW w:w="1386" w:type="dxa"/>
          </w:tcPr>
          <w:p w14:paraId="77BCE714" w14:textId="77777777" w:rsidR="00255EC0" w:rsidRPr="0010296A" w:rsidRDefault="00255EC0" w:rsidP="0010296A">
            <w:pPr>
              <w:pStyle w:val="Tabletextnospace"/>
              <w:jc w:val="right"/>
              <w:rPr>
                <w:sz w:val="20"/>
                <w:szCs w:val="20"/>
              </w:rPr>
            </w:pPr>
            <w:r w:rsidRPr="0010296A">
              <w:rPr>
                <w:sz w:val="20"/>
                <w:szCs w:val="20"/>
              </w:rPr>
              <w:t>7.3%</w:t>
            </w:r>
          </w:p>
        </w:tc>
        <w:tc>
          <w:tcPr>
            <w:tcW w:w="850" w:type="dxa"/>
          </w:tcPr>
          <w:p w14:paraId="24F9F2B7"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ü</w:t>
            </w:r>
          </w:p>
        </w:tc>
      </w:tr>
      <w:tr w:rsidR="00255EC0" w:rsidRPr="0010296A" w14:paraId="586002AE" w14:textId="77777777" w:rsidTr="00E8460A">
        <w:trPr>
          <w:trHeight w:val="113"/>
        </w:trPr>
        <w:tc>
          <w:tcPr>
            <w:tcW w:w="9776" w:type="dxa"/>
            <w:gridSpan w:val="6"/>
          </w:tcPr>
          <w:p w14:paraId="0D64355E" w14:textId="77777777" w:rsidR="00255EC0" w:rsidRPr="0010296A" w:rsidRDefault="00255EC0" w:rsidP="00044E3D">
            <w:pPr>
              <w:pStyle w:val="Tabletextnospace"/>
              <w:rPr>
                <w:i/>
                <w:iCs/>
                <w:sz w:val="20"/>
                <w:szCs w:val="20"/>
              </w:rPr>
            </w:pPr>
            <w:r w:rsidRPr="0010296A">
              <w:rPr>
                <w:i/>
                <w:iCs/>
                <w:sz w:val="20"/>
                <w:szCs w:val="20"/>
              </w:rPr>
              <w:t xml:space="preserve">Higher result due to continued growth in student enrolments in high performing Asian markets such as India. This is the latest available nationwide full year data (calendar year 2019). </w:t>
            </w:r>
          </w:p>
        </w:tc>
      </w:tr>
      <w:tr w:rsidR="00255EC0" w:rsidRPr="0010296A" w14:paraId="7BC87DD5" w14:textId="77777777" w:rsidTr="00E8460A">
        <w:trPr>
          <w:trHeight w:val="113"/>
        </w:trPr>
        <w:tc>
          <w:tcPr>
            <w:tcW w:w="4649" w:type="dxa"/>
          </w:tcPr>
          <w:p w14:paraId="7653BB81" w14:textId="77777777" w:rsidR="00255EC0" w:rsidRPr="0010296A" w:rsidRDefault="00255EC0" w:rsidP="00044E3D">
            <w:pPr>
              <w:pStyle w:val="Tabletextnospace"/>
              <w:rPr>
                <w:sz w:val="20"/>
                <w:szCs w:val="20"/>
              </w:rPr>
            </w:pPr>
            <w:r w:rsidRPr="0010296A">
              <w:rPr>
                <w:sz w:val="20"/>
                <w:szCs w:val="20"/>
              </w:rPr>
              <w:t xml:space="preserve">Visits to the Global Victoria website </w:t>
            </w:r>
          </w:p>
        </w:tc>
        <w:tc>
          <w:tcPr>
            <w:tcW w:w="964" w:type="dxa"/>
          </w:tcPr>
          <w:p w14:paraId="054D2C18" w14:textId="77777777" w:rsidR="00255EC0" w:rsidRPr="0010296A" w:rsidRDefault="00255EC0" w:rsidP="0010296A">
            <w:pPr>
              <w:pStyle w:val="Tabletextnospace"/>
              <w:jc w:val="right"/>
              <w:rPr>
                <w:sz w:val="20"/>
                <w:szCs w:val="20"/>
              </w:rPr>
            </w:pPr>
            <w:r w:rsidRPr="0010296A">
              <w:rPr>
                <w:sz w:val="20"/>
                <w:szCs w:val="20"/>
              </w:rPr>
              <w:t>number</w:t>
            </w:r>
          </w:p>
        </w:tc>
        <w:tc>
          <w:tcPr>
            <w:tcW w:w="963" w:type="dxa"/>
          </w:tcPr>
          <w:p w14:paraId="7CA13B4E" w14:textId="77777777" w:rsidR="00255EC0" w:rsidRPr="0010296A" w:rsidRDefault="00255EC0" w:rsidP="0010296A">
            <w:pPr>
              <w:pStyle w:val="Tabletextnospace"/>
              <w:jc w:val="right"/>
              <w:rPr>
                <w:sz w:val="20"/>
                <w:szCs w:val="20"/>
              </w:rPr>
            </w:pPr>
            <w:r w:rsidRPr="0010296A">
              <w:rPr>
                <w:sz w:val="20"/>
                <w:szCs w:val="20"/>
              </w:rPr>
              <w:t>130,000</w:t>
            </w:r>
          </w:p>
        </w:tc>
        <w:tc>
          <w:tcPr>
            <w:tcW w:w="964" w:type="dxa"/>
          </w:tcPr>
          <w:p w14:paraId="506D0E14" w14:textId="77777777" w:rsidR="00255EC0" w:rsidRPr="0010296A" w:rsidRDefault="00255EC0" w:rsidP="0010296A">
            <w:pPr>
              <w:pStyle w:val="Tabletextnospace"/>
              <w:jc w:val="right"/>
              <w:rPr>
                <w:sz w:val="20"/>
                <w:szCs w:val="20"/>
              </w:rPr>
            </w:pPr>
            <w:r w:rsidRPr="0010296A">
              <w:rPr>
                <w:sz w:val="20"/>
                <w:szCs w:val="20"/>
              </w:rPr>
              <w:t>100,000</w:t>
            </w:r>
          </w:p>
        </w:tc>
        <w:tc>
          <w:tcPr>
            <w:tcW w:w="1386" w:type="dxa"/>
          </w:tcPr>
          <w:p w14:paraId="02C20117" w14:textId="77777777" w:rsidR="00255EC0" w:rsidRPr="0010296A" w:rsidRDefault="00255EC0" w:rsidP="0010296A">
            <w:pPr>
              <w:pStyle w:val="Tabletextnospace"/>
              <w:jc w:val="right"/>
              <w:rPr>
                <w:sz w:val="20"/>
                <w:szCs w:val="20"/>
              </w:rPr>
            </w:pPr>
            <w:r w:rsidRPr="0010296A">
              <w:rPr>
                <w:sz w:val="20"/>
                <w:szCs w:val="20"/>
              </w:rPr>
              <w:t>30.0%</w:t>
            </w:r>
          </w:p>
        </w:tc>
        <w:tc>
          <w:tcPr>
            <w:tcW w:w="850" w:type="dxa"/>
          </w:tcPr>
          <w:p w14:paraId="67B09171"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ü</w:t>
            </w:r>
          </w:p>
        </w:tc>
      </w:tr>
      <w:tr w:rsidR="00255EC0" w:rsidRPr="0010296A" w14:paraId="1AF8C1AD" w14:textId="77777777" w:rsidTr="00E8460A">
        <w:trPr>
          <w:trHeight w:val="113"/>
        </w:trPr>
        <w:tc>
          <w:tcPr>
            <w:tcW w:w="9776" w:type="dxa"/>
            <w:gridSpan w:val="6"/>
          </w:tcPr>
          <w:p w14:paraId="559046CB" w14:textId="7717018C" w:rsidR="00255EC0" w:rsidRPr="0010296A" w:rsidRDefault="00255EC0" w:rsidP="00044E3D">
            <w:pPr>
              <w:pStyle w:val="Tabletextnospace"/>
              <w:rPr>
                <w:i/>
                <w:iCs/>
                <w:sz w:val="20"/>
                <w:szCs w:val="20"/>
              </w:rPr>
            </w:pPr>
            <w:r w:rsidRPr="0010296A">
              <w:rPr>
                <w:i/>
                <w:iCs/>
                <w:sz w:val="20"/>
                <w:szCs w:val="20"/>
              </w:rPr>
              <w:t>Higher result due to boosting of engagement with stakeholders through the website and other online activities, particularly during</w:t>
            </w:r>
            <w:r w:rsidR="0010296A">
              <w:rPr>
                <w:i/>
                <w:iCs/>
                <w:sz w:val="20"/>
                <w:szCs w:val="20"/>
              </w:rPr>
              <w:t xml:space="preserve"> </w:t>
            </w:r>
            <w:r w:rsidRPr="0010296A">
              <w:rPr>
                <w:i/>
                <w:iCs/>
                <w:sz w:val="20"/>
                <w:szCs w:val="20"/>
              </w:rPr>
              <w:t xml:space="preserve">the final months of the year. </w:t>
            </w:r>
          </w:p>
        </w:tc>
      </w:tr>
      <w:tr w:rsidR="00255EC0" w:rsidRPr="0010296A" w14:paraId="064F0F19" w14:textId="77777777" w:rsidTr="00E8460A">
        <w:trPr>
          <w:trHeight w:val="113"/>
        </w:trPr>
        <w:tc>
          <w:tcPr>
            <w:tcW w:w="9776" w:type="dxa"/>
            <w:gridSpan w:val="6"/>
          </w:tcPr>
          <w:p w14:paraId="542ABADA" w14:textId="77777777" w:rsidR="00255EC0" w:rsidRPr="0010296A" w:rsidRDefault="00255EC0" w:rsidP="0010296A">
            <w:pPr>
              <w:pStyle w:val="Tabletextnospace"/>
              <w:keepNext/>
              <w:rPr>
                <w:b/>
                <w:bCs/>
                <w:sz w:val="20"/>
                <w:szCs w:val="20"/>
              </w:rPr>
            </w:pPr>
            <w:r w:rsidRPr="0010296A">
              <w:rPr>
                <w:b/>
                <w:bCs/>
                <w:sz w:val="20"/>
                <w:szCs w:val="20"/>
              </w:rPr>
              <w:lastRenderedPageBreak/>
              <w:t>Quality</w:t>
            </w:r>
          </w:p>
        </w:tc>
      </w:tr>
      <w:tr w:rsidR="00255EC0" w:rsidRPr="0010296A" w14:paraId="278B3E4C" w14:textId="77777777" w:rsidTr="00E8460A">
        <w:trPr>
          <w:trHeight w:val="113"/>
        </w:trPr>
        <w:tc>
          <w:tcPr>
            <w:tcW w:w="4649" w:type="dxa"/>
          </w:tcPr>
          <w:p w14:paraId="2202D3A7" w14:textId="77777777" w:rsidR="00255EC0" w:rsidRPr="0010296A" w:rsidRDefault="00255EC0" w:rsidP="00044E3D">
            <w:pPr>
              <w:pStyle w:val="Tabletextnospace"/>
              <w:rPr>
                <w:sz w:val="20"/>
                <w:szCs w:val="20"/>
              </w:rPr>
            </w:pPr>
            <w:r w:rsidRPr="0010296A">
              <w:rPr>
                <w:sz w:val="20"/>
                <w:szCs w:val="20"/>
              </w:rPr>
              <w:t>Client satisfaction with export assistance offered</w:t>
            </w:r>
          </w:p>
        </w:tc>
        <w:tc>
          <w:tcPr>
            <w:tcW w:w="964" w:type="dxa"/>
          </w:tcPr>
          <w:p w14:paraId="617E6F87" w14:textId="77777777" w:rsidR="00255EC0" w:rsidRPr="0010296A" w:rsidRDefault="00255EC0" w:rsidP="0010296A">
            <w:pPr>
              <w:pStyle w:val="Tabletextnospace"/>
              <w:jc w:val="right"/>
              <w:rPr>
                <w:sz w:val="20"/>
                <w:szCs w:val="20"/>
              </w:rPr>
            </w:pPr>
            <w:r w:rsidRPr="0010296A">
              <w:rPr>
                <w:sz w:val="20"/>
                <w:szCs w:val="20"/>
              </w:rPr>
              <w:t>per cent</w:t>
            </w:r>
          </w:p>
        </w:tc>
        <w:tc>
          <w:tcPr>
            <w:tcW w:w="963" w:type="dxa"/>
          </w:tcPr>
          <w:p w14:paraId="4A898148" w14:textId="77777777" w:rsidR="00255EC0" w:rsidRPr="0010296A" w:rsidRDefault="00255EC0" w:rsidP="0010296A">
            <w:pPr>
              <w:pStyle w:val="Tabletextnospace"/>
              <w:jc w:val="right"/>
              <w:rPr>
                <w:sz w:val="20"/>
                <w:szCs w:val="20"/>
              </w:rPr>
            </w:pPr>
            <w:r w:rsidRPr="0010296A">
              <w:rPr>
                <w:sz w:val="20"/>
                <w:szCs w:val="20"/>
              </w:rPr>
              <w:t>92</w:t>
            </w:r>
          </w:p>
        </w:tc>
        <w:tc>
          <w:tcPr>
            <w:tcW w:w="964" w:type="dxa"/>
          </w:tcPr>
          <w:p w14:paraId="18318EEF" w14:textId="77777777" w:rsidR="00255EC0" w:rsidRPr="0010296A" w:rsidRDefault="00255EC0" w:rsidP="0010296A">
            <w:pPr>
              <w:pStyle w:val="Tabletextnospace"/>
              <w:jc w:val="right"/>
              <w:rPr>
                <w:sz w:val="20"/>
                <w:szCs w:val="20"/>
              </w:rPr>
            </w:pPr>
            <w:r w:rsidRPr="0010296A">
              <w:rPr>
                <w:sz w:val="20"/>
                <w:szCs w:val="20"/>
              </w:rPr>
              <w:t>90</w:t>
            </w:r>
          </w:p>
        </w:tc>
        <w:tc>
          <w:tcPr>
            <w:tcW w:w="1386" w:type="dxa"/>
          </w:tcPr>
          <w:p w14:paraId="40453041" w14:textId="77777777" w:rsidR="00255EC0" w:rsidRPr="0010296A" w:rsidRDefault="00255EC0" w:rsidP="0010296A">
            <w:pPr>
              <w:pStyle w:val="Tabletextnospace"/>
              <w:jc w:val="right"/>
              <w:rPr>
                <w:sz w:val="20"/>
                <w:szCs w:val="20"/>
              </w:rPr>
            </w:pPr>
            <w:r w:rsidRPr="0010296A">
              <w:rPr>
                <w:sz w:val="20"/>
                <w:szCs w:val="20"/>
              </w:rPr>
              <w:t>2.2%</w:t>
            </w:r>
          </w:p>
        </w:tc>
        <w:tc>
          <w:tcPr>
            <w:tcW w:w="850" w:type="dxa"/>
          </w:tcPr>
          <w:p w14:paraId="395907C1"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ü</w:t>
            </w:r>
          </w:p>
        </w:tc>
      </w:tr>
      <w:tr w:rsidR="00255EC0" w:rsidRPr="0010296A" w14:paraId="248A41AE" w14:textId="77777777" w:rsidTr="00E8460A">
        <w:trPr>
          <w:trHeight w:val="113"/>
        </w:trPr>
        <w:tc>
          <w:tcPr>
            <w:tcW w:w="9776" w:type="dxa"/>
            <w:gridSpan w:val="6"/>
          </w:tcPr>
          <w:p w14:paraId="23E1B284" w14:textId="77777777" w:rsidR="00255EC0" w:rsidRPr="0010296A" w:rsidRDefault="00255EC0" w:rsidP="00044E3D">
            <w:pPr>
              <w:pStyle w:val="Tabletextnospace"/>
              <w:rPr>
                <w:b/>
                <w:bCs/>
                <w:sz w:val="20"/>
                <w:szCs w:val="20"/>
              </w:rPr>
            </w:pPr>
            <w:r w:rsidRPr="0010296A">
              <w:rPr>
                <w:b/>
                <w:bCs/>
                <w:sz w:val="20"/>
                <w:szCs w:val="20"/>
              </w:rPr>
              <w:t>Cost</w:t>
            </w:r>
          </w:p>
        </w:tc>
      </w:tr>
      <w:tr w:rsidR="00255EC0" w:rsidRPr="0010296A" w14:paraId="5D3440A5" w14:textId="77777777" w:rsidTr="00E8460A">
        <w:trPr>
          <w:trHeight w:val="113"/>
        </w:trPr>
        <w:tc>
          <w:tcPr>
            <w:tcW w:w="4649" w:type="dxa"/>
          </w:tcPr>
          <w:p w14:paraId="67066DE0" w14:textId="77777777" w:rsidR="00255EC0" w:rsidRPr="0010296A" w:rsidRDefault="00255EC0" w:rsidP="00044E3D">
            <w:pPr>
              <w:pStyle w:val="Tabletextnospace"/>
              <w:rPr>
                <w:sz w:val="20"/>
                <w:szCs w:val="20"/>
              </w:rPr>
            </w:pPr>
            <w:r w:rsidRPr="0010296A">
              <w:rPr>
                <w:sz w:val="20"/>
                <w:szCs w:val="20"/>
              </w:rPr>
              <w:t>Total output cost</w:t>
            </w:r>
          </w:p>
        </w:tc>
        <w:tc>
          <w:tcPr>
            <w:tcW w:w="964" w:type="dxa"/>
          </w:tcPr>
          <w:p w14:paraId="7CB21705" w14:textId="77777777" w:rsidR="00255EC0" w:rsidRPr="0010296A" w:rsidRDefault="00255EC0" w:rsidP="0010296A">
            <w:pPr>
              <w:pStyle w:val="Tabletextnospace"/>
              <w:jc w:val="right"/>
              <w:rPr>
                <w:sz w:val="20"/>
                <w:szCs w:val="20"/>
              </w:rPr>
            </w:pPr>
            <w:r w:rsidRPr="0010296A">
              <w:rPr>
                <w:sz w:val="20"/>
                <w:szCs w:val="20"/>
              </w:rPr>
              <w:t>$ million</w:t>
            </w:r>
          </w:p>
        </w:tc>
        <w:tc>
          <w:tcPr>
            <w:tcW w:w="963" w:type="dxa"/>
          </w:tcPr>
          <w:p w14:paraId="572A0331" w14:textId="77777777" w:rsidR="00255EC0" w:rsidRPr="0010296A" w:rsidRDefault="00255EC0" w:rsidP="0010296A">
            <w:pPr>
              <w:pStyle w:val="Tabletextnospace"/>
              <w:jc w:val="right"/>
              <w:rPr>
                <w:sz w:val="20"/>
                <w:szCs w:val="20"/>
              </w:rPr>
            </w:pPr>
            <w:r w:rsidRPr="0010296A">
              <w:rPr>
                <w:sz w:val="20"/>
                <w:szCs w:val="20"/>
              </w:rPr>
              <w:t>61.0</w:t>
            </w:r>
          </w:p>
        </w:tc>
        <w:tc>
          <w:tcPr>
            <w:tcW w:w="964" w:type="dxa"/>
          </w:tcPr>
          <w:p w14:paraId="01C949B1" w14:textId="77777777" w:rsidR="00255EC0" w:rsidRPr="0010296A" w:rsidRDefault="00255EC0" w:rsidP="0010296A">
            <w:pPr>
              <w:pStyle w:val="Tabletextnospace"/>
              <w:jc w:val="right"/>
              <w:rPr>
                <w:sz w:val="20"/>
                <w:szCs w:val="20"/>
              </w:rPr>
            </w:pPr>
            <w:r w:rsidRPr="0010296A">
              <w:rPr>
                <w:sz w:val="20"/>
                <w:szCs w:val="20"/>
              </w:rPr>
              <w:t>42.2</w:t>
            </w:r>
          </w:p>
        </w:tc>
        <w:tc>
          <w:tcPr>
            <w:tcW w:w="1386" w:type="dxa"/>
          </w:tcPr>
          <w:p w14:paraId="221CCB71" w14:textId="77777777" w:rsidR="00255EC0" w:rsidRPr="0010296A" w:rsidRDefault="00255EC0" w:rsidP="0010296A">
            <w:pPr>
              <w:pStyle w:val="Tabletextnospace"/>
              <w:jc w:val="right"/>
              <w:rPr>
                <w:sz w:val="20"/>
                <w:szCs w:val="20"/>
              </w:rPr>
            </w:pPr>
            <w:r w:rsidRPr="0010296A">
              <w:rPr>
                <w:sz w:val="20"/>
                <w:szCs w:val="20"/>
              </w:rPr>
              <w:t>45.0%</w:t>
            </w:r>
          </w:p>
        </w:tc>
        <w:tc>
          <w:tcPr>
            <w:tcW w:w="850" w:type="dxa"/>
          </w:tcPr>
          <w:p w14:paraId="45B5741C" w14:textId="77777777" w:rsidR="00255EC0" w:rsidRPr="0010296A"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10296A">
              <w:rPr>
                <w:rFonts w:ascii="Wingdings" w:hAnsi="Wingdings" w:cs="Wingdings"/>
                <w:position w:val="-2"/>
                <w:sz w:val="20"/>
                <w:lang w:val="en-GB"/>
              </w:rPr>
              <w:t>n</w:t>
            </w:r>
          </w:p>
        </w:tc>
      </w:tr>
      <w:tr w:rsidR="00255EC0" w:rsidRPr="0010296A" w14:paraId="0D8D49F6" w14:textId="77777777" w:rsidTr="00E8460A">
        <w:trPr>
          <w:trHeight w:val="113"/>
        </w:trPr>
        <w:tc>
          <w:tcPr>
            <w:tcW w:w="9776" w:type="dxa"/>
            <w:gridSpan w:val="6"/>
          </w:tcPr>
          <w:p w14:paraId="38A0D80D" w14:textId="77777777" w:rsidR="00255EC0" w:rsidRPr="0010296A" w:rsidRDefault="00255EC0" w:rsidP="00044E3D">
            <w:pPr>
              <w:pStyle w:val="Tabletextnospace"/>
              <w:rPr>
                <w:i/>
                <w:iCs/>
                <w:sz w:val="20"/>
                <w:szCs w:val="20"/>
              </w:rPr>
            </w:pPr>
            <w:r w:rsidRPr="0010296A">
              <w:rPr>
                <w:i/>
                <w:iCs/>
                <w:sz w:val="20"/>
                <w:szCs w:val="20"/>
              </w:rPr>
              <w:t>The 2019–20 result was higher than budget primarily due to additional funding for the International Student Emergency Relief Fund.</w:t>
            </w:r>
          </w:p>
        </w:tc>
      </w:tr>
      <w:tr w:rsidR="00255EC0" w:rsidRPr="00255EC0" w14:paraId="409B7A10" w14:textId="77777777" w:rsidTr="00E8460A">
        <w:trPr>
          <w:trHeight w:val="113"/>
        </w:trPr>
        <w:tc>
          <w:tcPr>
            <w:tcW w:w="9776" w:type="dxa"/>
            <w:gridSpan w:val="6"/>
          </w:tcPr>
          <w:p w14:paraId="005B10AD" w14:textId="77777777" w:rsidR="00255EC0" w:rsidRPr="00255EC0" w:rsidRDefault="00255EC0" w:rsidP="00044E3D">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27A6A104" w14:textId="77777777" w:rsidR="00255EC0" w:rsidRPr="00255EC0" w:rsidRDefault="00255EC0" w:rsidP="0010296A">
      <w:pPr>
        <w:pStyle w:val="Body"/>
      </w:pPr>
    </w:p>
    <w:p w14:paraId="3E7BD937" w14:textId="25C6CA87" w:rsidR="00255EC0" w:rsidRPr="00255EC0" w:rsidRDefault="00255EC0" w:rsidP="0010296A">
      <w:pPr>
        <w:pStyle w:val="Heading3"/>
      </w:pPr>
      <w:r w:rsidRPr="00255EC0">
        <w:t>Objective 4: Build prosperous</w:t>
      </w:r>
      <w:r w:rsidR="0010296A">
        <w:t xml:space="preserve"> </w:t>
      </w:r>
      <w:r w:rsidRPr="00255EC0">
        <w:t>and liveable regions and precincts</w:t>
      </w:r>
    </w:p>
    <w:p w14:paraId="3048E6C0" w14:textId="5AFDDBCF" w:rsidR="00255EC0" w:rsidRPr="00255EC0" w:rsidRDefault="00255EC0" w:rsidP="0010296A">
      <w:pPr>
        <w:pStyle w:val="Body"/>
      </w:pPr>
      <w:r w:rsidRPr="00255EC0">
        <w:t>This objective seeks to ensure that Victoria’s</w:t>
      </w:r>
      <w:r w:rsidR="0010296A">
        <w:t xml:space="preserve"> </w:t>
      </w:r>
      <w:r w:rsidRPr="00255EC0">
        <w:t xml:space="preserve">precincts, </w:t>
      </w:r>
      <w:proofErr w:type="gramStart"/>
      <w:r w:rsidRPr="00255EC0">
        <w:t>suburbs</w:t>
      </w:r>
      <w:proofErr w:type="gramEnd"/>
      <w:r w:rsidRPr="00255EC0">
        <w:t xml:space="preserve"> and regions are developed</w:t>
      </w:r>
      <w:r w:rsidR="0010296A">
        <w:t xml:space="preserve"> </w:t>
      </w:r>
      <w:r w:rsidRPr="00255EC0">
        <w:t>to create places where all Victorians have</w:t>
      </w:r>
      <w:r w:rsidR="0010296A">
        <w:t xml:space="preserve"> </w:t>
      </w:r>
      <w:r w:rsidRPr="00255EC0">
        <w:t>an opportunity to participate in communities</w:t>
      </w:r>
      <w:r w:rsidR="0010296A">
        <w:t xml:space="preserve"> </w:t>
      </w:r>
      <w:r w:rsidRPr="00255EC0">
        <w:t>that are well-connected, prosperous,</w:t>
      </w:r>
      <w:r w:rsidR="0010296A">
        <w:t xml:space="preserve"> </w:t>
      </w:r>
      <w:r w:rsidRPr="00255EC0">
        <w:t>vibrant and diverse.</w:t>
      </w:r>
    </w:p>
    <w:p w14:paraId="77C9306F" w14:textId="598B4E70" w:rsidR="00255EC0" w:rsidRPr="00255EC0" w:rsidRDefault="00255EC0" w:rsidP="0010296A">
      <w:pPr>
        <w:pStyle w:val="Body"/>
      </w:pPr>
      <w:r w:rsidRPr="00255EC0">
        <w:t>Suburban Development makes a unique contribution to this goal through</w:t>
      </w:r>
      <w:r w:rsidR="0010296A">
        <w:t xml:space="preserve"> </w:t>
      </w:r>
      <w:r w:rsidRPr="00255EC0">
        <w:t>its six Metropolitan Partnerships that</w:t>
      </w:r>
      <w:r w:rsidR="0010296A">
        <w:t xml:space="preserve"> </w:t>
      </w:r>
      <w:r w:rsidRPr="00255EC0">
        <w:t>are changing the way government works</w:t>
      </w:r>
      <w:r w:rsidR="0010296A">
        <w:t xml:space="preserve"> </w:t>
      </w:r>
      <w:r w:rsidRPr="00255EC0">
        <w:t>by placing a stronger focus on community engagement and co-design</w:t>
      </w:r>
      <w:r w:rsidRPr="00255EC0">
        <w:rPr>
          <w:spacing w:val="2"/>
        </w:rPr>
        <w:t>.</w:t>
      </w:r>
    </w:p>
    <w:p w14:paraId="7C54069C" w14:textId="37B878BF" w:rsidR="00255EC0" w:rsidRPr="00255EC0" w:rsidRDefault="00255EC0" w:rsidP="0010296A">
      <w:pPr>
        <w:pStyle w:val="Heading3"/>
      </w:pPr>
      <w:r w:rsidRPr="00255EC0">
        <w:t>Progress towards achieving</w:t>
      </w:r>
      <w:r w:rsidR="0010296A">
        <w:t xml:space="preserve"> </w:t>
      </w:r>
      <w:r w:rsidRPr="00255EC0">
        <w:t>this objective</w:t>
      </w:r>
    </w:p>
    <w:p w14:paraId="3E8E8B47" w14:textId="1677132E" w:rsidR="00255EC0" w:rsidRPr="00255EC0" w:rsidRDefault="00255EC0" w:rsidP="0010296A">
      <w:pPr>
        <w:pStyle w:val="Body"/>
      </w:pPr>
      <w:r w:rsidRPr="00255EC0">
        <w:t>In 2019–20, the department reported progress against this objective using the following</w:t>
      </w:r>
      <w:r w:rsidR="0010296A">
        <w:t xml:space="preserve"> </w:t>
      </w:r>
      <w:r w:rsidRPr="00255EC0">
        <w:t>objective indicators and outputs:</w:t>
      </w:r>
    </w:p>
    <w:p w14:paraId="7D81FF53" w14:textId="77777777" w:rsidR="00255EC0" w:rsidRPr="00255EC0" w:rsidRDefault="00255EC0" w:rsidP="0010296A">
      <w:pPr>
        <w:pStyle w:val="Heading4"/>
      </w:pPr>
      <w:r w:rsidRPr="00255EC0">
        <w:t>Objective Indicators</w:t>
      </w:r>
    </w:p>
    <w:p w14:paraId="7F2D1FDD" w14:textId="77777777" w:rsidR="00255EC0" w:rsidRPr="00255EC0" w:rsidRDefault="00255EC0" w:rsidP="0010296A">
      <w:pPr>
        <w:pStyle w:val="L1Bullets"/>
      </w:pPr>
      <w:r w:rsidRPr="00255EC0">
        <w:t>Priority precincts developed and delivered</w:t>
      </w:r>
    </w:p>
    <w:p w14:paraId="012C6649" w14:textId="77777777" w:rsidR="00255EC0" w:rsidRPr="00255EC0" w:rsidRDefault="00255EC0" w:rsidP="0010296A">
      <w:pPr>
        <w:pStyle w:val="L1Bulletslast"/>
      </w:pPr>
      <w:r w:rsidRPr="00255EC0">
        <w:t>Community satisfaction in public places</w:t>
      </w:r>
    </w:p>
    <w:p w14:paraId="1F5CC1E2" w14:textId="77777777" w:rsidR="00255EC0" w:rsidRPr="00255EC0" w:rsidRDefault="00255EC0" w:rsidP="0010296A">
      <w:pPr>
        <w:pStyle w:val="Heading4"/>
      </w:pPr>
      <w:r w:rsidRPr="00255EC0">
        <w:t>Outputs</w:t>
      </w:r>
    </w:p>
    <w:p w14:paraId="4486B9E5" w14:textId="77777777" w:rsidR="00255EC0" w:rsidRPr="00255EC0" w:rsidRDefault="00255EC0" w:rsidP="0010296A">
      <w:pPr>
        <w:pStyle w:val="L1Bullets"/>
      </w:pPr>
      <w:r w:rsidRPr="00255EC0">
        <w:t>Priority Precincts and Suburban Development</w:t>
      </w:r>
    </w:p>
    <w:p w14:paraId="7F964D68" w14:textId="77777777" w:rsidR="00255EC0" w:rsidRPr="0010296A" w:rsidRDefault="00255EC0" w:rsidP="0010296A">
      <w:pPr>
        <w:pStyle w:val="L1Bulletslast"/>
      </w:pPr>
      <w:r w:rsidRPr="0010296A">
        <w:t>Regional Development</w:t>
      </w:r>
    </w:p>
    <w:p w14:paraId="4A6B8143" w14:textId="77777777" w:rsidR="00255EC0" w:rsidRPr="00255EC0" w:rsidRDefault="00255EC0" w:rsidP="00AB6E39">
      <w:pPr>
        <w:pStyle w:val="Heading4"/>
      </w:pPr>
      <w:r w:rsidRPr="00255EC0">
        <w:t>Indicator: Priority precincts developed and delivered</w:t>
      </w:r>
    </w:p>
    <w:p w14:paraId="194AB651" w14:textId="77777777" w:rsidR="00255EC0" w:rsidRPr="00255EC0" w:rsidRDefault="00255EC0" w:rsidP="00AB6E39">
      <w:pPr>
        <w:pStyle w:val="Body"/>
      </w:pPr>
      <w:r w:rsidRPr="00255EC0">
        <w:t>Through its whole of government oversight in Priority Precincts, the portfolio has delivered on the identification of, planning for and development in key areas of opportunity. This has established a long-term focus on precincts and their importance to Victoria’s economic performance as well as the future liveability of Victoria’s urban centres.</w:t>
      </w:r>
    </w:p>
    <w:p w14:paraId="62410622" w14:textId="07814D78" w:rsidR="00255EC0" w:rsidRPr="00255EC0" w:rsidRDefault="00255EC0" w:rsidP="00AB6E39">
      <w:pPr>
        <w:pStyle w:val="Body"/>
      </w:pPr>
      <w:r w:rsidRPr="00255EC0">
        <w:t>Delivery of two large-scale urban renewal projects has been much progressed. An agreed approach</w:t>
      </w:r>
      <w:r w:rsidR="00AB6E39">
        <w:t xml:space="preserve"> </w:t>
      </w:r>
      <w:r w:rsidRPr="00255EC0">
        <w:t>for the former General Motors Holden (</w:t>
      </w:r>
      <w:proofErr w:type="spellStart"/>
      <w:r w:rsidRPr="00255EC0">
        <w:t>GMH</w:t>
      </w:r>
      <w:proofErr w:type="spellEnd"/>
      <w:r w:rsidRPr="00255EC0">
        <w:t>)</w:t>
      </w:r>
      <w:r w:rsidR="00AB6E39">
        <w:t xml:space="preserve"> </w:t>
      </w:r>
      <w:r w:rsidRPr="00255EC0">
        <w:t xml:space="preserve">site at </w:t>
      </w:r>
      <w:proofErr w:type="spellStart"/>
      <w:r w:rsidRPr="00255EC0">
        <w:t>Fishermans</w:t>
      </w:r>
      <w:proofErr w:type="spellEnd"/>
      <w:r w:rsidRPr="00255EC0">
        <w:t xml:space="preserve"> Bend will maximise value</w:t>
      </w:r>
      <w:r w:rsidR="00AB6E39">
        <w:t xml:space="preserve"> </w:t>
      </w:r>
      <w:r w:rsidRPr="00255EC0">
        <w:t>of this key asset for Victorians. This will see</w:t>
      </w:r>
      <w:r w:rsidR="00AB6E39">
        <w:t xml:space="preserve"> </w:t>
      </w:r>
      <w:r w:rsidRPr="00255EC0">
        <w:t>the site curated as an innovation hub focused</w:t>
      </w:r>
      <w:r w:rsidR="00AB6E39">
        <w:t xml:space="preserve"> </w:t>
      </w:r>
      <w:r w:rsidRPr="00255EC0">
        <w:t>on advanced manufacturing, engineering</w:t>
      </w:r>
      <w:r w:rsidR="00AB6E39">
        <w:t xml:space="preserve"> </w:t>
      </w:r>
      <w:r w:rsidRPr="00255EC0">
        <w:t>and design helping to create up to 40,000 jobs</w:t>
      </w:r>
      <w:r w:rsidR="00AB6E39">
        <w:t xml:space="preserve"> </w:t>
      </w:r>
      <w:r w:rsidRPr="00255EC0">
        <w:t xml:space="preserve">in the employment precinct. </w:t>
      </w:r>
    </w:p>
    <w:p w14:paraId="739535D8" w14:textId="798D1A91" w:rsidR="00255EC0" w:rsidRPr="00255EC0" w:rsidRDefault="00255EC0" w:rsidP="00AB6E39">
      <w:pPr>
        <w:pStyle w:val="Body"/>
        <w:keepLines/>
      </w:pPr>
      <w:r w:rsidRPr="00255EC0">
        <w:lastRenderedPageBreak/>
        <w:t xml:space="preserve">This former </w:t>
      </w:r>
      <w:proofErr w:type="spellStart"/>
      <w:r w:rsidRPr="00255EC0">
        <w:t>GMH</w:t>
      </w:r>
      <w:proofErr w:type="spellEnd"/>
      <w:r w:rsidRPr="00255EC0">
        <w:t xml:space="preserve"> site will also host a new</w:t>
      </w:r>
      <w:r w:rsidR="00AB6E39">
        <w:t xml:space="preserve"> </w:t>
      </w:r>
      <w:r w:rsidRPr="00255EC0">
        <w:t>University of Melbourne Engineering School Campus, attracting up to 20,000 students</w:t>
      </w:r>
      <w:r w:rsidR="00AB6E39">
        <w:t xml:space="preserve"> </w:t>
      </w:r>
      <w:r w:rsidRPr="00255EC0">
        <w:t>and for which development facilitation work continues. As part of the Victorian Government’s</w:t>
      </w:r>
      <w:r w:rsidR="00AB6E39">
        <w:t xml:space="preserve"> </w:t>
      </w:r>
      <w:r w:rsidRPr="00255EC0">
        <w:t>$2.7 billion Building Works package, funding</w:t>
      </w:r>
      <w:r w:rsidR="00AB6E39">
        <w:t xml:space="preserve"> </w:t>
      </w:r>
      <w:r w:rsidRPr="00255EC0">
        <w:t>of $6 million has been provided for ‘Gateway</w:t>
      </w:r>
      <w:r w:rsidR="00AB6E39">
        <w:t xml:space="preserve"> </w:t>
      </w:r>
      <w:r w:rsidRPr="00255EC0">
        <w:t xml:space="preserve">to </w:t>
      </w:r>
      <w:proofErr w:type="spellStart"/>
      <w:r w:rsidRPr="00255EC0">
        <w:t>GMH</w:t>
      </w:r>
      <w:proofErr w:type="spellEnd"/>
      <w:r w:rsidRPr="00255EC0">
        <w:t xml:space="preserve">’ stimulus projects providing streetscape upgrades, greening and placemaking. </w:t>
      </w:r>
    </w:p>
    <w:p w14:paraId="3E3F8419" w14:textId="491EEECB" w:rsidR="00255EC0" w:rsidRPr="00255EC0" w:rsidRDefault="00255EC0" w:rsidP="00AB6E39">
      <w:pPr>
        <w:pStyle w:val="Body"/>
      </w:pPr>
      <w:r w:rsidRPr="00255EC0">
        <w:t>Jointly with the Department of Environment,</w:t>
      </w:r>
      <w:r w:rsidR="00AB6E39">
        <w:t xml:space="preserve"> </w:t>
      </w:r>
      <w:r w:rsidRPr="00255EC0">
        <w:t>Land Water and Planning (</w:t>
      </w:r>
      <w:proofErr w:type="spellStart"/>
      <w:r w:rsidRPr="00255EC0">
        <w:t>DELWP</w:t>
      </w:r>
      <w:proofErr w:type="spellEnd"/>
      <w:r w:rsidRPr="00255EC0">
        <w:t>), the Priority Precincts portfolio is providing planning</w:t>
      </w:r>
      <w:r w:rsidR="00AB6E39">
        <w:t xml:space="preserve"> </w:t>
      </w:r>
      <w:r w:rsidRPr="00255EC0">
        <w:t>facilitation to support delivery of a strong pipeline of development. This includes $2.18 billion in project value at various stages of development and a further $3.3 billion under assessment. Together these projects will deliver 13,000 homes, including over 330 in affordable housing, plus nearly 300,000 square metres of employment floor space.</w:t>
      </w:r>
    </w:p>
    <w:p w14:paraId="26C98F07" w14:textId="35252F06" w:rsidR="00255EC0" w:rsidRPr="00255EC0" w:rsidRDefault="00255EC0" w:rsidP="00AB6E39">
      <w:pPr>
        <w:pStyle w:val="Body"/>
      </w:pPr>
      <w:r w:rsidRPr="00255EC0">
        <w:t xml:space="preserve">The new Arden Metro Tunnel station is a key driver for a thriving new neighbourhood in Melbourne’s inner north-east. Ambitions for Arden include curation of an employment and innovation precinct with potential for 34,000 jobs in the life sciences, digital and education sectors. The government’s vision for an exemplar urban renewal development in Arden is captured by the jointly developed draft Arden Structure Plan. The plan was </w:t>
      </w:r>
      <w:proofErr w:type="gramStart"/>
      <w:r w:rsidRPr="00255EC0">
        <w:t>publicly</w:t>
      </w:r>
      <w:r w:rsidR="00AB6E39">
        <w:t xml:space="preserve"> </w:t>
      </w:r>
      <w:r w:rsidRPr="00255EC0">
        <w:t>released</w:t>
      </w:r>
      <w:proofErr w:type="gramEnd"/>
      <w:r w:rsidRPr="00255EC0">
        <w:t xml:space="preserve"> by the Victorian Planning Authority</w:t>
      </w:r>
      <w:r w:rsidR="00AB6E39">
        <w:t xml:space="preserve"> </w:t>
      </w:r>
      <w:r w:rsidRPr="00255EC0">
        <w:t>and City of Melbourne in June and is the subject</w:t>
      </w:r>
      <w:r w:rsidR="00AB6E39">
        <w:t xml:space="preserve"> </w:t>
      </w:r>
      <w:r w:rsidRPr="00255EC0">
        <w:t>of an extensive community consultation.</w:t>
      </w:r>
    </w:p>
    <w:p w14:paraId="1D80D93C" w14:textId="677362CB" w:rsidR="00255EC0" w:rsidRPr="00255EC0" w:rsidRDefault="00255EC0" w:rsidP="00AB6E39">
      <w:pPr>
        <w:pStyle w:val="Body"/>
      </w:pPr>
      <w:r w:rsidRPr="00255EC0">
        <w:t>Melbourne’s more mature precincts including Parkville and Richmond to Docklands have</w:t>
      </w:r>
      <w:r w:rsidR="00AB6E39">
        <w:t xml:space="preserve"> </w:t>
      </w:r>
      <w:r w:rsidRPr="00255EC0">
        <w:t>benefited from portfolio oversight that has</w:t>
      </w:r>
      <w:r w:rsidR="00AB6E39">
        <w:t xml:space="preserve"> </w:t>
      </w:r>
      <w:r w:rsidRPr="00255EC0">
        <w:t xml:space="preserve">helped secure </w:t>
      </w:r>
      <w:proofErr w:type="spellStart"/>
      <w:r w:rsidRPr="00255EC0">
        <w:t>CSL</w:t>
      </w:r>
      <w:proofErr w:type="spellEnd"/>
      <w:r w:rsidRPr="00255EC0">
        <w:t xml:space="preserve"> global headquarters for</w:t>
      </w:r>
      <w:r w:rsidR="00AB6E39">
        <w:t xml:space="preserve"> </w:t>
      </w:r>
      <w:r w:rsidRPr="00255EC0">
        <w:t>Victoria, attract Hollywood’s Dick Cook Studios</w:t>
      </w:r>
      <w:r w:rsidR="00AB6E39">
        <w:t xml:space="preserve"> </w:t>
      </w:r>
      <w:r w:rsidRPr="00255EC0">
        <w:t>to Docklands Studios and facilitate AFL plans</w:t>
      </w:r>
      <w:r w:rsidR="00AB6E39">
        <w:t xml:space="preserve"> </w:t>
      </w:r>
      <w:r w:rsidRPr="00255EC0">
        <w:t>for a Marvel Stadium upgrade.</w:t>
      </w:r>
    </w:p>
    <w:p w14:paraId="731A9687" w14:textId="6EE2B9F4" w:rsidR="00255EC0" w:rsidRPr="00255EC0" w:rsidRDefault="00255EC0" w:rsidP="00AB6E39">
      <w:pPr>
        <w:pStyle w:val="Body"/>
      </w:pPr>
      <w:r w:rsidRPr="00255EC0">
        <w:t xml:space="preserve">Strategic effort focused on Melbourne’s west has been rewarded by a new </w:t>
      </w:r>
      <w:proofErr w:type="spellStart"/>
      <w:r w:rsidRPr="00255EC0">
        <w:t>Footscray</w:t>
      </w:r>
      <w:proofErr w:type="spellEnd"/>
      <w:r w:rsidRPr="00255EC0">
        <w:t xml:space="preserve"> Priority Precinct. Announced in December 2019, this western gateway and key cultural asset will support a big uptick</w:t>
      </w:r>
      <w:r w:rsidR="00AB6E39">
        <w:t xml:space="preserve"> </w:t>
      </w:r>
      <w:r w:rsidRPr="00255EC0">
        <w:t xml:space="preserve">in jobs for Victorians as the $1.5 billion </w:t>
      </w:r>
      <w:proofErr w:type="spellStart"/>
      <w:r w:rsidRPr="00255EC0">
        <w:t>Footscray</w:t>
      </w:r>
      <w:proofErr w:type="spellEnd"/>
      <w:r w:rsidRPr="00255EC0">
        <w:t xml:space="preserve"> Hospital and the new </w:t>
      </w:r>
      <w:proofErr w:type="spellStart"/>
      <w:r w:rsidRPr="00255EC0">
        <w:t>Footscray</w:t>
      </w:r>
      <w:proofErr w:type="spellEnd"/>
      <w:r w:rsidRPr="00255EC0">
        <w:t xml:space="preserve"> Learning Precinct are delivered. </w:t>
      </w:r>
    </w:p>
    <w:p w14:paraId="5E0DC109" w14:textId="4D892ADC" w:rsidR="00255EC0" w:rsidRPr="00255EC0" w:rsidRDefault="00255EC0" w:rsidP="00AB6E39">
      <w:pPr>
        <w:pStyle w:val="Body"/>
      </w:pPr>
      <w:r w:rsidRPr="00255EC0">
        <w:t xml:space="preserve">Recently, </w:t>
      </w:r>
      <w:proofErr w:type="spellStart"/>
      <w:r w:rsidRPr="00255EC0">
        <w:t>Footscray</w:t>
      </w:r>
      <w:proofErr w:type="spellEnd"/>
      <w:r w:rsidRPr="00255EC0">
        <w:t xml:space="preserve"> has been in a period of change, as the population in Melbourne’s west has expanded. More people are being drawn to </w:t>
      </w:r>
      <w:proofErr w:type="spellStart"/>
      <w:r w:rsidRPr="00255EC0">
        <w:t>Footscray</w:t>
      </w:r>
      <w:proofErr w:type="spellEnd"/>
      <w:r w:rsidRPr="00255EC0">
        <w:t xml:space="preserve">, and the government has an important role to play in shaping the future of this growing area. In coordinating planning for the future of </w:t>
      </w:r>
      <w:proofErr w:type="spellStart"/>
      <w:r w:rsidRPr="00255EC0">
        <w:t>Footscray</w:t>
      </w:r>
      <w:proofErr w:type="spellEnd"/>
      <w:r w:rsidRPr="00255EC0">
        <w:t>, the portfolio</w:t>
      </w:r>
      <w:r w:rsidR="00AB6E39">
        <w:t xml:space="preserve"> </w:t>
      </w:r>
      <w:r w:rsidRPr="00255EC0">
        <w:t xml:space="preserve">has collaborated on whole of government priorities for transport, housing affordability, liveability, economic </w:t>
      </w:r>
      <w:proofErr w:type="gramStart"/>
      <w:r w:rsidRPr="00255EC0">
        <w:t>growth</w:t>
      </w:r>
      <w:proofErr w:type="gramEnd"/>
      <w:r w:rsidRPr="00255EC0">
        <w:t xml:space="preserve"> and jobs creation. </w:t>
      </w:r>
    </w:p>
    <w:p w14:paraId="50B36A2F" w14:textId="58E26D78" w:rsidR="00255EC0" w:rsidRPr="00255EC0" w:rsidRDefault="00255EC0" w:rsidP="00AB6E39">
      <w:pPr>
        <w:pStyle w:val="Body"/>
      </w:pPr>
      <w:r w:rsidRPr="00255EC0">
        <w:t>A collaborative vision for Sunshine as capital of the west and the preferred airport rail route progressed well and has seen the precinct attract $6.2 million</w:t>
      </w:r>
      <w:r w:rsidR="00AB6E39">
        <w:t xml:space="preserve"> </w:t>
      </w:r>
      <w:r w:rsidRPr="00255EC0">
        <w:t>in Building Works funding for stimulus projects</w:t>
      </w:r>
      <w:r w:rsidR="00AB6E39">
        <w:t xml:space="preserve"> </w:t>
      </w:r>
      <w:r w:rsidRPr="00255EC0">
        <w:t>to improve Sunshine streetscapes and connectivity.</w:t>
      </w:r>
    </w:p>
    <w:p w14:paraId="0DFD66D7" w14:textId="77777777" w:rsidR="00255EC0" w:rsidRPr="00255EC0" w:rsidRDefault="00255EC0" w:rsidP="00AB6E39">
      <w:pPr>
        <w:pStyle w:val="Body"/>
      </w:pPr>
      <w:r w:rsidRPr="00255EC0">
        <w:t>A large portfolio contingent has been deployed to support Victoria’s coronavirus (COVID-19) response and delivered some key initiatives, including the state’s flagship jobs program Working for Victoria.</w:t>
      </w:r>
    </w:p>
    <w:p w14:paraId="5C18BDF7" w14:textId="77777777" w:rsidR="00255EC0" w:rsidRPr="00255EC0" w:rsidRDefault="00255EC0" w:rsidP="00AB6E39">
      <w:pPr>
        <w:pStyle w:val="Heading4"/>
      </w:pPr>
      <w:r w:rsidRPr="00255EC0">
        <w:t>Indicator: Community satisfaction in public places</w:t>
      </w:r>
    </w:p>
    <w:p w14:paraId="3C3CA25E" w14:textId="77777777" w:rsidR="00255EC0" w:rsidRPr="00255EC0" w:rsidRDefault="00255EC0" w:rsidP="00AB6E39">
      <w:pPr>
        <w:pStyle w:val="Heading5"/>
      </w:pPr>
      <w:r w:rsidRPr="00255EC0">
        <w:t>Table 9: Community satisfaction in public places</w:t>
      </w:r>
    </w:p>
    <w:tbl>
      <w:tblPr>
        <w:tblStyle w:val="TableGrid"/>
        <w:tblW w:w="9638" w:type="dxa"/>
        <w:tblLayout w:type="fixed"/>
        <w:tblLook w:val="0020" w:firstRow="1" w:lastRow="0" w:firstColumn="0" w:lastColumn="0" w:noHBand="0" w:noVBand="0"/>
      </w:tblPr>
      <w:tblGrid>
        <w:gridCol w:w="4815"/>
        <w:gridCol w:w="1205"/>
        <w:gridCol w:w="1206"/>
        <w:gridCol w:w="1206"/>
        <w:gridCol w:w="1206"/>
      </w:tblGrid>
      <w:tr w:rsidR="00255EC0" w:rsidRPr="00E53519" w14:paraId="5BFF45CE" w14:textId="77777777" w:rsidTr="00E8460A">
        <w:trPr>
          <w:trHeight w:val="113"/>
        </w:trPr>
        <w:tc>
          <w:tcPr>
            <w:tcW w:w="4815" w:type="dxa"/>
          </w:tcPr>
          <w:p w14:paraId="7D2DD0BA" w14:textId="77777777" w:rsidR="00255EC0" w:rsidRPr="00E53519" w:rsidRDefault="00255EC0" w:rsidP="00AB6E39">
            <w:pPr>
              <w:pStyle w:val="TableColumnheading"/>
              <w:rPr>
                <w:sz w:val="20"/>
                <w:szCs w:val="18"/>
              </w:rPr>
            </w:pPr>
            <w:r w:rsidRPr="00E53519">
              <w:rPr>
                <w:sz w:val="20"/>
                <w:szCs w:val="18"/>
              </w:rPr>
              <w:t>Measure (unit of measure)</w:t>
            </w:r>
          </w:p>
        </w:tc>
        <w:tc>
          <w:tcPr>
            <w:tcW w:w="1205" w:type="dxa"/>
          </w:tcPr>
          <w:p w14:paraId="61AD74F1" w14:textId="77777777" w:rsidR="00255EC0" w:rsidRPr="00E53519" w:rsidRDefault="00255EC0" w:rsidP="00AB6E39">
            <w:pPr>
              <w:pStyle w:val="TableColumnheading"/>
              <w:jc w:val="right"/>
              <w:rPr>
                <w:sz w:val="20"/>
                <w:szCs w:val="18"/>
              </w:rPr>
            </w:pPr>
            <w:r w:rsidRPr="00E53519">
              <w:rPr>
                <w:sz w:val="20"/>
                <w:szCs w:val="18"/>
              </w:rPr>
              <w:t>2016–17</w:t>
            </w:r>
          </w:p>
        </w:tc>
        <w:tc>
          <w:tcPr>
            <w:tcW w:w="1206" w:type="dxa"/>
          </w:tcPr>
          <w:p w14:paraId="566C27AD" w14:textId="77777777" w:rsidR="00255EC0" w:rsidRPr="00E53519" w:rsidRDefault="00255EC0" w:rsidP="00AB6E39">
            <w:pPr>
              <w:pStyle w:val="TableColumnheading"/>
              <w:jc w:val="right"/>
              <w:rPr>
                <w:sz w:val="20"/>
                <w:szCs w:val="18"/>
              </w:rPr>
            </w:pPr>
            <w:r w:rsidRPr="00E53519">
              <w:rPr>
                <w:sz w:val="20"/>
                <w:szCs w:val="18"/>
              </w:rPr>
              <w:t>2017–18</w:t>
            </w:r>
          </w:p>
        </w:tc>
        <w:tc>
          <w:tcPr>
            <w:tcW w:w="1206" w:type="dxa"/>
          </w:tcPr>
          <w:p w14:paraId="0E3B07CB" w14:textId="77777777" w:rsidR="00255EC0" w:rsidRPr="00E53519" w:rsidRDefault="00255EC0" w:rsidP="00AB6E39">
            <w:pPr>
              <w:pStyle w:val="TableColumnheading"/>
              <w:jc w:val="right"/>
              <w:rPr>
                <w:sz w:val="20"/>
                <w:szCs w:val="18"/>
              </w:rPr>
            </w:pPr>
            <w:r w:rsidRPr="00E53519">
              <w:rPr>
                <w:sz w:val="20"/>
                <w:szCs w:val="18"/>
              </w:rPr>
              <w:t>2018–19</w:t>
            </w:r>
          </w:p>
        </w:tc>
        <w:tc>
          <w:tcPr>
            <w:tcW w:w="1206" w:type="dxa"/>
          </w:tcPr>
          <w:p w14:paraId="09A6B876" w14:textId="77777777" w:rsidR="00255EC0" w:rsidRPr="00E53519" w:rsidRDefault="00255EC0" w:rsidP="00AB6E39">
            <w:pPr>
              <w:pStyle w:val="TableColumnheading"/>
              <w:jc w:val="right"/>
              <w:rPr>
                <w:sz w:val="20"/>
                <w:szCs w:val="18"/>
              </w:rPr>
            </w:pPr>
            <w:r w:rsidRPr="00E53519">
              <w:rPr>
                <w:sz w:val="20"/>
                <w:szCs w:val="18"/>
              </w:rPr>
              <w:t>2019–20</w:t>
            </w:r>
          </w:p>
        </w:tc>
      </w:tr>
      <w:tr w:rsidR="00255EC0" w:rsidRPr="00E53519" w14:paraId="0CDEB2E1" w14:textId="77777777" w:rsidTr="00E8460A">
        <w:trPr>
          <w:trHeight w:val="113"/>
        </w:trPr>
        <w:tc>
          <w:tcPr>
            <w:tcW w:w="4815" w:type="dxa"/>
          </w:tcPr>
          <w:p w14:paraId="6B25DFDA" w14:textId="4A7AB22E" w:rsidR="00255EC0" w:rsidRPr="00E53519" w:rsidRDefault="00255EC0" w:rsidP="00AB6E39">
            <w:pPr>
              <w:pStyle w:val="Tabletextnospace"/>
              <w:rPr>
                <w:sz w:val="20"/>
              </w:rPr>
            </w:pPr>
            <w:r w:rsidRPr="00E53519">
              <w:rPr>
                <w:sz w:val="20"/>
              </w:rPr>
              <w:t>Appearance of public areas</w:t>
            </w:r>
            <w:r w:rsidR="00AB6E39" w:rsidRPr="00E53519">
              <w:rPr>
                <w:sz w:val="20"/>
              </w:rPr>
              <w:t xml:space="preserve"> </w:t>
            </w:r>
            <w:r w:rsidRPr="00E53519">
              <w:rPr>
                <w:sz w:val="20"/>
              </w:rPr>
              <w:t>(per cent)</w:t>
            </w:r>
          </w:p>
        </w:tc>
        <w:tc>
          <w:tcPr>
            <w:tcW w:w="1205" w:type="dxa"/>
          </w:tcPr>
          <w:p w14:paraId="27099D3E" w14:textId="77777777" w:rsidR="00255EC0" w:rsidRPr="00E53519" w:rsidRDefault="00255EC0" w:rsidP="00AB6E39">
            <w:pPr>
              <w:pStyle w:val="Tabletextnospace"/>
              <w:jc w:val="right"/>
              <w:rPr>
                <w:sz w:val="20"/>
              </w:rPr>
            </w:pPr>
            <w:r w:rsidRPr="00E53519">
              <w:rPr>
                <w:sz w:val="20"/>
              </w:rPr>
              <w:t>n/a</w:t>
            </w:r>
          </w:p>
        </w:tc>
        <w:tc>
          <w:tcPr>
            <w:tcW w:w="1206" w:type="dxa"/>
          </w:tcPr>
          <w:p w14:paraId="36E20E7E" w14:textId="77777777" w:rsidR="00255EC0" w:rsidRPr="00E53519" w:rsidRDefault="00255EC0" w:rsidP="00AB6E39">
            <w:pPr>
              <w:pStyle w:val="Tabletextnospace"/>
              <w:jc w:val="right"/>
              <w:rPr>
                <w:sz w:val="20"/>
              </w:rPr>
            </w:pPr>
            <w:r w:rsidRPr="00E53519">
              <w:rPr>
                <w:sz w:val="20"/>
              </w:rPr>
              <w:t>n/a</w:t>
            </w:r>
          </w:p>
        </w:tc>
        <w:tc>
          <w:tcPr>
            <w:tcW w:w="1206" w:type="dxa"/>
          </w:tcPr>
          <w:p w14:paraId="1952CFBE" w14:textId="77777777" w:rsidR="00255EC0" w:rsidRPr="00E53519" w:rsidRDefault="00255EC0" w:rsidP="00AB6E39">
            <w:pPr>
              <w:pStyle w:val="Tabletextnospace"/>
              <w:jc w:val="right"/>
              <w:rPr>
                <w:sz w:val="20"/>
              </w:rPr>
            </w:pPr>
            <w:r w:rsidRPr="00E53519">
              <w:rPr>
                <w:sz w:val="20"/>
              </w:rPr>
              <w:t xml:space="preserve"> 72*</w:t>
            </w:r>
          </w:p>
        </w:tc>
        <w:tc>
          <w:tcPr>
            <w:tcW w:w="1206" w:type="dxa"/>
          </w:tcPr>
          <w:p w14:paraId="18F868F1" w14:textId="77777777" w:rsidR="00255EC0" w:rsidRPr="00E53519" w:rsidRDefault="00255EC0" w:rsidP="00AB6E39">
            <w:pPr>
              <w:pStyle w:val="Tabletextnospace"/>
              <w:jc w:val="right"/>
              <w:rPr>
                <w:sz w:val="20"/>
              </w:rPr>
            </w:pPr>
            <w:r w:rsidRPr="00E53519">
              <w:rPr>
                <w:sz w:val="20"/>
              </w:rPr>
              <w:t>72</w:t>
            </w:r>
          </w:p>
        </w:tc>
      </w:tr>
      <w:tr w:rsidR="00255EC0" w:rsidRPr="00E53519" w14:paraId="3D7F9F4B" w14:textId="77777777" w:rsidTr="00E8460A">
        <w:trPr>
          <w:trHeight w:val="113"/>
        </w:trPr>
        <w:tc>
          <w:tcPr>
            <w:tcW w:w="4815" w:type="dxa"/>
          </w:tcPr>
          <w:p w14:paraId="56812699" w14:textId="6A7E3103" w:rsidR="00255EC0" w:rsidRPr="00E53519" w:rsidRDefault="00255EC0" w:rsidP="00AB6E39">
            <w:pPr>
              <w:pStyle w:val="Tabletextnospace"/>
              <w:rPr>
                <w:sz w:val="20"/>
              </w:rPr>
            </w:pPr>
            <w:r w:rsidRPr="00E53519">
              <w:rPr>
                <w:sz w:val="20"/>
              </w:rPr>
              <w:t>Community consultation and engagement</w:t>
            </w:r>
            <w:r w:rsidR="00E53519" w:rsidRPr="00E53519">
              <w:rPr>
                <w:sz w:val="20"/>
              </w:rPr>
              <w:t xml:space="preserve"> </w:t>
            </w:r>
            <w:r w:rsidRPr="00E53519">
              <w:rPr>
                <w:sz w:val="20"/>
              </w:rPr>
              <w:t>(per cent)</w:t>
            </w:r>
          </w:p>
        </w:tc>
        <w:tc>
          <w:tcPr>
            <w:tcW w:w="1205" w:type="dxa"/>
          </w:tcPr>
          <w:p w14:paraId="33B292A6" w14:textId="77777777" w:rsidR="00255EC0" w:rsidRPr="00E53519" w:rsidRDefault="00255EC0" w:rsidP="00AB6E39">
            <w:pPr>
              <w:pStyle w:val="Tabletextnospace"/>
              <w:jc w:val="right"/>
              <w:rPr>
                <w:sz w:val="20"/>
              </w:rPr>
            </w:pPr>
            <w:r w:rsidRPr="00E53519">
              <w:rPr>
                <w:sz w:val="20"/>
              </w:rPr>
              <w:t>n/a</w:t>
            </w:r>
          </w:p>
        </w:tc>
        <w:tc>
          <w:tcPr>
            <w:tcW w:w="1206" w:type="dxa"/>
          </w:tcPr>
          <w:p w14:paraId="64B0C6B0" w14:textId="77777777" w:rsidR="00255EC0" w:rsidRPr="00E53519" w:rsidRDefault="00255EC0" w:rsidP="00AB6E39">
            <w:pPr>
              <w:pStyle w:val="Tabletextnospace"/>
              <w:jc w:val="right"/>
              <w:rPr>
                <w:sz w:val="20"/>
              </w:rPr>
            </w:pPr>
            <w:r w:rsidRPr="00E53519">
              <w:rPr>
                <w:sz w:val="20"/>
              </w:rPr>
              <w:t>n/a</w:t>
            </w:r>
          </w:p>
        </w:tc>
        <w:tc>
          <w:tcPr>
            <w:tcW w:w="1206" w:type="dxa"/>
          </w:tcPr>
          <w:p w14:paraId="6CC34CB7" w14:textId="77777777" w:rsidR="00255EC0" w:rsidRPr="00E53519" w:rsidRDefault="00255EC0" w:rsidP="00AB6E39">
            <w:pPr>
              <w:pStyle w:val="Tabletextnospace"/>
              <w:jc w:val="right"/>
              <w:rPr>
                <w:sz w:val="20"/>
              </w:rPr>
            </w:pPr>
            <w:r w:rsidRPr="00E53519">
              <w:rPr>
                <w:sz w:val="20"/>
              </w:rPr>
              <w:t>56</w:t>
            </w:r>
          </w:p>
        </w:tc>
        <w:tc>
          <w:tcPr>
            <w:tcW w:w="1206" w:type="dxa"/>
          </w:tcPr>
          <w:p w14:paraId="1B62EF36" w14:textId="77777777" w:rsidR="00255EC0" w:rsidRPr="00E53519" w:rsidRDefault="00255EC0" w:rsidP="00AB6E39">
            <w:pPr>
              <w:pStyle w:val="Tabletextnospace"/>
              <w:jc w:val="right"/>
              <w:rPr>
                <w:sz w:val="20"/>
              </w:rPr>
            </w:pPr>
            <w:r w:rsidRPr="00E53519">
              <w:rPr>
                <w:sz w:val="20"/>
              </w:rPr>
              <w:t>55</w:t>
            </w:r>
          </w:p>
        </w:tc>
      </w:tr>
      <w:tr w:rsidR="00255EC0" w:rsidRPr="00E53519" w14:paraId="5180FB0F" w14:textId="77777777" w:rsidTr="00E8460A">
        <w:trPr>
          <w:trHeight w:val="113"/>
        </w:trPr>
        <w:tc>
          <w:tcPr>
            <w:tcW w:w="4815" w:type="dxa"/>
          </w:tcPr>
          <w:p w14:paraId="640ECE52" w14:textId="40323E40" w:rsidR="00255EC0" w:rsidRPr="00E53519" w:rsidRDefault="00255EC0" w:rsidP="00AB6E39">
            <w:pPr>
              <w:pStyle w:val="Tabletextnospace"/>
              <w:rPr>
                <w:sz w:val="20"/>
              </w:rPr>
            </w:pPr>
            <w:r w:rsidRPr="00E53519">
              <w:rPr>
                <w:sz w:val="20"/>
              </w:rPr>
              <w:t>Planning for population growth in the area</w:t>
            </w:r>
            <w:r w:rsidR="00E53519" w:rsidRPr="00E53519">
              <w:rPr>
                <w:sz w:val="20"/>
              </w:rPr>
              <w:t xml:space="preserve"> </w:t>
            </w:r>
            <w:r w:rsidRPr="00E53519">
              <w:rPr>
                <w:sz w:val="20"/>
              </w:rPr>
              <w:t>(per cent)</w:t>
            </w:r>
          </w:p>
        </w:tc>
        <w:tc>
          <w:tcPr>
            <w:tcW w:w="1205" w:type="dxa"/>
          </w:tcPr>
          <w:p w14:paraId="270E03F8" w14:textId="77777777" w:rsidR="00255EC0" w:rsidRPr="00E53519" w:rsidRDefault="00255EC0" w:rsidP="00AB6E39">
            <w:pPr>
              <w:pStyle w:val="Tabletextnospace"/>
              <w:jc w:val="right"/>
              <w:rPr>
                <w:sz w:val="20"/>
              </w:rPr>
            </w:pPr>
            <w:r w:rsidRPr="00E53519">
              <w:rPr>
                <w:sz w:val="20"/>
              </w:rPr>
              <w:t>n/a</w:t>
            </w:r>
          </w:p>
        </w:tc>
        <w:tc>
          <w:tcPr>
            <w:tcW w:w="1206" w:type="dxa"/>
          </w:tcPr>
          <w:p w14:paraId="5FBB1550" w14:textId="77777777" w:rsidR="00255EC0" w:rsidRPr="00E53519" w:rsidRDefault="00255EC0" w:rsidP="00AB6E39">
            <w:pPr>
              <w:pStyle w:val="Tabletextnospace"/>
              <w:jc w:val="right"/>
              <w:rPr>
                <w:sz w:val="20"/>
              </w:rPr>
            </w:pPr>
            <w:r w:rsidRPr="00E53519">
              <w:rPr>
                <w:sz w:val="20"/>
              </w:rPr>
              <w:t>n/a</w:t>
            </w:r>
          </w:p>
        </w:tc>
        <w:tc>
          <w:tcPr>
            <w:tcW w:w="1206" w:type="dxa"/>
          </w:tcPr>
          <w:p w14:paraId="272D7E33" w14:textId="77777777" w:rsidR="00255EC0" w:rsidRPr="00E53519" w:rsidRDefault="00255EC0" w:rsidP="00AB6E39">
            <w:pPr>
              <w:pStyle w:val="Tabletextnospace"/>
              <w:jc w:val="right"/>
              <w:rPr>
                <w:sz w:val="20"/>
              </w:rPr>
            </w:pPr>
            <w:r w:rsidRPr="00E53519">
              <w:rPr>
                <w:sz w:val="20"/>
              </w:rPr>
              <w:t>52</w:t>
            </w:r>
          </w:p>
        </w:tc>
        <w:tc>
          <w:tcPr>
            <w:tcW w:w="1206" w:type="dxa"/>
          </w:tcPr>
          <w:p w14:paraId="174F1FBB" w14:textId="77777777" w:rsidR="00255EC0" w:rsidRPr="00E53519" w:rsidRDefault="00255EC0" w:rsidP="00AB6E39">
            <w:pPr>
              <w:pStyle w:val="Tabletextnospace"/>
              <w:jc w:val="right"/>
              <w:rPr>
                <w:sz w:val="20"/>
              </w:rPr>
            </w:pPr>
            <w:r w:rsidRPr="00E53519">
              <w:rPr>
                <w:sz w:val="20"/>
              </w:rPr>
              <w:t>51</w:t>
            </w:r>
          </w:p>
        </w:tc>
      </w:tr>
      <w:tr w:rsidR="00255EC0" w:rsidRPr="00255EC0" w14:paraId="2CD7CE49" w14:textId="77777777" w:rsidTr="00E8460A">
        <w:trPr>
          <w:trHeight w:val="113"/>
        </w:trPr>
        <w:tc>
          <w:tcPr>
            <w:tcW w:w="9638" w:type="dxa"/>
            <w:gridSpan w:val="5"/>
          </w:tcPr>
          <w:p w14:paraId="5C2C5C25" w14:textId="77777777" w:rsidR="00255EC0" w:rsidRPr="00255EC0" w:rsidRDefault="00255EC0" w:rsidP="00AB6E39">
            <w:pPr>
              <w:pStyle w:val="Tablefootnote"/>
            </w:pPr>
            <w:r w:rsidRPr="00255EC0">
              <w:t xml:space="preserve">*The figure published in 2018–19 was a misprint and has been corrected in this report. </w:t>
            </w:r>
          </w:p>
        </w:tc>
      </w:tr>
    </w:tbl>
    <w:p w14:paraId="6E118E00" w14:textId="77777777" w:rsidR="00255EC0" w:rsidRPr="00255EC0" w:rsidRDefault="00255EC0" w:rsidP="00E53519">
      <w:pPr>
        <w:pStyle w:val="Body"/>
      </w:pPr>
    </w:p>
    <w:p w14:paraId="2C5009F9" w14:textId="77777777" w:rsidR="00255EC0" w:rsidRPr="00255EC0" w:rsidRDefault="00255EC0" w:rsidP="00E53519">
      <w:pPr>
        <w:pStyle w:val="Heading5"/>
      </w:pPr>
      <w:r w:rsidRPr="00255EC0">
        <w:lastRenderedPageBreak/>
        <w:t>Figure 6: Appearance of public areas</w:t>
      </w:r>
    </w:p>
    <w:p w14:paraId="159B5B98" w14:textId="10B8F618" w:rsidR="00255EC0" w:rsidRPr="00255EC0" w:rsidRDefault="00E53519" w:rsidP="00E53519">
      <w:pPr>
        <w:pStyle w:val="Body"/>
      </w:pPr>
      <w:r>
        <w:rPr>
          <w:noProof/>
        </w:rPr>
        <w:drawing>
          <wp:inline distT="0" distB="0" distL="0" distR="0" wp14:anchorId="22C5A540" wp14:editId="116B0C66">
            <wp:extent cx="1990725" cy="1323975"/>
            <wp:effectExtent l="0" t="0" r="9525" b="9525"/>
            <wp:docPr id="11" name="Graphic 11" descr="Figure 6: Appearance of public area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igure 6: Appearance of public areas graph"/>
                    <pic:cNvPicPr/>
                  </pic:nvPicPr>
                  <pic:blipFill>
                    <a:blip r:embed="rId20">
                      <a:extLst>
                        <a:ext uri="{96DAC541-7B7A-43D3-8B79-37D633B846F1}">
                          <asvg:svgBlip xmlns:asvg="http://schemas.microsoft.com/office/drawing/2016/SVG/main" r:embed="rId21"/>
                        </a:ext>
                      </a:extLst>
                    </a:blip>
                    <a:stretch>
                      <a:fillRect/>
                    </a:stretch>
                  </pic:blipFill>
                  <pic:spPr>
                    <a:xfrm>
                      <a:off x="0" y="0"/>
                      <a:ext cx="1990725" cy="1323975"/>
                    </a:xfrm>
                    <a:prstGeom prst="rect">
                      <a:avLst/>
                    </a:prstGeom>
                  </pic:spPr>
                </pic:pic>
              </a:graphicData>
            </a:graphic>
          </wp:inline>
        </w:drawing>
      </w:r>
    </w:p>
    <w:p w14:paraId="04158A4C" w14:textId="3EC754ED" w:rsidR="00255EC0" w:rsidRPr="00E53519" w:rsidRDefault="00255EC0" w:rsidP="00E53519">
      <w:pPr>
        <w:pStyle w:val="Heading5"/>
      </w:pPr>
      <w:r w:rsidRPr="00E53519">
        <w:t>Figure 7: Community consultation</w:t>
      </w:r>
      <w:r w:rsidR="00E53519">
        <w:t xml:space="preserve"> </w:t>
      </w:r>
      <w:r w:rsidRPr="00E53519">
        <w:t>and engagement</w:t>
      </w:r>
    </w:p>
    <w:p w14:paraId="4967424D" w14:textId="0BDD36CB" w:rsidR="00255EC0" w:rsidRPr="00255EC0" w:rsidRDefault="00E53519" w:rsidP="00E53519">
      <w:pPr>
        <w:pStyle w:val="Body"/>
      </w:pPr>
      <w:r>
        <w:rPr>
          <w:noProof/>
        </w:rPr>
        <w:drawing>
          <wp:inline distT="0" distB="0" distL="0" distR="0" wp14:anchorId="408BB162" wp14:editId="7C461611">
            <wp:extent cx="1990725" cy="1323975"/>
            <wp:effectExtent l="0" t="0" r="9525" b="9525"/>
            <wp:docPr id="12" name="Graphic 12" descr="Figure 7: Community consultation and engag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Figure 7: Community consultation and engagement graph"/>
                    <pic:cNvPicPr/>
                  </pic:nvPicPr>
                  <pic:blipFill>
                    <a:blip r:embed="rId22">
                      <a:extLst>
                        <a:ext uri="{96DAC541-7B7A-43D3-8B79-37D633B846F1}">
                          <asvg:svgBlip xmlns:asvg="http://schemas.microsoft.com/office/drawing/2016/SVG/main" r:embed="rId23"/>
                        </a:ext>
                      </a:extLst>
                    </a:blip>
                    <a:stretch>
                      <a:fillRect/>
                    </a:stretch>
                  </pic:blipFill>
                  <pic:spPr>
                    <a:xfrm>
                      <a:off x="0" y="0"/>
                      <a:ext cx="1990725" cy="1323975"/>
                    </a:xfrm>
                    <a:prstGeom prst="rect">
                      <a:avLst/>
                    </a:prstGeom>
                  </pic:spPr>
                </pic:pic>
              </a:graphicData>
            </a:graphic>
          </wp:inline>
        </w:drawing>
      </w:r>
    </w:p>
    <w:p w14:paraId="196762C2" w14:textId="4ADBB16D" w:rsidR="00255EC0" w:rsidRPr="00E53519" w:rsidRDefault="00255EC0" w:rsidP="00E53519">
      <w:pPr>
        <w:pStyle w:val="Heading5"/>
      </w:pPr>
      <w:r w:rsidRPr="00E53519">
        <w:t>Figure 8: Planning for population growth</w:t>
      </w:r>
      <w:r w:rsidR="00E53519">
        <w:t xml:space="preserve"> </w:t>
      </w:r>
      <w:r w:rsidRPr="00E53519">
        <w:t>in the area</w:t>
      </w:r>
    </w:p>
    <w:p w14:paraId="2E447DB3" w14:textId="6DC72775" w:rsidR="00255EC0" w:rsidRPr="00255EC0" w:rsidRDefault="00E53519" w:rsidP="00E53519">
      <w:pPr>
        <w:pStyle w:val="Body"/>
      </w:pPr>
      <w:r>
        <w:rPr>
          <w:noProof/>
        </w:rPr>
        <w:drawing>
          <wp:inline distT="0" distB="0" distL="0" distR="0" wp14:anchorId="0C41AFF7" wp14:editId="2B301A77">
            <wp:extent cx="1990725" cy="1323975"/>
            <wp:effectExtent l="0" t="0" r="9525" b="9525"/>
            <wp:docPr id="13" name="Graphic 13" descr="Figure 8: Planning for population growth in the ar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Figure 8: Planning for population growth in the area graph"/>
                    <pic:cNvPicPr/>
                  </pic:nvPicPr>
                  <pic:blipFill>
                    <a:blip r:embed="rId24">
                      <a:extLst>
                        <a:ext uri="{96DAC541-7B7A-43D3-8B79-37D633B846F1}">
                          <asvg:svgBlip xmlns:asvg="http://schemas.microsoft.com/office/drawing/2016/SVG/main" r:embed="rId25"/>
                        </a:ext>
                      </a:extLst>
                    </a:blip>
                    <a:stretch>
                      <a:fillRect/>
                    </a:stretch>
                  </pic:blipFill>
                  <pic:spPr>
                    <a:xfrm>
                      <a:off x="0" y="0"/>
                      <a:ext cx="1990725" cy="1323975"/>
                    </a:xfrm>
                    <a:prstGeom prst="rect">
                      <a:avLst/>
                    </a:prstGeom>
                  </pic:spPr>
                </pic:pic>
              </a:graphicData>
            </a:graphic>
          </wp:inline>
        </w:drawing>
      </w:r>
    </w:p>
    <w:p w14:paraId="149711F9" w14:textId="7701016B" w:rsidR="00255EC0" w:rsidRPr="00255EC0" w:rsidRDefault="00255EC0" w:rsidP="00E53519">
      <w:pPr>
        <w:pStyle w:val="Body"/>
      </w:pPr>
      <w:r w:rsidRPr="00255EC0">
        <w:t>The objective indicator seeks to measure</w:t>
      </w:r>
      <w:r w:rsidR="00941944">
        <w:t xml:space="preserve"> </w:t>
      </w:r>
      <w:r w:rsidRPr="00255EC0">
        <w:t>the government’s suburban development vision</w:t>
      </w:r>
      <w:r w:rsidR="00941944">
        <w:t xml:space="preserve"> </w:t>
      </w:r>
      <w:r w:rsidRPr="00255EC0">
        <w:t>that “All of Melbourne’s residents will have</w:t>
      </w:r>
      <w:r w:rsidR="00941944">
        <w:t xml:space="preserve"> </w:t>
      </w:r>
      <w:r w:rsidRPr="00255EC0">
        <w:t>affordable and reliable access to jobs, services</w:t>
      </w:r>
      <w:r w:rsidR="00941944">
        <w:t xml:space="preserve"> </w:t>
      </w:r>
      <w:r w:rsidRPr="00255EC0">
        <w:t>and infrastructure, no matter where they live.” (Suburban Development Statement, May 2017)</w:t>
      </w:r>
    </w:p>
    <w:p w14:paraId="02993E0D" w14:textId="6AB5BCB8" w:rsidR="00255EC0" w:rsidRPr="00255EC0" w:rsidRDefault="00255EC0" w:rsidP="00941944">
      <w:pPr>
        <w:pStyle w:val="Body"/>
      </w:pPr>
      <w:r w:rsidRPr="00255EC0">
        <w:t>Outcomes for 2020 demonstrate a minor variation in performance that is reflective of Victoria’s significant infrastructure program causing short-term impacts to amenity in key locations including the CBD (e.g. Metro Tunnel station development) and locations impacted by major projects including the Level Crossing Removal Authority crossing removals. Sustaining these high rates of community satisfaction is the result of key improvements</w:t>
      </w:r>
      <w:r w:rsidR="00941944">
        <w:t xml:space="preserve"> </w:t>
      </w:r>
      <w:r w:rsidRPr="00255EC0">
        <w:t>in selected locations driven in part through</w:t>
      </w:r>
      <w:r w:rsidR="00941944">
        <w:t xml:space="preserve"> </w:t>
      </w:r>
      <w:r w:rsidRPr="00255EC0">
        <w:t>the Suburban Development’s portfolio’s investments in suburban revitalisation initiatives. It is also the result of ongoing state support to local governments to deliver community infrastructure and facilities, including libraries, sport and recreation facilities, and specific support provided to interface councils through the government’s Growing Suburbs Fund.</w:t>
      </w:r>
    </w:p>
    <w:p w14:paraId="4BEE1BDD" w14:textId="139F29B1" w:rsidR="00255EC0" w:rsidRPr="00255EC0" w:rsidRDefault="00255EC0" w:rsidP="00941944">
      <w:pPr>
        <w:pStyle w:val="Body"/>
      </w:pPr>
      <w:r w:rsidRPr="00255EC0">
        <w:t>Performance outcomes are expected</w:t>
      </w:r>
      <w:r w:rsidR="00941944">
        <w:t xml:space="preserve"> </w:t>
      </w:r>
      <w:r w:rsidRPr="00255EC0">
        <w:t>to improve over time as major city shaping</w:t>
      </w:r>
      <w:r w:rsidR="00941944">
        <w:t xml:space="preserve"> </w:t>
      </w:r>
      <w:r w:rsidRPr="00255EC0">
        <w:t>projects are completed and lead to improved</w:t>
      </w:r>
      <w:r w:rsidR="00941944">
        <w:t xml:space="preserve"> </w:t>
      </w:r>
      <w:r w:rsidRPr="00255EC0">
        <w:t>local amenity around key activity centres</w:t>
      </w:r>
      <w:r w:rsidR="00941944">
        <w:t xml:space="preserve"> </w:t>
      </w:r>
      <w:r w:rsidRPr="00255EC0">
        <w:t xml:space="preserve">and transport interchanges. </w:t>
      </w:r>
    </w:p>
    <w:p w14:paraId="5B8DD2C1" w14:textId="77777777" w:rsidR="00255EC0" w:rsidRPr="00255EC0" w:rsidRDefault="00255EC0" w:rsidP="00941944">
      <w:pPr>
        <w:pStyle w:val="Heading3"/>
      </w:pPr>
      <w:r w:rsidRPr="00255EC0">
        <w:lastRenderedPageBreak/>
        <w:t>Regional Development</w:t>
      </w:r>
    </w:p>
    <w:p w14:paraId="6ADB1CB0" w14:textId="5791E89B" w:rsidR="00255EC0" w:rsidRPr="00255EC0" w:rsidRDefault="00255EC0" w:rsidP="00981EFF">
      <w:pPr>
        <w:pStyle w:val="Body"/>
        <w:keepLines/>
      </w:pPr>
      <w:r w:rsidRPr="00255EC0">
        <w:t>Rural and regional Victorians account for a quarter of the state’s population. In 2019–20, the government, through Regional Development Victoria (</w:t>
      </w:r>
      <w:proofErr w:type="spellStart"/>
      <w:r w:rsidRPr="00255EC0">
        <w:t>RDV</w:t>
      </w:r>
      <w:proofErr w:type="spellEnd"/>
      <w:r w:rsidRPr="00255EC0">
        <w:t>), worked to ensure that Victoria’s rural and regional communities shared in the benefits of the state’s economic growth. This was achieved by investing</w:t>
      </w:r>
      <w:r w:rsidR="00981EFF">
        <w:t xml:space="preserve"> </w:t>
      </w:r>
      <w:r w:rsidRPr="00255EC0">
        <w:t xml:space="preserve">in infrastructure and services to create jobs which will sustain thriving and prosperous regional cities and towns. </w:t>
      </w:r>
    </w:p>
    <w:p w14:paraId="72E87F53" w14:textId="1352A1B9" w:rsidR="00255EC0" w:rsidRPr="00255EC0" w:rsidRDefault="00255EC0" w:rsidP="00981EFF">
      <w:pPr>
        <w:pStyle w:val="Body"/>
      </w:pPr>
      <w:r w:rsidRPr="00255EC0">
        <w:t xml:space="preserve">Operating in partnership with local communities, industry and across all tiers of government, </w:t>
      </w:r>
      <w:proofErr w:type="spellStart"/>
      <w:r w:rsidRPr="00255EC0">
        <w:t>RDV’s</w:t>
      </w:r>
      <w:proofErr w:type="spellEnd"/>
      <w:r w:rsidRPr="00255EC0">
        <w:t xml:space="preserve"> efforts in 2019–20 resulted in all regional development performance targets being</w:t>
      </w:r>
      <w:r w:rsidR="00981EFF">
        <w:t xml:space="preserve"> </w:t>
      </w:r>
      <w:r w:rsidRPr="00255EC0">
        <w:t>exceeded. This continued the improved output</w:t>
      </w:r>
      <w:r w:rsidR="00981EFF">
        <w:t xml:space="preserve"> </w:t>
      </w:r>
      <w:r w:rsidRPr="00255EC0">
        <w:t>trend from the past several years, and for regional</w:t>
      </w:r>
      <w:r w:rsidR="00981EFF">
        <w:t xml:space="preserve"> </w:t>
      </w:r>
      <w:r w:rsidRPr="00255EC0">
        <w:t>Victoria to have the highest performing economy</w:t>
      </w:r>
      <w:r w:rsidR="00981EFF">
        <w:t xml:space="preserve"> </w:t>
      </w:r>
      <w:r w:rsidRPr="00255EC0">
        <w:t>in rural Australia.</w:t>
      </w:r>
    </w:p>
    <w:p w14:paraId="5C6988DD" w14:textId="5779E320" w:rsidR="00255EC0" w:rsidRPr="00255EC0" w:rsidRDefault="00255EC0" w:rsidP="00981EFF">
      <w:pPr>
        <w:pStyle w:val="Body"/>
      </w:pPr>
      <w:proofErr w:type="spellStart"/>
      <w:r w:rsidRPr="00255EC0">
        <w:t>RDV’s</w:t>
      </w:r>
      <w:proofErr w:type="spellEnd"/>
      <w:r w:rsidRPr="00255EC0">
        <w:t xml:space="preserve"> approach to regional development</w:t>
      </w:r>
      <w:r w:rsidR="00981EFF">
        <w:t xml:space="preserve"> </w:t>
      </w:r>
      <w:r w:rsidRPr="00255EC0">
        <w:t>recognised that policy solutions and programs</w:t>
      </w:r>
      <w:r w:rsidR="00981EFF">
        <w:t xml:space="preserve"> </w:t>
      </w:r>
      <w:r w:rsidRPr="00255EC0">
        <w:t>in regional and rural areas need to be bespoke</w:t>
      </w:r>
      <w:r w:rsidR="00981EFF">
        <w:t xml:space="preserve"> </w:t>
      </w:r>
      <w:r w:rsidRPr="00255EC0">
        <w:t>and involve real consultation with local</w:t>
      </w:r>
      <w:r w:rsidR="00981EFF">
        <w:t xml:space="preserve"> </w:t>
      </w:r>
      <w:r w:rsidRPr="00255EC0">
        <w:t>communities. With its network of offices across</w:t>
      </w:r>
      <w:r w:rsidR="00981EFF">
        <w:t xml:space="preserve"> </w:t>
      </w:r>
      <w:r w:rsidRPr="00255EC0">
        <w:t xml:space="preserve">the state and through a range of funding mechanisms, </w:t>
      </w:r>
      <w:proofErr w:type="spellStart"/>
      <w:r w:rsidRPr="00255EC0">
        <w:t>RDV</w:t>
      </w:r>
      <w:proofErr w:type="spellEnd"/>
      <w:r w:rsidRPr="00255EC0">
        <w:t xml:space="preserve"> was able to target programs</w:t>
      </w:r>
      <w:r w:rsidR="00981EFF">
        <w:t xml:space="preserve"> </w:t>
      </w:r>
      <w:r w:rsidRPr="00255EC0">
        <w:t>and policies to the needs of particular</w:t>
      </w:r>
      <w:r w:rsidR="00981EFF">
        <w:t xml:space="preserve"> </w:t>
      </w:r>
      <w:r w:rsidRPr="00255EC0">
        <w:t>communities – to grow regional economies</w:t>
      </w:r>
      <w:r w:rsidR="00981EFF">
        <w:t xml:space="preserve"> </w:t>
      </w:r>
      <w:r w:rsidRPr="00255EC0">
        <w:t>while, at the same time, enhance the liveability</w:t>
      </w:r>
      <w:r w:rsidR="00981EFF">
        <w:t xml:space="preserve"> </w:t>
      </w:r>
      <w:r w:rsidRPr="00255EC0">
        <w:t>and the community spirit that underpins</w:t>
      </w:r>
      <w:r w:rsidR="00981EFF">
        <w:t xml:space="preserve"> </w:t>
      </w:r>
      <w:r w:rsidRPr="00255EC0">
        <w:t xml:space="preserve">country life. </w:t>
      </w:r>
    </w:p>
    <w:p w14:paraId="3FE96580" w14:textId="0139324B" w:rsidR="00255EC0" w:rsidRPr="00255EC0" w:rsidRDefault="00255EC0" w:rsidP="00981EFF">
      <w:pPr>
        <w:pStyle w:val="Body"/>
      </w:pPr>
      <w:proofErr w:type="spellStart"/>
      <w:r w:rsidRPr="00255EC0">
        <w:t>RDV</w:t>
      </w:r>
      <w:proofErr w:type="spellEnd"/>
      <w:r w:rsidRPr="00255EC0">
        <w:t xml:space="preserve"> supported 148 economic and service delivery projects, securing $840 million new investments in regional Victoria, generating $56 million in export sales for regional businesses, that facilitated the creation of 1215 jobs. In the annual Regional Wellbeing survey, </w:t>
      </w:r>
      <w:proofErr w:type="spellStart"/>
      <w:r w:rsidRPr="00255EC0">
        <w:t>RDV</w:t>
      </w:r>
      <w:proofErr w:type="spellEnd"/>
      <w:r w:rsidRPr="00255EC0">
        <w:t xml:space="preserve"> achieved a rating of 100 per cent for participant satisfaction with the implementation of </w:t>
      </w:r>
      <w:proofErr w:type="spellStart"/>
      <w:r w:rsidRPr="00255EC0">
        <w:t>RDV</w:t>
      </w:r>
      <w:proofErr w:type="spellEnd"/>
      <w:r w:rsidRPr="00255EC0">
        <w:t xml:space="preserve"> programs. Areas of improvement cited in the survey results included</w:t>
      </w:r>
      <w:r w:rsidR="00981EFF">
        <w:t xml:space="preserve"> </w:t>
      </w:r>
      <w:r w:rsidRPr="00255EC0">
        <w:t xml:space="preserve">the clarity of the information provided regarding </w:t>
      </w:r>
      <w:proofErr w:type="spellStart"/>
      <w:r w:rsidRPr="00255EC0">
        <w:t>RDV’s</w:t>
      </w:r>
      <w:proofErr w:type="spellEnd"/>
      <w:r w:rsidRPr="00255EC0">
        <w:t xml:space="preserve"> grant program, the support provided</w:t>
      </w:r>
      <w:r w:rsidR="00981EFF">
        <w:t xml:space="preserve"> </w:t>
      </w:r>
      <w:r w:rsidRPr="00255EC0">
        <w:t>to participants during the application stage,</w:t>
      </w:r>
      <w:r w:rsidR="00981EFF">
        <w:t xml:space="preserve"> </w:t>
      </w:r>
      <w:r w:rsidRPr="00255EC0">
        <w:t>and the communication with participants</w:t>
      </w:r>
      <w:r w:rsidR="00981EFF">
        <w:t xml:space="preserve"> </w:t>
      </w:r>
      <w:r w:rsidRPr="00255EC0">
        <w:t>regarding application decisions.</w:t>
      </w:r>
    </w:p>
    <w:p w14:paraId="77E7C1E1" w14:textId="77777777" w:rsidR="00255EC0" w:rsidRPr="00255EC0" w:rsidRDefault="00255EC0" w:rsidP="00981EFF">
      <w:pPr>
        <w:pStyle w:val="Body"/>
      </w:pPr>
      <w:r w:rsidRPr="00255EC0">
        <w:t>Investment in Regional Partnerships Priority Projects continued in 2019–20. Projects included Falls to Hotham Iconic Walk, Murray River Adventure Trail, and Driving Gippsland’s Food and Fibre Agenda.</w:t>
      </w:r>
    </w:p>
    <w:p w14:paraId="1105C18A" w14:textId="507B3860" w:rsidR="00255EC0" w:rsidRPr="00255EC0" w:rsidRDefault="00255EC0" w:rsidP="00981EFF">
      <w:pPr>
        <w:pStyle w:val="Body"/>
      </w:pPr>
      <w:proofErr w:type="spellStart"/>
      <w:r w:rsidRPr="00255EC0">
        <w:t>RDV</w:t>
      </w:r>
      <w:proofErr w:type="spellEnd"/>
      <w:r w:rsidRPr="00255EC0">
        <w:t xml:space="preserve"> supported delivery of a considerable</w:t>
      </w:r>
      <w:r w:rsidR="00981EFF">
        <w:t xml:space="preserve"> </w:t>
      </w:r>
      <w:r w:rsidRPr="00255EC0">
        <w:t>number of projects through the Regional Jobs</w:t>
      </w:r>
      <w:r w:rsidR="00981EFF">
        <w:t xml:space="preserve"> </w:t>
      </w:r>
      <w:r w:rsidRPr="00255EC0">
        <w:t>and Infrastructure Fund in 2019–20. This consisted</w:t>
      </w:r>
      <w:r w:rsidR="00981EFF">
        <w:t xml:space="preserve"> </w:t>
      </w:r>
      <w:r w:rsidRPr="00255EC0">
        <w:t>of 33 projects funded through the Regional Infrastructure Fund, 29 funded through the Stronger Regional Communities Program, 46 funded through the Regional Jobs Fund and three via Special Development Projects.</w:t>
      </w:r>
    </w:p>
    <w:p w14:paraId="24DE74B8" w14:textId="039F549B" w:rsidR="00255EC0" w:rsidRPr="00255EC0" w:rsidRDefault="00255EC0" w:rsidP="00981EFF">
      <w:pPr>
        <w:pStyle w:val="Body"/>
      </w:pPr>
      <w:r w:rsidRPr="00255EC0">
        <w:t xml:space="preserve">Throughout 2019–20, </w:t>
      </w:r>
      <w:proofErr w:type="spellStart"/>
      <w:r w:rsidRPr="00255EC0">
        <w:t>RDV</w:t>
      </w:r>
      <w:proofErr w:type="spellEnd"/>
      <w:r w:rsidRPr="00255EC0">
        <w:t xml:space="preserve"> continued to facilitate</w:t>
      </w:r>
      <w:r w:rsidR="00981EFF">
        <w:t xml:space="preserve"> </w:t>
      </w:r>
      <w:r w:rsidRPr="00255EC0">
        <w:t xml:space="preserve">and develop the Ballarat </w:t>
      </w:r>
      <w:proofErr w:type="spellStart"/>
      <w:r w:rsidRPr="00255EC0">
        <w:t>GovHub</w:t>
      </w:r>
      <w:proofErr w:type="spellEnd"/>
      <w:r w:rsidRPr="00255EC0">
        <w:t>, breaking</w:t>
      </w:r>
      <w:r w:rsidR="00981EFF">
        <w:t xml:space="preserve"> </w:t>
      </w:r>
      <w:r w:rsidRPr="00255EC0">
        <w:t>ground in early 2019 with site excavation</w:t>
      </w:r>
      <w:r w:rsidR="00981EFF">
        <w:t xml:space="preserve"> </w:t>
      </w:r>
      <w:r w:rsidRPr="00255EC0">
        <w:t>completed and construction commencing.</w:t>
      </w:r>
      <w:r w:rsidR="00981EFF">
        <w:t xml:space="preserve"> </w:t>
      </w:r>
      <w:proofErr w:type="spellStart"/>
      <w:r w:rsidRPr="00255EC0">
        <w:t>RDV</w:t>
      </w:r>
      <w:proofErr w:type="spellEnd"/>
      <w:r w:rsidRPr="00255EC0">
        <w:t xml:space="preserve"> continued to work closely with Development Victoria and the Department of Treasury and Finance, along with a range of stakeholders,</w:t>
      </w:r>
      <w:r w:rsidR="00981EFF">
        <w:t xml:space="preserve"> </w:t>
      </w:r>
      <w:r w:rsidRPr="00255EC0">
        <w:t>to support the transition of government tenants</w:t>
      </w:r>
      <w:r w:rsidR="00981EFF">
        <w:t xml:space="preserve"> </w:t>
      </w:r>
      <w:r w:rsidRPr="00255EC0">
        <w:t xml:space="preserve">into the Ballarat </w:t>
      </w:r>
      <w:proofErr w:type="spellStart"/>
      <w:r w:rsidRPr="00255EC0">
        <w:t>GovHub</w:t>
      </w:r>
      <w:proofErr w:type="spellEnd"/>
      <w:r w:rsidRPr="00255EC0">
        <w:t xml:space="preserve"> (due 2021) including</w:t>
      </w:r>
      <w:r w:rsidR="00981EFF">
        <w:t xml:space="preserve"> </w:t>
      </w:r>
      <w:r w:rsidRPr="00255EC0">
        <w:t>600 new and relocated positions.</w:t>
      </w:r>
    </w:p>
    <w:p w14:paraId="321487CB" w14:textId="5A6B8B00" w:rsidR="00255EC0" w:rsidRPr="00255EC0" w:rsidRDefault="00255EC0" w:rsidP="00981EFF">
      <w:pPr>
        <w:pStyle w:val="Body"/>
      </w:pPr>
      <w:r w:rsidRPr="00255EC0">
        <w:t xml:space="preserve">Construction of the Latrobe Valley </w:t>
      </w:r>
      <w:proofErr w:type="spellStart"/>
      <w:r w:rsidRPr="00255EC0">
        <w:t>GovHub</w:t>
      </w:r>
      <w:proofErr w:type="spellEnd"/>
      <w:r w:rsidR="00981EFF">
        <w:t xml:space="preserve"> </w:t>
      </w:r>
      <w:r w:rsidRPr="00255EC0">
        <w:t>is underway with completion expected ahead</w:t>
      </w:r>
      <w:r w:rsidR="00981EFF">
        <w:t xml:space="preserve"> </w:t>
      </w:r>
      <w:r w:rsidRPr="00255EC0">
        <w:t>of schedule in October 2020. The project</w:t>
      </w:r>
      <w:r w:rsidR="00981EFF">
        <w:t xml:space="preserve"> </w:t>
      </w:r>
      <w:r w:rsidRPr="00255EC0">
        <w:t>is a three-storey regional employment hub</w:t>
      </w:r>
      <w:r w:rsidR="00981EFF">
        <w:t xml:space="preserve"> </w:t>
      </w:r>
      <w:r w:rsidRPr="00255EC0">
        <w:t>that will support economic growth, the creation of jobs and driving the industries of the future. This commitment forms part of the government’s response to transitioning the Latrobe Valley</w:t>
      </w:r>
      <w:r w:rsidR="00981EFF">
        <w:t xml:space="preserve"> </w:t>
      </w:r>
      <w:r w:rsidRPr="00255EC0">
        <w:t>(after the closure of Hazelwood Power Station</w:t>
      </w:r>
      <w:r w:rsidR="00981EFF">
        <w:t xml:space="preserve"> </w:t>
      </w:r>
      <w:r w:rsidRPr="00255EC0">
        <w:t>and Mine) and delivers on the government’s</w:t>
      </w:r>
      <w:r w:rsidR="00981EFF">
        <w:t xml:space="preserve"> </w:t>
      </w:r>
      <w:r w:rsidRPr="00255EC0">
        <w:t>policy to strengthen and grow regional</w:t>
      </w:r>
      <w:r w:rsidR="00981EFF">
        <w:t xml:space="preserve"> </w:t>
      </w:r>
      <w:r w:rsidRPr="00255EC0">
        <w:t xml:space="preserve">economies. The Latrobe </w:t>
      </w:r>
      <w:proofErr w:type="spellStart"/>
      <w:r w:rsidRPr="00255EC0">
        <w:t>GovHub</w:t>
      </w:r>
      <w:proofErr w:type="spellEnd"/>
      <w:r w:rsidRPr="00255EC0">
        <w:t xml:space="preserve"> is expected</w:t>
      </w:r>
      <w:r w:rsidR="00981EFF">
        <w:t xml:space="preserve"> </w:t>
      </w:r>
      <w:r w:rsidRPr="00255EC0">
        <w:t>to bring an additional 300 jobs to the CBD</w:t>
      </w:r>
      <w:r w:rsidR="00981EFF">
        <w:t xml:space="preserve"> </w:t>
      </w:r>
      <w:r w:rsidRPr="00255EC0">
        <w:t xml:space="preserve">of Morwell and has employed up to 100 people during construction. Forty-one local contractors have been hired, accounting for 71 per cent local engagement. Discussions have been held with Traditional Landowners, </w:t>
      </w:r>
      <w:proofErr w:type="spellStart"/>
      <w:r w:rsidRPr="00255EC0">
        <w:t>Gunaikurnai</w:t>
      </w:r>
      <w:proofErr w:type="spellEnd"/>
      <w:r w:rsidRPr="00255EC0">
        <w:t xml:space="preserve"> Land and Waters Aboriginal Corporation regarding the installation of art works completed by local Aboriginal artists and Aboriginal students</w:t>
      </w:r>
      <w:r w:rsidR="00981EFF">
        <w:t xml:space="preserve"> </w:t>
      </w:r>
      <w:r w:rsidRPr="00255EC0">
        <w:t>at TAFE Gippsland, interpretive panels,</w:t>
      </w:r>
      <w:r w:rsidR="00981EFF">
        <w:t xml:space="preserve"> </w:t>
      </w:r>
      <w:r w:rsidRPr="00255EC0">
        <w:t>a welcome to country and smoking ceremony</w:t>
      </w:r>
      <w:r w:rsidR="00981EFF">
        <w:t xml:space="preserve"> </w:t>
      </w:r>
      <w:r w:rsidRPr="00255EC0">
        <w:t>for the buildings’ opening.</w:t>
      </w:r>
    </w:p>
    <w:p w14:paraId="58AA39E1" w14:textId="1A126C05" w:rsidR="00255EC0" w:rsidRPr="00255EC0" w:rsidRDefault="00255EC0" w:rsidP="00981EFF">
      <w:pPr>
        <w:pStyle w:val="Body"/>
      </w:pPr>
      <w:r w:rsidRPr="00255EC0">
        <w:lastRenderedPageBreak/>
        <w:t>In March 2020, the government signed</w:t>
      </w:r>
      <w:r w:rsidR="00981EFF">
        <w:t xml:space="preserve"> </w:t>
      </w:r>
      <w:r w:rsidRPr="00255EC0">
        <w:t>a Project Agreement for the Geelong City Deal;</w:t>
      </w:r>
      <w:r w:rsidR="00981EFF">
        <w:t xml:space="preserve"> </w:t>
      </w:r>
      <w:r w:rsidRPr="00255EC0">
        <w:t>a 10-year plan to revitalise Geelong and unlock</w:t>
      </w:r>
      <w:r w:rsidR="00981EFF">
        <w:t xml:space="preserve"> </w:t>
      </w:r>
      <w:r w:rsidRPr="00255EC0">
        <w:t>the potential of the Great Ocean Road economy.</w:t>
      </w:r>
      <w:r w:rsidR="00981EFF">
        <w:t xml:space="preserve"> </w:t>
      </w:r>
      <w:r w:rsidRPr="00255EC0">
        <w:t>The Australian Government, Victorian Government and City of Greater Geelong will deliver $370 million</w:t>
      </w:r>
      <w:r w:rsidR="00981EFF">
        <w:t xml:space="preserve"> </w:t>
      </w:r>
      <w:r w:rsidRPr="00255EC0">
        <w:t>in government investment to the region.</w:t>
      </w:r>
      <w:r w:rsidR="00981EFF">
        <w:t xml:space="preserve"> </w:t>
      </w:r>
      <w:r w:rsidRPr="00255EC0">
        <w:t>This investment will support Geelong’s continued</w:t>
      </w:r>
      <w:r w:rsidR="00981EFF">
        <w:t xml:space="preserve"> </w:t>
      </w:r>
      <w:r w:rsidRPr="00255EC0">
        <w:t>economic diversification, growth of the visitor</w:t>
      </w:r>
      <w:r w:rsidR="00981EFF">
        <w:t xml:space="preserve"> </w:t>
      </w:r>
      <w:r w:rsidRPr="00255EC0">
        <w:t>economy and a thriving city centre. It is estimated</w:t>
      </w:r>
      <w:r w:rsidR="00981EFF">
        <w:t xml:space="preserve"> </w:t>
      </w:r>
      <w:r w:rsidRPr="00255EC0">
        <w:t>implementation of the projects under The City Deal will create up to 1000 jobs.</w:t>
      </w:r>
    </w:p>
    <w:p w14:paraId="399F3BC7" w14:textId="196CB693" w:rsidR="00255EC0" w:rsidRPr="00255EC0" w:rsidRDefault="00255EC0" w:rsidP="00981EFF">
      <w:pPr>
        <w:pStyle w:val="Body"/>
      </w:pPr>
      <w:r w:rsidRPr="00255EC0">
        <w:t>The second half of the financial year saw major challenges across rural and regional Victoria.</w:t>
      </w:r>
      <w:r w:rsidR="00981EFF">
        <w:t xml:space="preserve"> </w:t>
      </w:r>
      <w:r w:rsidRPr="00255EC0">
        <w:t xml:space="preserve">The ‘black </w:t>
      </w:r>
      <w:proofErr w:type="gramStart"/>
      <w:r w:rsidRPr="00255EC0">
        <w:t>summer‘ bushfires</w:t>
      </w:r>
      <w:proofErr w:type="gramEnd"/>
      <w:r w:rsidRPr="00255EC0">
        <w:t xml:space="preserve"> of December 2019</w:t>
      </w:r>
      <w:r w:rsidR="00981EFF">
        <w:t xml:space="preserve"> </w:t>
      </w:r>
      <w:r w:rsidRPr="00255EC0">
        <w:t>and January 2020 had a significant and negative impact on tourism and business. This was predominantly felt in the Hume and Gippsland regions. These regions then faced additional hardship from the coronavirus (COVID-19)</w:t>
      </w:r>
      <w:r w:rsidR="00981EFF">
        <w:t xml:space="preserve"> </w:t>
      </w:r>
      <w:r w:rsidRPr="00255EC0">
        <w:t>pandemic resulting in substantial revenue loss</w:t>
      </w:r>
      <w:r w:rsidR="00981EFF">
        <w:t xml:space="preserve"> </w:t>
      </w:r>
      <w:r w:rsidRPr="00255EC0">
        <w:t xml:space="preserve">and redundancies across the region. </w:t>
      </w:r>
      <w:proofErr w:type="spellStart"/>
      <w:r w:rsidRPr="00255EC0">
        <w:t>RDV</w:t>
      </w:r>
      <w:proofErr w:type="spellEnd"/>
      <w:r w:rsidRPr="00255EC0">
        <w:t xml:space="preserve"> worked closely with major businesses to understand</w:t>
      </w:r>
      <w:r w:rsidR="00981EFF">
        <w:t xml:space="preserve"> </w:t>
      </w:r>
      <w:r w:rsidRPr="00255EC0">
        <w:t>the output impact of coronavirus (COVID-19),</w:t>
      </w:r>
      <w:r w:rsidR="00981EFF">
        <w:t xml:space="preserve"> </w:t>
      </w:r>
      <w:r w:rsidRPr="00255EC0">
        <w:t>and its resulting challenges and opportunities. Continued support will include continuous business</w:t>
      </w:r>
      <w:r w:rsidR="00981EFF">
        <w:t xml:space="preserve"> </w:t>
      </w:r>
      <w:r w:rsidRPr="00255EC0">
        <w:t>health check calls, and the Working for Victoria</w:t>
      </w:r>
      <w:r w:rsidR="00981EFF">
        <w:t xml:space="preserve"> </w:t>
      </w:r>
      <w:r w:rsidRPr="00255EC0">
        <w:t>initiative matching redundant workers with</w:t>
      </w:r>
      <w:r w:rsidR="00981EFF">
        <w:t xml:space="preserve"> </w:t>
      </w:r>
      <w:r w:rsidRPr="00255EC0">
        <w:t>available roles.</w:t>
      </w:r>
    </w:p>
    <w:p w14:paraId="04C57E41" w14:textId="77777777" w:rsidR="00F52BDB" w:rsidRDefault="00F52BDB">
      <w:pPr>
        <w:rPr>
          <w:rFonts w:ascii="Arial" w:hAnsi="Arial" w:cs="Arial"/>
          <w:b/>
          <w:bCs/>
          <w:spacing w:val="-1"/>
          <w:sz w:val="24"/>
          <w:szCs w:val="24"/>
          <w:lang w:val="en-GB"/>
        </w:rPr>
      </w:pPr>
      <w:r>
        <w:br w:type="page"/>
      </w:r>
    </w:p>
    <w:p w14:paraId="1F2D8A5B" w14:textId="4075DDA9" w:rsidR="00255EC0" w:rsidRPr="00255EC0" w:rsidRDefault="00255EC0" w:rsidP="00C46C26">
      <w:pPr>
        <w:pStyle w:val="Heading4"/>
      </w:pPr>
      <w:r w:rsidRPr="00255EC0">
        <w:lastRenderedPageBreak/>
        <w:t>Performance against output performance measures</w:t>
      </w:r>
    </w:p>
    <w:p w14:paraId="31218739" w14:textId="043F0348" w:rsidR="00255EC0" w:rsidRPr="00255EC0" w:rsidRDefault="00255EC0" w:rsidP="00C46C26">
      <w:pPr>
        <w:pStyle w:val="Body"/>
      </w:pPr>
      <w:r w:rsidRPr="00255EC0">
        <w:t>Table 10 represents performance against the Priority Precincts and Suburban Development output.</w:t>
      </w:r>
      <w:r w:rsidR="00C46C26">
        <w:t xml:space="preserve"> </w:t>
      </w:r>
      <w:r w:rsidRPr="00255EC0">
        <w:t xml:space="preserve">This output delivers activities to build vibrant and prosperous precincts and suburbs that drive economic growth and opportunities. The department works with government, </w:t>
      </w:r>
      <w:proofErr w:type="gramStart"/>
      <w:r w:rsidRPr="00255EC0">
        <w:t>industry</w:t>
      </w:r>
      <w:proofErr w:type="gramEnd"/>
      <w:r w:rsidRPr="00255EC0">
        <w:t xml:space="preserve"> and community stakeholders to identify opportunities for the development and delivery of initiatives to strengthen Melbourne’s economy, create jobs and improve suburban liveability. The department works collaboratively to support Victoria’s priority precincts and develop Melbourne’s suburbs through the six Metropolitan Partnerships.</w:t>
      </w:r>
    </w:p>
    <w:p w14:paraId="6E4D5817" w14:textId="77777777" w:rsidR="00255EC0" w:rsidRPr="00255EC0" w:rsidRDefault="00255EC0" w:rsidP="00C46C26">
      <w:pPr>
        <w:pStyle w:val="Heading5"/>
      </w:pPr>
      <w:r w:rsidRPr="00255EC0">
        <w:t>Table 10: Output – Priority Precincts and Suburban Development</w:t>
      </w:r>
    </w:p>
    <w:tbl>
      <w:tblPr>
        <w:tblStyle w:val="TableGrid"/>
        <w:tblW w:w="0" w:type="auto"/>
        <w:tblLayout w:type="fixed"/>
        <w:tblLook w:val="0020" w:firstRow="1" w:lastRow="0" w:firstColumn="0" w:lastColumn="0" w:noHBand="0" w:noVBand="0"/>
      </w:tblPr>
      <w:tblGrid>
        <w:gridCol w:w="4660"/>
        <w:gridCol w:w="964"/>
        <w:gridCol w:w="964"/>
        <w:gridCol w:w="963"/>
        <w:gridCol w:w="1304"/>
        <w:gridCol w:w="783"/>
      </w:tblGrid>
      <w:tr w:rsidR="00255EC0" w:rsidRPr="00C46C26" w14:paraId="6E38D341" w14:textId="77777777" w:rsidTr="00E8460A">
        <w:trPr>
          <w:trHeight w:val="525"/>
        </w:trPr>
        <w:tc>
          <w:tcPr>
            <w:tcW w:w="4660" w:type="dxa"/>
          </w:tcPr>
          <w:p w14:paraId="28396803" w14:textId="77777777" w:rsidR="00255EC0" w:rsidRPr="00C46C26" w:rsidRDefault="00255EC0" w:rsidP="00F52BDB">
            <w:pPr>
              <w:pStyle w:val="TableColumnheading"/>
              <w:spacing w:before="40" w:after="40"/>
              <w:rPr>
                <w:sz w:val="20"/>
              </w:rPr>
            </w:pPr>
            <w:r w:rsidRPr="00C46C26">
              <w:rPr>
                <w:sz w:val="20"/>
              </w:rPr>
              <w:t xml:space="preserve">Performance measures </w:t>
            </w:r>
          </w:p>
        </w:tc>
        <w:tc>
          <w:tcPr>
            <w:tcW w:w="964" w:type="dxa"/>
          </w:tcPr>
          <w:p w14:paraId="3D580618" w14:textId="77777777" w:rsidR="00255EC0" w:rsidRPr="00C46C26" w:rsidRDefault="00255EC0" w:rsidP="00F52BDB">
            <w:pPr>
              <w:pStyle w:val="TableColumnheading"/>
              <w:spacing w:before="40" w:after="40"/>
              <w:jc w:val="right"/>
              <w:rPr>
                <w:sz w:val="20"/>
              </w:rPr>
            </w:pPr>
            <w:r w:rsidRPr="00C46C26">
              <w:rPr>
                <w:sz w:val="20"/>
              </w:rPr>
              <w:t>Unit of measure</w:t>
            </w:r>
          </w:p>
        </w:tc>
        <w:tc>
          <w:tcPr>
            <w:tcW w:w="964" w:type="dxa"/>
          </w:tcPr>
          <w:p w14:paraId="74EE99BD" w14:textId="77777777" w:rsidR="00255EC0" w:rsidRPr="00C46C26" w:rsidRDefault="00255EC0" w:rsidP="00F52BDB">
            <w:pPr>
              <w:pStyle w:val="TableColumnheading"/>
              <w:spacing w:before="40" w:after="40"/>
              <w:jc w:val="right"/>
              <w:rPr>
                <w:sz w:val="20"/>
              </w:rPr>
            </w:pPr>
            <w:r w:rsidRPr="00C46C26">
              <w:rPr>
                <w:sz w:val="20"/>
              </w:rPr>
              <w:t>2019–20 actual</w:t>
            </w:r>
          </w:p>
        </w:tc>
        <w:tc>
          <w:tcPr>
            <w:tcW w:w="963" w:type="dxa"/>
          </w:tcPr>
          <w:p w14:paraId="008CCB65" w14:textId="77777777" w:rsidR="00255EC0" w:rsidRPr="00C46C26" w:rsidRDefault="00255EC0" w:rsidP="00F52BDB">
            <w:pPr>
              <w:pStyle w:val="TableColumnheading"/>
              <w:spacing w:before="40" w:after="40"/>
              <w:jc w:val="right"/>
              <w:rPr>
                <w:sz w:val="20"/>
              </w:rPr>
            </w:pPr>
            <w:r w:rsidRPr="00C46C26">
              <w:rPr>
                <w:sz w:val="20"/>
              </w:rPr>
              <w:t>2019–20 target</w:t>
            </w:r>
          </w:p>
        </w:tc>
        <w:tc>
          <w:tcPr>
            <w:tcW w:w="1304" w:type="dxa"/>
          </w:tcPr>
          <w:p w14:paraId="34638C2D" w14:textId="77777777" w:rsidR="00255EC0" w:rsidRPr="00C46C26" w:rsidRDefault="00255EC0" w:rsidP="00F52BDB">
            <w:pPr>
              <w:pStyle w:val="TableColumnheading"/>
              <w:spacing w:before="40" w:after="40"/>
              <w:jc w:val="right"/>
              <w:rPr>
                <w:sz w:val="20"/>
              </w:rPr>
            </w:pPr>
            <w:r w:rsidRPr="00C46C26">
              <w:rPr>
                <w:sz w:val="20"/>
              </w:rPr>
              <w:t xml:space="preserve">Performance variation (%) </w:t>
            </w:r>
          </w:p>
        </w:tc>
        <w:tc>
          <w:tcPr>
            <w:tcW w:w="783" w:type="dxa"/>
          </w:tcPr>
          <w:p w14:paraId="6A0573D0" w14:textId="77777777" w:rsidR="00255EC0" w:rsidRPr="00C46C26" w:rsidRDefault="00255EC0" w:rsidP="00F52BDB">
            <w:pPr>
              <w:pStyle w:val="TableColumnheading"/>
              <w:spacing w:before="40" w:after="40"/>
              <w:rPr>
                <w:sz w:val="20"/>
              </w:rPr>
            </w:pPr>
            <w:r w:rsidRPr="00C46C26">
              <w:rPr>
                <w:sz w:val="20"/>
              </w:rPr>
              <w:t xml:space="preserve">Result </w:t>
            </w:r>
          </w:p>
        </w:tc>
      </w:tr>
      <w:tr w:rsidR="00255EC0" w:rsidRPr="00F52BDB" w14:paraId="3D5A5DAD" w14:textId="77777777" w:rsidTr="00E8460A">
        <w:trPr>
          <w:trHeight w:val="113"/>
        </w:trPr>
        <w:tc>
          <w:tcPr>
            <w:tcW w:w="9638" w:type="dxa"/>
            <w:gridSpan w:val="6"/>
          </w:tcPr>
          <w:p w14:paraId="150D614C" w14:textId="77777777" w:rsidR="00255EC0" w:rsidRPr="00F52BDB" w:rsidRDefault="00255EC0" w:rsidP="00C46C26">
            <w:pPr>
              <w:pStyle w:val="Tabletextnospace"/>
              <w:rPr>
                <w:b/>
                <w:bCs/>
                <w:sz w:val="20"/>
                <w:szCs w:val="20"/>
              </w:rPr>
            </w:pPr>
            <w:r w:rsidRPr="00F52BDB">
              <w:rPr>
                <w:b/>
                <w:bCs/>
                <w:sz w:val="20"/>
                <w:szCs w:val="20"/>
              </w:rPr>
              <w:t>Quantity</w:t>
            </w:r>
          </w:p>
        </w:tc>
      </w:tr>
      <w:tr w:rsidR="00255EC0" w:rsidRPr="00C46C26" w14:paraId="5B28132F" w14:textId="77777777" w:rsidTr="00E8460A">
        <w:trPr>
          <w:trHeight w:val="113"/>
        </w:trPr>
        <w:tc>
          <w:tcPr>
            <w:tcW w:w="4660" w:type="dxa"/>
          </w:tcPr>
          <w:p w14:paraId="4EC8911C" w14:textId="77777777" w:rsidR="00255EC0" w:rsidRPr="00C46C26" w:rsidRDefault="00255EC0" w:rsidP="00C46C26">
            <w:pPr>
              <w:pStyle w:val="Tabletextnospace"/>
              <w:rPr>
                <w:sz w:val="20"/>
                <w:szCs w:val="20"/>
              </w:rPr>
            </w:pPr>
            <w:r w:rsidRPr="00C46C26">
              <w:rPr>
                <w:sz w:val="20"/>
                <w:szCs w:val="20"/>
              </w:rPr>
              <w:t>Annual assemblies held for Metropolitan Partnerships</w:t>
            </w:r>
          </w:p>
        </w:tc>
        <w:tc>
          <w:tcPr>
            <w:tcW w:w="964" w:type="dxa"/>
          </w:tcPr>
          <w:p w14:paraId="7F73C226" w14:textId="77777777" w:rsidR="00255EC0" w:rsidRPr="00C46C26" w:rsidRDefault="00255EC0" w:rsidP="00C46C26">
            <w:pPr>
              <w:pStyle w:val="Tabletextnospace"/>
              <w:jc w:val="right"/>
              <w:rPr>
                <w:sz w:val="20"/>
                <w:szCs w:val="20"/>
              </w:rPr>
            </w:pPr>
            <w:r w:rsidRPr="00C46C26">
              <w:rPr>
                <w:sz w:val="20"/>
                <w:szCs w:val="20"/>
              </w:rPr>
              <w:t>number</w:t>
            </w:r>
          </w:p>
        </w:tc>
        <w:tc>
          <w:tcPr>
            <w:tcW w:w="964" w:type="dxa"/>
          </w:tcPr>
          <w:p w14:paraId="16EC29FD" w14:textId="77777777" w:rsidR="00255EC0" w:rsidRPr="00C46C26" w:rsidRDefault="00255EC0" w:rsidP="00C46C26">
            <w:pPr>
              <w:pStyle w:val="Tabletextnospace"/>
              <w:jc w:val="right"/>
              <w:rPr>
                <w:sz w:val="20"/>
                <w:szCs w:val="20"/>
              </w:rPr>
            </w:pPr>
            <w:r w:rsidRPr="00C46C26">
              <w:rPr>
                <w:sz w:val="20"/>
                <w:szCs w:val="20"/>
              </w:rPr>
              <w:t>6</w:t>
            </w:r>
          </w:p>
        </w:tc>
        <w:tc>
          <w:tcPr>
            <w:tcW w:w="963" w:type="dxa"/>
          </w:tcPr>
          <w:p w14:paraId="7D137DE3" w14:textId="77777777" w:rsidR="00255EC0" w:rsidRPr="00C46C26" w:rsidRDefault="00255EC0" w:rsidP="00C46C26">
            <w:pPr>
              <w:pStyle w:val="Tabletextnospace"/>
              <w:jc w:val="right"/>
              <w:rPr>
                <w:sz w:val="20"/>
                <w:szCs w:val="20"/>
              </w:rPr>
            </w:pPr>
            <w:r w:rsidRPr="00C46C26">
              <w:rPr>
                <w:sz w:val="20"/>
                <w:szCs w:val="20"/>
              </w:rPr>
              <w:t>6</w:t>
            </w:r>
          </w:p>
        </w:tc>
        <w:tc>
          <w:tcPr>
            <w:tcW w:w="1304" w:type="dxa"/>
          </w:tcPr>
          <w:p w14:paraId="6FD16965" w14:textId="77777777" w:rsidR="00255EC0" w:rsidRPr="00C46C26" w:rsidRDefault="00255EC0" w:rsidP="00C46C26">
            <w:pPr>
              <w:pStyle w:val="Tabletextnospace"/>
              <w:jc w:val="right"/>
              <w:rPr>
                <w:sz w:val="20"/>
                <w:szCs w:val="20"/>
              </w:rPr>
            </w:pPr>
            <w:r w:rsidRPr="00C46C26">
              <w:rPr>
                <w:sz w:val="20"/>
                <w:szCs w:val="20"/>
              </w:rPr>
              <w:t>0.0%</w:t>
            </w:r>
          </w:p>
        </w:tc>
        <w:tc>
          <w:tcPr>
            <w:tcW w:w="783" w:type="dxa"/>
          </w:tcPr>
          <w:p w14:paraId="4FC53250"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C46C26" w14:paraId="29F05A98" w14:textId="77777777" w:rsidTr="00E8460A">
        <w:trPr>
          <w:trHeight w:val="113"/>
        </w:trPr>
        <w:tc>
          <w:tcPr>
            <w:tcW w:w="4660" w:type="dxa"/>
          </w:tcPr>
          <w:p w14:paraId="2B74D009" w14:textId="77777777" w:rsidR="00255EC0" w:rsidRPr="00C46C26" w:rsidRDefault="00255EC0" w:rsidP="00C46C26">
            <w:pPr>
              <w:pStyle w:val="Tabletextnospace"/>
              <w:rPr>
                <w:sz w:val="20"/>
                <w:szCs w:val="20"/>
              </w:rPr>
            </w:pPr>
            <w:r w:rsidRPr="00C46C26">
              <w:rPr>
                <w:sz w:val="20"/>
                <w:szCs w:val="20"/>
              </w:rPr>
              <w:t>Priority precincts in the design or delivery phase</w:t>
            </w:r>
          </w:p>
        </w:tc>
        <w:tc>
          <w:tcPr>
            <w:tcW w:w="964" w:type="dxa"/>
          </w:tcPr>
          <w:p w14:paraId="3B5DBA91" w14:textId="77777777" w:rsidR="00255EC0" w:rsidRPr="00C46C26" w:rsidRDefault="00255EC0" w:rsidP="00C46C26">
            <w:pPr>
              <w:pStyle w:val="Tabletextnospace"/>
              <w:jc w:val="right"/>
              <w:rPr>
                <w:sz w:val="20"/>
                <w:szCs w:val="20"/>
              </w:rPr>
            </w:pPr>
            <w:r w:rsidRPr="00C46C26">
              <w:rPr>
                <w:sz w:val="20"/>
                <w:szCs w:val="20"/>
              </w:rPr>
              <w:t>number</w:t>
            </w:r>
          </w:p>
        </w:tc>
        <w:tc>
          <w:tcPr>
            <w:tcW w:w="964" w:type="dxa"/>
          </w:tcPr>
          <w:p w14:paraId="15CB2997" w14:textId="77777777" w:rsidR="00255EC0" w:rsidRPr="00C46C26" w:rsidRDefault="00255EC0" w:rsidP="00C46C26">
            <w:pPr>
              <w:pStyle w:val="Tabletextnospace"/>
              <w:jc w:val="right"/>
              <w:rPr>
                <w:sz w:val="20"/>
                <w:szCs w:val="20"/>
              </w:rPr>
            </w:pPr>
            <w:r w:rsidRPr="00C46C26">
              <w:rPr>
                <w:sz w:val="20"/>
                <w:szCs w:val="20"/>
              </w:rPr>
              <w:t>8</w:t>
            </w:r>
          </w:p>
        </w:tc>
        <w:tc>
          <w:tcPr>
            <w:tcW w:w="963" w:type="dxa"/>
          </w:tcPr>
          <w:p w14:paraId="2E074253" w14:textId="77777777" w:rsidR="00255EC0" w:rsidRPr="00C46C26" w:rsidRDefault="00255EC0" w:rsidP="00C46C26">
            <w:pPr>
              <w:pStyle w:val="Tabletextnospace"/>
              <w:jc w:val="right"/>
              <w:rPr>
                <w:sz w:val="20"/>
                <w:szCs w:val="20"/>
              </w:rPr>
            </w:pPr>
            <w:r w:rsidRPr="00C46C26">
              <w:rPr>
                <w:sz w:val="20"/>
                <w:szCs w:val="20"/>
              </w:rPr>
              <w:t>8</w:t>
            </w:r>
          </w:p>
        </w:tc>
        <w:tc>
          <w:tcPr>
            <w:tcW w:w="1304" w:type="dxa"/>
          </w:tcPr>
          <w:p w14:paraId="67883408" w14:textId="77777777" w:rsidR="00255EC0" w:rsidRPr="00C46C26" w:rsidRDefault="00255EC0" w:rsidP="00C46C26">
            <w:pPr>
              <w:pStyle w:val="Tabletextnospace"/>
              <w:jc w:val="right"/>
              <w:rPr>
                <w:sz w:val="20"/>
                <w:szCs w:val="20"/>
              </w:rPr>
            </w:pPr>
            <w:r w:rsidRPr="00C46C26">
              <w:rPr>
                <w:sz w:val="20"/>
                <w:szCs w:val="20"/>
              </w:rPr>
              <w:t>0.0%</w:t>
            </w:r>
          </w:p>
        </w:tc>
        <w:tc>
          <w:tcPr>
            <w:tcW w:w="783" w:type="dxa"/>
          </w:tcPr>
          <w:p w14:paraId="6F40F47D"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C46C26" w14:paraId="468F3670" w14:textId="77777777" w:rsidTr="00E8460A">
        <w:trPr>
          <w:trHeight w:val="113"/>
        </w:trPr>
        <w:tc>
          <w:tcPr>
            <w:tcW w:w="4660" w:type="dxa"/>
          </w:tcPr>
          <w:p w14:paraId="04D04460" w14:textId="57456C99" w:rsidR="00255EC0" w:rsidRPr="00C46C26" w:rsidRDefault="00255EC0" w:rsidP="00C46C26">
            <w:pPr>
              <w:pStyle w:val="Tabletextnospace"/>
              <w:rPr>
                <w:sz w:val="20"/>
                <w:szCs w:val="20"/>
              </w:rPr>
            </w:pPr>
            <w:r w:rsidRPr="00C46C26">
              <w:rPr>
                <w:sz w:val="20"/>
                <w:szCs w:val="20"/>
              </w:rPr>
              <w:t>Projects in the planning or delivery phase to support</w:t>
            </w:r>
            <w:r w:rsidR="00C46C26">
              <w:rPr>
                <w:sz w:val="20"/>
                <w:szCs w:val="20"/>
              </w:rPr>
              <w:t xml:space="preserve"> </w:t>
            </w:r>
            <w:r w:rsidRPr="00C46C26">
              <w:rPr>
                <w:sz w:val="20"/>
                <w:szCs w:val="20"/>
              </w:rPr>
              <w:t>and facilitate the revitalisation of Broadmeadows</w:t>
            </w:r>
            <w:r w:rsidR="00C46C26">
              <w:rPr>
                <w:sz w:val="20"/>
                <w:szCs w:val="20"/>
              </w:rPr>
              <w:t xml:space="preserve"> </w:t>
            </w:r>
            <w:r w:rsidRPr="00C46C26">
              <w:rPr>
                <w:sz w:val="20"/>
                <w:szCs w:val="20"/>
              </w:rPr>
              <w:t>and Frankston</w:t>
            </w:r>
          </w:p>
        </w:tc>
        <w:tc>
          <w:tcPr>
            <w:tcW w:w="964" w:type="dxa"/>
          </w:tcPr>
          <w:p w14:paraId="44DBD178" w14:textId="77777777" w:rsidR="00255EC0" w:rsidRPr="00C46C26" w:rsidRDefault="00255EC0" w:rsidP="00C46C26">
            <w:pPr>
              <w:pStyle w:val="Tabletextnospace"/>
              <w:jc w:val="right"/>
              <w:rPr>
                <w:sz w:val="20"/>
                <w:szCs w:val="20"/>
              </w:rPr>
            </w:pPr>
            <w:r w:rsidRPr="00C46C26">
              <w:rPr>
                <w:sz w:val="20"/>
                <w:szCs w:val="20"/>
              </w:rPr>
              <w:t>number</w:t>
            </w:r>
          </w:p>
        </w:tc>
        <w:tc>
          <w:tcPr>
            <w:tcW w:w="964" w:type="dxa"/>
          </w:tcPr>
          <w:p w14:paraId="3FFFC415" w14:textId="77777777" w:rsidR="00255EC0" w:rsidRPr="00C46C26" w:rsidRDefault="00255EC0" w:rsidP="00C46C26">
            <w:pPr>
              <w:pStyle w:val="Tabletextnospace"/>
              <w:jc w:val="right"/>
              <w:rPr>
                <w:sz w:val="20"/>
                <w:szCs w:val="20"/>
              </w:rPr>
            </w:pPr>
            <w:r w:rsidRPr="00C46C26">
              <w:rPr>
                <w:sz w:val="20"/>
                <w:szCs w:val="20"/>
              </w:rPr>
              <w:t>6</w:t>
            </w:r>
          </w:p>
        </w:tc>
        <w:tc>
          <w:tcPr>
            <w:tcW w:w="963" w:type="dxa"/>
          </w:tcPr>
          <w:p w14:paraId="52122B26" w14:textId="77777777" w:rsidR="00255EC0" w:rsidRPr="00C46C26" w:rsidRDefault="00255EC0" w:rsidP="00C46C26">
            <w:pPr>
              <w:pStyle w:val="Tabletextnospace"/>
              <w:jc w:val="right"/>
              <w:rPr>
                <w:sz w:val="20"/>
                <w:szCs w:val="20"/>
              </w:rPr>
            </w:pPr>
            <w:r w:rsidRPr="00C46C26">
              <w:rPr>
                <w:sz w:val="20"/>
                <w:szCs w:val="20"/>
              </w:rPr>
              <w:t>6</w:t>
            </w:r>
          </w:p>
        </w:tc>
        <w:tc>
          <w:tcPr>
            <w:tcW w:w="1304" w:type="dxa"/>
          </w:tcPr>
          <w:p w14:paraId="1E0E42A0" w14:textId="77777777" w:rsidR="00255EC0" w:rsidRPr="00C46C26" w:rsidRDefault="00255EC0" w:rsidP="00C46C26">
            <w:pPr>
              <w:pStyle w:val="Tabletextnospace"/>
              <w:jc w:val="right"/>
              <w:rPr>
                <w:sz w:val="20"/>
                <w:szCs w:val="20"/>
              </w:rPr>
            </w:pPr>
            <w:r w:rsidRPr="00C46C26">
              <w:rPr>
                <w:sz w:val="20"/>
                <w:szCs w:val="20"/>
              </w:rPr>
              <w:t>0.0%</w:t>
            </w:r>
          </w:p>
        </w:tc>
        <w:tc>
          <w:tcPr>
            <w:tcW w:w="783" w:type="dxa"/>
          </w:tcPr>
          <w:p w14:paraId="241EA43B"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F52BDB" w14:paraId="453AB87C" w14:textId="77777777" w:rsidTr="00E8460A">
        <w:trPr>
          <w:trHeight w:val="113"/>
        </w:trPr>
        <w:tc>
          <w:tcPr>
            <w:tcW w:w="9638" w:type="dxa"/>
            <w:gridSpan w:val="6"/>
          </w:tcPr>
          <w:p w14:paraId="7F2839B4" w14:textId="77777777" w:rsidR="00255EC0" w:rsidRPr="00F52BDB" w:rsidRDefault="00255EC0" w:rsidP="00C46C26">
            <w:pPr>
              <w:pStyle w:val="Tabletextnospace"/>
              <w:rPr>
                <w:b/>
                <w:bCs/>
                <w:sz w:val="20"/>
                <w:szCs w:val="20"/>
              </w:rPr>
            </w:pPr>
            <w:r w:rsidRPr="00F52BDB">
              <w:rPr>
                <w:b/>
                <w:bCs/>
                <w:sz w:val="20"/>
                <w:szCs w:val="20"/>
              </w:rPr>
              <w:t>Quality</w:t>
            </w:r>
          </w:p>
        </w:tc>
      </w:tr>
      <w:tr w:rsidR="00255EC0" w:rsidRPr="00C46C26" w14:paraId="040D009F" w14:textId="77777777" w:rsidTr="00E8460A">
        <w:trPr>
          <w:trHeight w:val="113"/>
        </w:trPr>
        <w:tc>
          <w:tcPr>
            <w:tcW w:w="4660" w:type="dxa"/>
          </w:tcPr>
          <w:p w14:paraId="78C43DE4" w14:textId="77777777" w:rsidR="00255EC0" w:rsidRPr="00C46C26" w:rsidRDefault="00255EC0" w:rsidP="00C46C26">
            <w:pPr>
              <w:pStyle w:val="Tabletextnospace"/>
              <w:rPr>
                <w:sz w:val="20"/>
                <w:szCs w:val="20"/>
              </w:rPr>
            </w:pPr>
            <w:r w:rsidRPr="00C46C26">
              <w:rPr>
                <w:sz w:val="20"/>
                <w:szCs w:val="20"/>
              </w:rPr>
              <w:t>Integrated Precinct Plans in place for priority precincts</w:t>
            </w:r>
            <w:r w:rsidRPr="00C46C26">
              <w:rPr>
                <w:sz w:val="20"/>
                <w:szCs w:val="20"/>
              </w:rPr>
              <w:br/>
              <w:t>in the design or delivery phase</w:t>
            </w:r>
          </w:p>
        </w:tc>
        <w:tc>
          <w:tcPr>
            <w:tcW w:w="964" w:type="dxa"/>
          </w:tcPr>
          <w:p w14:paraId="1B8753A9" w14:textId="77777777" w:rsidR="00255EC0" w:rsidRPr="00C46C26" w:rsidRDefault="00255EC0" w:rsidP="00C46C26">
            <w:pPr>
              <w:pStyle w:val="Tabletextnospace"/>
              <w:jc w:val="right"/>
              <w:rPr>
                <w:sz w:val="20"/>
                <w:szCs w:val="20"/>
              </w:rPr>
            </w:pPr>
            <w:r w:rsidRPr="00C46C26">
              <w:rPr>
                <w:sz w:val="20"/>
                <w:szCs w:val="20"/>
              </w:rPr>
              <w:t>per cent</w:t>
            </w:r>
          </w:p>
        </w:tc>
        <w:tc>
          <w:tcPr>
            <w:tcW w:w="964" w:type="dxa"/>
          </w:tcPr>
          <w:p w14:paraId="31A12960" w14:textId="77777777" w:rsidR="00255EC0" w:rsidRPr="00C46C26" w:rsidRDefault="00255EC0" w:rsidP="00C46C26">
            <w:pPr>
              <w:pStyle w:val="Tabletextnospace"/>
              <w:jc w:val="right"/>
              <w:rPr>
                <w:sz w:val="20"/>
                <w:szCs w:val="20"/>
              </w:rPr>
            </w:pPr>
            <w:r w:rsidRPr="00C46C26">
              <w:rPr>
                <w:sz w:val="20"/>
                <w:szCs w:val="20"/>
              </w:rPr>
              <w:t>100</w:t>
            </w:r>
          </w:p>
        </w:tc>
        <w:tc>
          <w:tcPr>
            <w:tcW w:w="963" w:type="dxa"/>
          </w:tcPr>
          <w:p w14:paraId="0EBD1D72" w14:textId="77777777" w:rsidR="00255EC0" w:rsidRPr="00C46C26" w:rsidRDefault="00255EC0" w:rsidP="00C46C26">
            <w:pPr>
              <w:pStyle w:val="Tabletextnospace"/>
              <w:jc w:val="right"/>
              <w:rPr>
                <w:sz w:val="20"/>
                <w:szCs w:val="20"/>
              </w:rPr>
            </w:pPr>
            <w:r w:rsidRPr="00C46C26">
              <w:rPr>
                <w:sz w:val="20"/>
                <w:szCs w:val="20"/>
              </w:rPr>
              <w:t>90</w:t>
            </w:r>
          </w:p>
        </w:tc>
        <w:tc>
          <w:tcPr>
            <w:tcW w:w="1304" w:type="dxa"/>
          </w:tcPr>
          <w:p w14:paraId="081F6287" w14:textId="77777777" w:rsidR="00255EC0" w:rsidRPr="00C46C26" w:rsidRDefault="00255EC0" w:rsidP="00C46C26">
            <w:pPr>
              <w:pStyle w:val="Tabletextnospace"/>
              <w:jc w:val="right"/>
              <w:rPr>
                <w:sz w:val="20"/>
                <w:szCs w:val="20"/>
              </w:rPr>
            </w:pPr>
            <w:r w:rsidRPr="00C46C26">
              <w:rPr>
                <w:sz w:val="20"/>
                <w:szCs w:val="20"/>
              </w:rPr>
              <w:t>11.1%</w:t>
            </w:r>
          </w:p>
        </w:tc>
        <w:tc>
          <w:tcPr>
            <w:tcW w:w="783" w:type="dxa"/>
          </w:tcPr>
          <w:p w14:paraId="37138CCA"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F52BDB" w14:paraId="29D3A9C2" w14:textId="77777777" w:rsidTr="00E8460A">
        <w:trPr>
          <w:trHeight w:val="113"/>
        </w:trPr>
        <w:tc>
          <w:tcPr>
            <w:tcW w:w="9638" w:type="dxa"/>
            <w:gridSpan w:val="6"/>
          </w:tcPr>
          <w:p w14:paraId="01DD8212" w14:textId="1CE135DD" w:rsidR="00255EC0" w:rsidRPr="00F52BDB" w:rsidRDefault="00255EC0" w:rsidP="00C46C26">
            <w:pPr>
              <w:pStyle w:val="Tabletextnospace"/>
              <w:rPr>
                <w:i/>
                <w:iCs/>
                <w:sz w:val="20"/>
                <w:szCs w:val="20"/>
              </w:rPr>
            </w:pPr>
            <w:r w:rsidRPr="00F52BDB">
              <w:rPr>
                <w:i/>
                <w:iCs/>
                <w:sz w:val="20"/>
                <w:szCs w:val="20"/>
              </w:rPr>
              <w:t>Higher result due to integrated precinct plans being developed for all identified priority precincts in the 2019</w:t>
            </w:r>
            <w:r w:rsidR="00F52BDB">
              <w:rPr>
                <w:i/>
                <w:iCs/>
                <w:sz w:val="20"/>
                <w:szCs w:val="20"/>
              </w:rPr>
              <w:noBreakHyphen/>
            </w:r>
            <w:r w:rsidRPr="00F52BDB">
              <w:rPr>
                <w:i/>
                <w:iCs/>
                <w:sz w:val="20"/>
                <w:szCs w:val="20"/>
              </w:rPr>
              <w:t>20 financial year.</w:t>
            </w:r>
          </w:p>
        </w:tc>
      </w:tr>
      <w:tr w:rsidR="00255EC0" w:rsidRPr="00C46C26" w14:paraId="2D45962B" w14:textId="77777777" w:rsidTr="00E8460A">
        <w:trPr>
          <w:trHeight w:val="113"/>
        </w:trPr>
        <w:tc>
          <w:tcPr>
            <w:tcW w:w="4660" w:type="dxa"/>
          </w:tcPr>
          <w:p w14:paraId="38243A51" w14:textId="77777777" w:rsidR="00255EC0" w:rsidRPr="00C46C26" w:rsidRDefault="00255EC0" w:rsidP="00C46C26">
            <w:pPr>
              <w:pStyle w:val="Tabletextnospace"/>
              <w:rPr>
                <w:sz w:val="20"/>
                <w:szCs w:val="20"/>
              </w:rPr>
            </w:pPr>
            <w:r w:rsidRPr="00C46C26">
              <w:rPr>
                <w:sz w:val="20"/>
                <w:szCs w:val="20"/>
              </w:rPr>
              <w:t>Participants satisfied with their experience</w:t>
            </w:r>
            <w:r w:rsidRPr="00C46C26">
              <w:rPr>
                <w:sz w:val="20"/>
                <w:szCs w:val="20"/>
              </w:rPr>
              <w:br/>
              <w:t>of partnership assemblies</w:t>
            </w:r>
          </w:p>
        </w:tc>
        <w:tc>
          <w:tcPr>
            <w:tcW w:w="964" w:type="dxa"/>
          </w:tcPr>
          <w:p w14:paraId="60DE00CD" w14:textId="77777777" w:rsidR="00255EC0" w:rsidRPr="00C46C26" w:rsidRDefault="00255EC0" w:rsidP="00C46C26">
            <w:pPr>
              <w:pStyle w:val="Tabletextnospace"/>
              <w:jc w:val="right"/>
              <w:rPr>
                <w:sz w:val="20"/>
                <w:szCs w:val="20"/>
              </w:rPr>
            </w:pPr>
            <w:r w:rsidRPr="00C46C26">
              <w:rPr>
                <w:sz w:val="20"/>
                <w:szCs w:val="20"/>
              </w:rPr>
              <w:t>per cent</w:t>
            </w:r>
          </w:p>
        </w:tc>
        <w:tc>
          <w:tcPr>
            <w:tcW w:w="964" w:type="dxa"/>
          </w:tcPr>
          <w:p w14:paraId="3FD1AE56" w14:textId="77777777" w:rsidR="00255EC0" w:rsidRPr="00C46C26" w:rsidRDefault="00255EC0" w:rsidP="00C46C26">
            <w:pPr>
              <w:pStyle w:val="Tabletextnospace"/>
              <w:jc w:val="right"/>
              <w:rPr>
                <w:sz w:val="20"/>
                <w:szCs w:val="20"/>
              </w:rPr>
            </w:pPr>
            <w:r w:rsidRPr="00C46C26">
              <w:rPr>
                <w:sz w:val="20"/>
                <w:szCs w:val="20"/>
              </w:rPr>
              <w:t>91.5</w:t>
            </w:r>
          </w:p>
        </w:tc>
        <w:tc>
          <w:tcPr>
            <w:tcW w:w="963" w:type="dxa"/>
          </w:tcPr>
          <w:p w14:paraId="6A19E85D" w14:textId="77777777" w:rsidR="00255EC0" w:rsidRPr="00C46C26" w:rsidRDefault="00255EC0" w:rsidP="00C46C26">
            <w:pPr>
              <w:pStyle w:val="Tabletextnospace"/>
              <w:jc w:val="right"/>
              <w:rPr>
                <w:sz w:val="20"/>
                <w:szCs w:val="20"/>
              </w:rPr>
            </w:pPr>
            <w:r w:rsidRPr="00C46C26">
              <w:rPr>
                <w:sz w:val="20"/>
                <w:szCs w:val="20"/>
              </w:rPr>
              <w:t>80</w:t>
            </w:r>
          </w:p>
        </w:tc>
        <w:tc>
          <w:tcPr>
            <w:tcW w:w="1304" w:type="dxa"/>
          </w:tcPr>
          <w:p w14:paraId="7EF430CA" w14:textId="77777777" w:rsidR="00255EC0" w:rsidRPr="00C46C26" w:rsidRDefault="00255EC0" w:rsidP="00C46C26">
            <w:pPr>
              <w:pStyle w:val="Tabletextnospace"/>
              <w:jc w:val="right"/>
              <w:rPr>
                <w:sz w:val="20"/>
                <w:szCs w:val="20"/>
              </w:rPr>
            </w:pPr>
            <w:r w:rsidRPr="00C46C26">
              <w:rPr>
                <w:sz w:val="20"/>
                <w:szCs w:val="20"/>
              </w:rPr>
              <w:t>14.4%</w:t>
            </w:r>
          </w:p>
        </w:tc>
        <w:tc>
          <w:tcPr>
            <w:tcW w:w="783" w:type="dxa"/>
          </w:tcPr>
          <w:p w14:paraId="7900C2FE"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F52BDB" w14:paraId="1E9BBF7B" w14:textId="77777777" w:rsidTr="00E8460A">
        <w:trPr>
          <w:trHeight w:val="113"/>
        </w:trPr>
        <w:tc>
          <w:tcPr>
            <w:tcW w:w="9638" w:type="dxa"/>
            <w:gridSpan w:val="6"/>
          </w:tcPr>
          <w:p w14:paraId="619EA7E4" w14:textId="77777777" w:rsidR="00255EC0" w:rsidRPr="00F52BDB" w:rsidRDefault="00255EC0" w:rsidP="00C46C26">
            <w:pPr>
              <w:pStyle w:val="Tabletextnospace"/>
              <w:rPr>
                <w:i/>
                <w:iCs/>
                <w:sz w:val="20"/>
                <w:szCs w:val="20"/>
              </w:rPr>
            </w:pPr>
            <w:r w:rsidRPr="00F52BDB">
              <w:rPr>
                <w:i/>
                <w:iCs/>
                <w:sz w:val="20"/>
                <w:szCs w:val="20"/>
              </w:rPr>
              <w:t>Higher result due to increased satisfaction reported by participants in their experience of partnership assemblies, the result of an expanded consultation process introduced this year that allowed deep dives into topics of particular interest to stakeholders.</w:t>
            </w:r>
          </w:p>
        </w:tc>
      </w:tr>
      <w:tr w:rsidR="00255EC0" w:rsidRPr="00F52BDB" w14:paraId="1A610011" w14:textId="77777777" w:rsidTr="00E8460A">
        <w:trPr>
          <w:trHeight w:val="113"/>
        </w:trPr>
        <w:tc>
          <w:tcPr>
            <w:tcW w:w="9638" w:type="dxa"/>
            <w:gridSpan w:val="6"/>
          </w:tcPr>
          <w:p w14:paraId="580D8981" w14:textId="77777777" w:rsidR="00255EC0" w:rsidRPr="00F52BDB" w:rsidRDefault="00255EC0" w:rsidP="00F52BDB">
            <w:pPr>
              <w:pStyle w:val="Tabletextnospace"/>
              <w:keepNext/>
              <w:rPr>
                <w:b/>
                <w:bCs/>
                <w:sz w:val="20"/>
                <w:szCs w:val="20"/>
              </w:rPr>
            </w:pPr>
            <w:r w:rsidRPr="00F52BDB">
              <w:rPr>
                <w:b/>
                <w:bCs/>
                <w:sz w:val="20"/>
                <w:szCs w:val="20"/>
              </w:rPr>
              <w:t>Timeliness</w:t>
            </w:r>
          </w:p>
        </w:tc>
      </w:tr>
      <w:tr w:rsidR="00255EC0" w:rsidRPr="00C46C26" w14:paraId="7E332BA1" w14:textId="77777777" w:rsidTr="00E8460A">
        <w:trPr>
          <w:trHeight w:val="113"/>
        </w:trPr>
        <w:tc>
          <w:tcPr>
            <w:tcW w:w="4660" w:type="dxa"/>
          </w:tcPr>
          <w:p w14:paraId="164C5CBA" w14:textId="77777777" w:rsidR="00255EC0" w:rsidRPr="00C46C26" w:rsidRDefault="00255EC0" w:rsidP="00C46C26">
            <w:pPr>
              <w:pStyle w:val="Tabletextnospace"/>
              <w:rPr>
                <w:sz w:val="20"/>
                <w:szCs w:val="20"/>
              </w:rPr>
            </w:pPr>
            <w:r w:rsidRPr="00C46C26">
              <w:rPr>
                <w:sz w:val="20"/>
                <w:szCs w:val="20"/>
              </w:rPr>
              <w:t>Delivery of financial obligations for departmental</w:t>
            </w:r>
            <w:r w:rsidRPr="00C46C26">
              <w:rPr>
                <w:sz w:val="20"/>
                <w:szCs w:val="20"/>
              </w:rPr>
              <w:br/>
              <w:t>Public Private Partnership projects in accordance</w:t>
            </w:r>
            <w:r w:rsidRPr="00C46C26">
              <w:rPr>
                <w:sz w:val="20"/>
                <w:szCs w:val="20"/>
              </w:rPr>
              <w:br/>
              <w:t>with contractual timelines</w:t>
            </w:r>
          </w:p>
        </w:tc>
        <w:tc>
          <w:tcPr>
            <w:tcW w:w="964" w:type="dxa"/>
          </w:tcPr>
          <w:p w14:paraId="0A8E092A" w14:textId="77777777" w:rsidR="00255EC0" w:rsidRPr="00C46C26" w:rsidRDefault="00255EC0" w:rsidP="00C46C26">
            <w:pPr>
              <w:pStyle w:val="Tabletextnospace"/>
              <w:jc w:val="right"/>
              <w:rPr>
                <w:sz w:val="20"/>
                <w:szCs w:val="20"/>
              </w:rPr>
            </w:pPr>
            <w:r w:rsidRPr="00C46C26">
              <w:rPr>
                <w:sz w:val="20"/>
                <w:szCs w:val="20"/>
              </w:rPr>
              <w:t>per cent</w:t>
            </w:r>
          </w:p>
        </w:tc>
        <w:tc>
          <w:tcPr>
            <w:tcW w:w="964" w:type="dxa"/>
          </w:tcPr>
          <w:p w14:paraId="06024F93" w14:textId="77777777" w:rsidR="00255EC0" w:rsidRPr="00C46C26" w:rsidRDefault="00255EC0" w:rsidP="00C46C26">
            <w:pPr>
              <w:pStyle w:val="Tabletextnospace"/>
              <w:jc w:val="right"/>
              <w:rPr>
                <w:sz w:val="20"/>
                <w:szCs w:val="20"/>
              </w:rPr>
            </w:pPr>
            <w:r w:rsidRPr="00C46C26">
              <w:rPr>
                <w:sz w:val="20"/>
                <w:szCs w:val="20"/>
              </w:rPr>
              <w:t>100</w:t>
            </w:r>
          </w:p>
        </w:tc>
        <w:tc>
          <w:tcPr>
            <w:tcW w:w="963" w:type="dxa"/>
          </w:tcPr>
          <w:p w14:paraId="21B3808A" w14:textId="77777777" w:rsidR="00255EC0" w:rsidRPr="00C46C26" w:rsidRDefault="00255EC0" w:rsidP="00C46C26">
            <w:pPr>
              <w:pStyle w:val="Tabletextnospace"/>
              <w:jc w:val="right"/>
              <w:rPr>
                <w:sz w:val="20"/>
                <w:szCs w:val="20"/>
              </w:rPr>
            </w:pPr>
            <w:r w:rsidRPr="00C46C26">
              <w:rPr>
                <w:sz w:val="20"/>
                <w:szCs w:val="20"/>
              </w:rPr>
              <w:t>85</w:t>
            </w:r>
          </w:p>
        </w:tc>
        <w:tc>
          <w:tcPr>
            <w:tcW w:w="1304" w:type="dxa"/>
          </w:tcPr>
          <w:p w14:paraId="7E56E234" w14:textId="77777777" w:rsidR="00255EC0" w:rsidRPr="00C46C26" w:rsidRDefault="00255EC0" w:rsidP="00C46C26">
            <w:pPr>
              <w:pStyle w:val="Tabletextnospace"/>
              <w:jc w:val="right"/>
              <w:rPr>
                <w:sz w:val="20"/>
                <w:szCs w:val="20"/>
              </w:rPr>
            </w:pPr>
            <w:r w:rsidRPr="00C46C26">
              <w:rPr>
                <w:sz w:val="20"/>
                <w:szCs w:val="20"/>
              </w:rPr>
              <w:t>17.6%</w:t>
            </w:r>
          </w:p>
        </w:tc>
        <w:tc>
          <w:tcPr>
            <w:tcW w:w="783" w:type="dxa"/>
          </w:tcPr>
          <w:p w14:paraId="6630EE4F"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F52BDB" w14:paraId="6D1BD1F0" w14:textId="77777777" w:rsidTr="00E8460A">
        <w:trPr>
          <w:trHeight w:val="113"/>
        </w:trPr>
        <w:tc>
          <w:tcPr>
            <w:tcW w:w="9638" w:type="dxa"/>
            <w:gridSpan w:val="6"/>
          </w:tcPr>
          <w:p w14:paraId="0C1DC504" w14:textId="77777777" w:rsidR="00255EC0" w:rsidRPr="00F52BDB" w:rsidRDefault="00255EC0" w:rsidP="00C46C26">
            <w:pPr>
              <w:pStyle w:val="Tabletextnospace"/>
              <w:rPr>
                <w:i/>
                <w:iCs/>
                <w:sz w:val="20"/>
                <w:szCs w:val="20"/>
              </w:rPr>
            </w:pPr>
            <w:r w:rsidRPr="00F52BDB">
              <w:rPr>
                <w:i/>
                <w:iCs/>
                <w:sz w:val="20"/>
                <w:szCs w:val="20"/>
              </w:rPr>
              <w:t>Higher result due to the department having met all contractually required financial commitments for the Public Private Partnership projects it is responsible for within required timeframes for the year.</w:t>
            </w:r>
          </w:p>
        </w:tc>
      </w:tr>
      <w:tr w:rsidR="00255EC0" w:rsidRPr="00C46C26" w14:paraId="22B6460C" w14:textId="77777777" w:rsidTr="00E8460A">
        <w:trPr>
          <w:trHeight w:val="113"/>
        </w:trPr>
        <w:tc>
          <w:tcPr>
            <w:tcW w:w="4660" w:type="dxa"/>
          </w:tcPr>
          <w:p w14:paraId="5F51D9D3" w14:textId="12C23B9E" w:rsidR="00255EC0" w:rsidRPr="00C46C26" w:rsidRDefault="00255EC0" w:rsidP="00C46C26">
            <w:pPr>
              <w:pStyle w:val="Tabletextnospace"/>
              <w:rPr>
                <w:sz w:val="20"/>
                <w:szCs w:val="20"/>
              </w:rPr>
            </w:pPr>
            <w:r w:rsidRPr="00C46C26">
              <w:rPr>
                <w:sz w:val="20"/>
                <w:szCs w:val="20"/>
              </w:rPr>
              <w:t>Partnership priorities receiving a government response</w:t>
            </w:r>
            <w:r w:rsidR="00F52BDB">
              <w:rPr>
                <w:sz w:val="20"/>
                <w:szCs w:val="20"/>
              </w:rPr>
              <w:t xml:space="preserve"> </w:t>
            </w:r>
            <w:r w:rsidRPr="00C46C26">
              <w:rPr>
                <w:sz w:val="20"/>
                <w:szCs w:val="20"/>
              </w:rPr>
              <w:t>by 30 June</w:t>
            </w:r>
          </w:p>
        </w:tc>
        <w:tc>
          <w:tcPr>
            <w:tcW w:w="964" w:type="dxa"/>
          </w:tcPr>
          <w:p w14:paraId="621E5462" w14:textId="77777777" w:rsidR="00255EC0" w:rsidRPr="00C46C26" w:rsidRDefault="00255EC0" w:rsidP="00C46C26">
            <w:pPr>
              <w:pStyle w:val="Tabletextnospace"/>
              <w:jc w:val="right"/>
              <w:rPr>
                <w:sz w:val="20"/>
                <w:szCs w:val="20"/>
              </w:rPr>
            </w:pPr>
            <w:r w:rsidRPr="00C46C26">
              <w:rPr>
                <w:sz w:val="20"/>
                <w:szCs w:val="20"/>
              </w:rPr>
              <w:t>per cent</w:t>
            </w:r>
          </w:p>
        </w:tc>
        <w:tc>
          <w:tcPr>
            <w:tcW w:w="964" w:type="dxa"/>
          </w:tcPr>
          <w:p w14:paraId="4098208C" w14:textId="77777777" w:rsidR="00255EC0" w:rsidRPr="00C46C26" w:rsidRDefault="00255EC0" w:rsidP="00C46C26">
            <w:pPr>
              <w:pStyle w:val="Tabletextnospace"/>
              <w:jc w:val="right"/>
              <w:rPr>
                <w:sz w:val="20"/>
                <w:szCs w:val="20"/>
              </w:rPr>
            </w:pPr>
            <w:r w:rsidRPr="00C46C26">
              <w:rPr>
                <w:sz w:val="20"/>
                <w:szCs w:val="20"/>
              </w:rPr>
              <w:t>100</w:t>
            </w:r>
          </w:p>
        </w:tc>
        <w:tc>
          <w:tcPr>
            <w:tcW w:w="963" w:type="dxa"/>
          </w:tcPr>
          <w:p w14:paraId="272578BF" w14:textId="77777777" w:rsidR="00255EC0" w:rsidRPr="00C46C26" w:rsidRDefault="00255EC0" w:rsidP="00C46C26">
            <w:pPr>
              <w:pStyle w:val="Tabletextnospace"/>
              <w:jc w:val="right"/>
              <w:rPr>
                <w:sz w:val="20"/>
                <w:szCs w:val="20"/>
              </w:rPr>
            </w:pPr>
            <w:r w:rsidRPr="00C46C26">
              <w:rPr>
                <w:sz w:val="20"/>
                <w:szCs w:val="20"/>
              </w:rPr>
              <w:t>100</w:t>
            </w:r>
          </w:p>
        </w:tc>
        <w:tc>
          <w:tcPr>
            <w:tcW w:w="1304" w:type="dxa"/>
          </w:tcPr>
          <w:p w14:paraId="639601B7" w14:textId="77777777" w:rsidR="00255EC0" w:rsidRPr="00C46C26" w:rsidRDefault="00255EC0" w:rsidP="00C46C26">
            <w:pPr>
              <w:pStyle w:val="Tabletextnospace"/>
              <w:jc w:val="right"/>
              <w:rPr>
                <w:sz w:val="20"/>
                <w:szCs w:val="20"/>
              </w:rPr>
            </w:pPr>
            <w:r w:rsidRPr="00C46C26">
              <w:rPr>
                <w:sz w:val="20"/>
                <w:szCs w:val="20"/>
              </w:rPr>
              <w:t>0.0%</w:t>
            </w:r>
          </w:p>
        </w:tc>
        <w:tc>
          <w:tcPr>
            <w:tcW w:w="783" w:type="dxa"/>
          </w:tcPr>
          <w:p w14:paraId="0CCCAA84"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w:hAnsi="Wingdings" w:cs="Wingdings"/>
                <w:position w:val="-2"/>
                <w:sz w:val="20"/>
                <w:lang w:val="en-GB"/>
              </w:rPr>
              <w:t>ü</w:t>
            </w:r>
          </w:p>
        </w:tc>
      </w:tr>
      <w:tr w:rsidR="00255EC0" w:rsidRPr="00F52BDB" w14:paraId="26F88FAB" w14:textId="77777777" w:rsidTr="00E8460A">
        <w:trPr>
          <w:trHeight w:val="113"/>
        </w:trPr>
        <w:tc>
          <w:tcPr>
            <w:tcW w:w="9638" w:type="dxa"/>
            <w:gridSpan w:val="6"/>
          </w:tcPr>
          <w:p w14:paraId="45AA07C3" w14:textId="77777777" w:rsidR="00255EC0" w:rsidRPr="00F52BDB" w:rsidRDefault="00255EC0" w:rsidP="00C46C26">
            <w:pPr>
              <w:pStyle w:val="Tabletextnospace"/>
              <w:rPr>
                <w:b/>
                <w:bCs/>
                <w:sz w:val="20"/>
                <w:szCs w:val="20"/>
              </w:rPr>
            </w:pPr>
            <w:r w:rsidRPr="00F52BDB">
              <w:rPr>
                <w:b/>
                <w:bCs/>
                <w:sz w:val="20"/>
                <w:szCs w:val="20"/>
              </w:rPr>
              <w:t>Cost</w:t>
            </w:r>
          </w:p>
        </w:tc>
      </w:tr>
      <w:tr w:rsidR="00255EC0" w:rsidRPr="00C46C26" w14:paraId="28D6CE57" w14:textId="77777777" w:rsidTr="00E8460A">
        <w:trPr>
          <w:trHeight w:val="113"/>
        </w:trPr>
        <w:tc>
          <w:tcPr>
            <w:tcW w:w="4660" w:type="dxa"/>
          </w:tcPr>
          <w:p w14:paraId="28AC6612" w14:textId="77777777" w:rsidR="00255EC0" w:rsidRPr="00C46C26" w:rsidRDefault="00255EC0" w:rsidP="00C46C26">
            <w:pPr>
              <w:pStyle w:val="Tabletextnospace"/>
              <w:rPr>
                <w:sz w:val="20"/>
                <w:szCs w:val="20"/>
              </w:rPr>
            </w:pPr>
            <w:r w:rsidRPr="00C46C26">
              <w:rPr>
                <w:sz w:val="20"/>
                <w:szCs w:val="20"/>
              </w:rPr>
              <w:t>Total output cost</w:t>
            </w:r>
          </w:p>
        </w:tc>
        <w:tc>
          <w:tcPr>
            <w:tcW w:w="964" w:type="dxa"/>
          </w:tcPr>
          <w:p w14:paraId="78D476EF" w14:textId="77777777" w:rsidR="00255EC0" w:rsidRPr="00C46C26" w:rsidRDefault="00255EC0" w:rsidP="00C46C26">
            <w:pPr>
              <w:pStyle w:val="Tabletextnospace"/>
              <w:jc w:val="right"/>
              <w:rPr>
                <w:sz w:val="20"/>
                <w:szCs w:val="20"/>
              </w:rPr>
            </w:pPr>
            <w:r w:rsidRPr="00C46C26">
              <w:rPr>
                <w:sz w:val="20"/>
                <w:szCs w:val="20"/>
              </w:rPr>
              <w:t>$ million</w:t>
            </w:r>
          </w:p>
        </w:tc>
        <w:tc>
          <w:tcPr>
            <w:tcW w:w="964" w:type="dxa"/>
          </w:tcPr>
          <w:p w14:paraId="09E3AA16" w14:textId="77777777" w:rsidR="00255EC0" w:rsidRPr="00C46C26" w:rsidRDefault="00255EC0" w:rsidP="00C46C26">
            <w:pPr>
              <w:pStyle w:val="Tabletextnospace"/>
              <w:jc w:val="right"/>
              <w:rPr>
                <w:sz w:val="20"/>
                <w:szCs w:val="20"/>
              </w:rPr>
            </w:pPr>
            <w:r w:rsidRPr="00C46C26">
              <w:rPr>
                <w:sz w:val="20"/>
                <w:szCs w:val="20"/>
              </w:rPr>
              <w:t>23.7</w:t>
            </w:r>
          </w:p>
        </w:tc>
        <w:tc>
          <w:tcPr>
            <w:tcW w:w="963" w:type="dxa"/>
          </w:tcPr>
          <w:p w14:paraId="7E00B9D2" w14:textId="77777777" w:rsidR="00255EC0" w:rsidRPr="00C46C26" w:rsidRDefault="00255EC0" w:rsidP="00C46C26">
            <w:pPr>
              <w:pStyle w:val="Tabletextnospace"/>
              <w:jc w:val="right"/>
              <w:rPr>
                <w:sz w:val="20"/>
                <w:szCs w:val="20"/>
              </w:rPr>
            </w:pPr>
            <w:r w:rsidRPr="00C46C26">
              <w:rPr>
                <w:sz w:val="20"/>
                <w:szCs w:val="20"/>
              </w:rPr>
              <w:t>22.8</w:t>
            </w:r>
          </w:p>
        </w:tc>
        <w:tc>
          <w:tcPr>
            <w:tcW w:w="1304" w:type="dxa"/>
          </w:tcPr>
          <w:p w14:paraId="7CE5B774" w14:textId="77777777" w:rsidR="00255EC0" w:rsidRPr="00C46C26" w:rsidRDefault="00255EC0" w:rsidP="00C46C26">
            <w:pPr>
              <w:pStyle w:val="Tabletextnospace"/>
              <w:jc w:val="right"/>
              <w:rPr>
                <w:sz w:val="20"/>
                <w:szCs w:val="20"/>
              </w:rPr>
            </w:pPr>
            <w:r w:rsidRPr="00C46C26">
              <w:rPr>
                <w:sz w:val="20"/>
                <w:szCs w:val="20"/>
              </w:rPr>
              <w:t xml:space="preserve">4.0% </w:t>
            </w:r>
          </w:p>
        </w:tc>
        <w:tc>
          <w:tcPr>
            <w:tcW w:w="783" w:type="dxa"/>
          </w:tcPr>
          <w:p w14:paraId="13BBDB3F" w14:textId="77777777" w:rsidR="00255EC0" w:rsidRPr="00C46C26"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C46C26">
              <w:rPr>
                <w:rFonts w:ascii="Wingdings 2" w:hAnsi="Wingdings 2" w:cs="Wingdings 2"/>
                <w:sz w:val="20"/>
                <w:lang w:val="en-GB"/>
              </w:rPr>
              <w:t>™</w:t>
            </w:r>
          </w:p>
        </w:tc>
      </w:tr>
      <w:tr w:rsidR="00255EC0" w:rsidRPr="00255EC0" w14:paraId="1F3AF289" w14:textId="77777777" w:rsidTr="00E8460A">
        <w:trPr>
          <w:trHeight w:val="113"/>
        </w:trPr>
        <w:tc>
          <w:tcPr>
            <w:tcW w:w="9638" w:type="dxa"/>
            <w:gridSpan w:val="6"/>
          </w:tcPr>
          <w:p w14:paraId="53B699E6" w14:textId="77777777" w:rsidR="00255EC0" w:rsidRPr="00255EC0" w:rsidRDefault="00255EC0" w:rsidP="00C46C26">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33772D6A" w14:textId="77777777" w:rsidR="00255EC0" w:rsidRPr="00F52BDB" w:rsidRDefault="00255EC0" w:rsidP="00F52BDB">
      <w:pPr>
        <w:pStyle w:val="Body"/>
        <w:spacing w:line="240" w:lineRule="auto"/>
        <w:rPr>
          <w:sz w:val="12"/>
          <w:szCs w:val="8"/>
        </w:rPr>
      </w:pPr>
    </w:p>
    <w:p w14:paraId="2DDC646C" w14:textId="77777777" w:rsidR="00255EC0" w:rsidRPr="00255EC0" w:rsidRDefault="00255EC0" w:rsidP="00F52BDB">
      <w:pPr>
        <w:pStyle w:val="Body"/>
      </w:pPr>
      <w:r w:rsidRPr="00255EC0">
        <w:lastRenderedPageBreak/>
        <w:t>Table 11 represents performance against the Regional Development output. This output guides engagement with industry and communities to identify opportunities to support job growth and new investment in regional Victoria, including support and services to grow regional jobs and capability in regional communities.</w:t>
      </w:r>
    </w:p>
    <w:p w14:paraId="7B055414" w14:textId="77777777" w:rsidR="00255EC0" w:rsidRPr="00255EC0" w:rsidRDefault="00255EC0" w:rsidP="00F52BDB">
      <w:pPr>
        <w:pStyle w:val="Heading5"/>
      </w:pPr>
      <w:r w:rsidRPr="00255EC0">
        <w:t>Table 11: Output – Regional Development</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F52BDB" w14:paraId="4D81004F" w14:textId="77777777" w:rsidTr="00E8460A">
        <w:trPr>
          <w:trHeight w:val="113"/>
        </w:trPr>
        <w:tc>
          <w:tcPr>
            <w:tcW w:w="4660" w:type="dxa"/>
          </w:tcPr>
          <w:p w14:paraId="16778319" w14:textId="77777777" w:rsidR="00255EC0" w:rsidRPr="00F52BDB" w:rsidRDefault="00255EC0" w:rsidP="00F52BDB">
            <w:pPr>
              <w:pStyle w:val="TableColumnheading"/>
              <w:rPr>
                <w:sz w:val="20"/>
              </w:rPr>
            </w:pPr>
            <w:r w:rsidRPr="00F52BDB">
              <w:rPr>
                <w:sz w:val="20"/>
              </w:rPr>
              <w:t xml:space="preserve">Performance measures </w:t>
            </w:r>
          </w:p>
        </w:tc>
        <w:tc>
          <w:tcPr>
            <w:tcW w:w="964" w:type="dxa"/>
          </w:tcPr>
          <w:p w14:paraId="01ED0511" w14:textId="77777777" w:rsidR="00255EC0" w:rsidRPr="00F52BDB" w:rsidRDefault="00255EC0" w:rsidP="00F52BDB">
            <w:pPr>
              <w:pStyle w:val="TableColumnheading"/>
              <w:jc w:val="right"/>
              <w:rPr>
                <w:sz w:val="20"/>
              </w:rPr>
            </w:pPr>
            <w:r w:rsidRPr="00F52BDB">
              <w:rPr>
                <w:sz w:val="20"/>
              </w:rPr>
              <w:t>Unit of measure</w:t>
            </w:r>
          </w:p>
        </w:tc>
        <w:tc>
          <w:tcPr>
            <w:tcW w:w="964" w:type="dxa"/>
          </w:tcPr>
          <w:p w14:paraId="7CE80C61" w14:textId="77777777" w:rsidR="00255EC0" w:rsidRPr="00F52BDB" w:rsidRDefault="00255EC0" w:rsidP="00F52BDB">
            <w:pPr>
              <w:pStyle w:val="TableColumnheading"/>
              <w:jc w:val="right"/>
              <w:rPr>
                <w:sz w:val="20"/>
              </w:rPr>
            </w:pPr>
            <w:r w:rsidRPr="00F52BDB">
              <w:rPr>
                <w:sz w:val="20"/>
              </w:rPr>
              <w:t>2019–20 actual</w:t>
            </w:r>
          </w:p>
        </w:tc>
        <w:tc>
          <w:tcPr>
            <w:tcW w:w="963" w:type="dxa"/>
          </w:tcPr>
          <w:p w14:paraId="6D2FCFB6" w14:textId="77777777" w:rsidR="00255EC0" w:rsidRPr="00F52BDB" w:rsidRDefault="00255EC0" w:rsidP="00F52BDB">
            <w:pPr>
              <w:pStyle w:val="TableColumnheading"/>
              <w:jc w:val="right"/>
              <w:rPr>
                <w:sz w:val="20"/>
              </w:rPr>
            </w:pPr>
            <w:r w:rsidRPr="00F52BDB">
              <w:rPr>
                <w:sz w:val="20"/>
              </w:rPr>
              <w:t>2019–20 target</w:t>
            </w:r>
          </w:p>
        </w:tc>
        <w:tc>
          <w:tcPr>
            <w:tcW w:w="1375" w:type="dxa"/>
          </w:tcPr>
          <w:p w14:paraId="5E406E3B" w14:textId="77777777" w:rsidR="00255EC0" w:rsidRPr="00F52BDB" w:rsidRDefault="00255EC0" w:rsidP="00F52BDB">
            <w:pPr>
              <w:pStyle w:val="TableColumnheading"/>
              <w:jc w:val="right"/>
              <w:rPr>
                <w:sz w:val="20"/>
              </w:rPr>
            </w:pPr>
            <w:r w:rsidRPr="00F52BDB">
              <w:rPr>
                <w:sz w:val="20"/>
              </w:rPr>
              <w:t xml:space="preserve">Performance variation (%) </w:t>
            </w:r>
          </w:p>
        </w:tc>
        <w:tc>
          <w:tcPr>
            <w:tcW w:w="850" w:type="dxa"/>
          </w:tcPr>
          <w:p w14:paraId="68D1A3AD" w14:textId="77777777" w:rsidR="00255EC0" w:rsidRPr="00F52BDB" w:rsidRDefault="00255EC0" w:rsidP="00F52BDB">
            <w:pPr>
              <w:pStyle w:val="TableColumnheading"/>
              <w:jc w:val="right"/>
              <w:rPr>
                <w:sz w:val="20"/>
              </w:rPr>
            </w:pPr>
            <w:r w:rsidRPr="00F52BDB">
              <w:rPr>
                <w:sz w:val="20"/>
              </w:rPr>
              <w:t xml:space="preserve">Result </w:t>
            </w:r>
          </w:p>
        </w:tc>
      </w:tr>
      <w:tr w:rsidR="00255EC0" w:rsidRPr="00F52BDB" w14:paraId="3557263C" w14:textId="77777777" w:rsidTr="00E8460A">
        <w:trPr>
          <w:trHeight w:val="113"/>
        </w:trPr>
        <w:tc>
          <w:tcPr>
            <w:tcW w:w="9776" w:type="dxa"/>
            <w:gridSpan w:val="6"/>
          </w:tcPr>
          <w:p w14:paraId="68F5B615" w14:textId="77777777" w:rsidR="00255EC0" w:rsidRPr="00F52BDB" w:rsidRDefault="00255EC0" w:rsidP="00F52BDB">
            <w:pPr>
              <w:pStyle w:val="Tabletextnospace"/>
              <w:rPr>
                <w:b/>
                <w:bCs/>
                <w:sz w:val="20"/>
                <w:szCs w:val="20"/>
              </w:rPr>
            </w:pPr>
            <w:r w:rsidRPr="00F52BDB">
              <w:rPr>
                <w:b/>
                <w:bCs/>
                <w:sz w:val="20"/>
                <w:szCs w:val="20"/>
              </w:rPr>
              <w:t>Quantity</w:t>
            </w:r>
          </w:p>
        </w:tc>
      </w:tr>
      <w:tr w:rsidR="00255EC0" w:rsidRPr="00F52BDB" w14:paraId="6B9C36DC" w14:textId="77777777" w:rsidTr="00E8460A">
        <w:trPr>
          <w:trHeight w:val="113"/>
        </w:trPr>
        <w:tc>
          <w:tcPr>
            <w:tcW w:w="4660" w:type="dxa"/>
          </w:tcPr>
          <w:p w14:paraId="6B62A722" w14:textId="3F41CFE0" w:rsidR="00255EC0" w:rsidRPr="00F52BDB" w:rsidRDefault="00255EC0" w:rsidP="00F52BDB">
            <w:pPr>
              <w:pStyle w:val="Tabletextnospace"/>
              <w:rPr>
                <w:sz w:val="20"/>
                <w:szCs w:val="20"/>
              </w:rPr>
            </w:pPr>
            <w:r w:rsidRPr="00F52BDB">
              <w:rPr>
                <w:sz w:val="20"/>
                <w:szCs w:val="20"/>
              </w:rPr>
              <w:t>Actual export sales generated for regional businesses</w:t>
            </w:r>
            <w:r w:rsidR="00F52BDB">
              <w:rPr>
                <w:sz w:val="20"/>
                <w:szCs w:val="20"/>
              </w:rPr>
              <w:t xml:space="preserve"> </w:t>
            </w:r>
            <w:proofErr w:type="gramStart"/>
            <w:r w:rsidRPr="00F52BDB">
              <w:rPr>
                <w:sz w:val="20"/>
                <w:szCs w:val="20"/>
              </w:rPr>
              <w:t>as a result of</w:t>
            </w:r>
            <w:proofErr w:type="gramEnd"/>
            <w:r w:rsidRPr="00F52BDB">
              <w:rPr>
                <w:sz w:val="20"/>
                <w:szCs w:val="20"/>
              </w:rPr>
              <w:t xml:space="preserve"> participation in government programs</w:t>
            </w:r>
          </w:p>
        </w:tc>
        <w:tc>
          <w:tcPr>
            <w:tcW w:w="964" w:type="dxa"/>
          </w:tcPr>
          <w:p w14:paraId="42B2AD4D" w14:textId="77777777" w:rsidR="00255EC0" w:rsidRPr="00F52BDB" w:rsidRDefault="00255EC0" w:rsidP="00F52BDB">
            <w:pPr>
              <w:pStyle w:val="Tabletextnospace"/>
              <w:jc w:val="right"/>
              <w:rPr>
                <w:sz w:val="20"/>
                <w:szCs w:val="20"/>
              </w:rPr>
            </w:pPr>
            <w:r w:rsidRPr="00F52BDB">
              <w:rPr>
                <w:sz w:val="20"/>
                <w:szCs w:val="20"/>
              </w:rPr>
              <w:t>$ million</w:t>
            </w:r>
          </w:p>
        </w:tc>
        <w:tc>
          <w:tcPr>
            <w:tcW w:w="964" w:type="dxa"/>
          </w:tcPr>
          <w:p w14:paraId="5BAF36D1" w14:textId="77777777" w:rsidR="00255EC0" w:rsidRPr="00F52BDB" w:rsidRDefault="00255EC0" w:rsidP="00F52BDB">
            <w:pPr>
              <w:pStyle w:val="Tabletextnospace"/>
              <w:jc w:val="right"/>
              <w:rPr>
                <w:sz w:val="20"/>
                <w:szCs w:val="20"/>
              </w:rPr>
            </w:pPr>
            <w:r w:rsidRPr="00F52BDB">
              <w:rPr>
                <w:sz w:val="20"/>
                <w:szCs w:val="20"/>
              </w:rPr>
              <w:t>56</w:t>
            </w:r>
          </w:p>
        </w:tc>
        <w:tc>
          <w:tcPr>
            <w:tcW w:w="963" w:type="dxa"/>
          </w:tcPr>
          <w:p w14:paraId="6BD6D394" w14:textId="77777777" w:rsidR="00255EC0" w:rsidRPr="00F52BDB" w:rsidRDefault="00255EC0" w:rsidP="00F52BDB">
            <w:pPr>
              <w:pStyle w:val="Tabletextnospace"/>
              <w:jc w:val="right"/>
              <w:rPr>
                <w:sz w:val="20"/>
                <w:szCs w:val="20"/>
              </w:rPr>
            </w:pPr>
            <w:r w:rsidRPr="00F52BDB">
              <w:rPr>
                <w:sz w:val="20"/>
                <w:szCs w:val="20"/>
              </w:rPr>
              <w:t>55</w:t>
            </w:r>
          </w:p>
        </w:tc>
        <w:tc>
          <w:tcPr>
            <w:tcW w:w="1375" w:type="dxa"/>
          </w:tcPr>
          <w:p w14:paraId="2B7FC4EF" w14:textId="77777777" w:rsidR="00255EC0" w:rsidRPr="00F52BDB" w:rsidRDefault="00255EC0" w:rsidP="00F52BDB">
            <w:pPr>
              <w:pStyle w:val="Tabletextnospace"/>
              <w:jc w:val="right"/>
              <w:rPr>
                <w:sz w:val="20"/>
                <w:szCs w:val="20"/>
              </w:rPr>
            </w:pPr>
            <w:r w:rsidRPr="00F52BDB">
              <w:rPr>
                <w:sz w:val="20"/>
                <w:szCs w:val="20"/>
              </w:rPr>
              <w:t>1.8%</w:t>
            </w:r>
          </w:p>
        </w:tc>
        <w:tc>
          <w:tcPr>
            <w:tcW w:w="850" w:type="dxa"/>
          </w:tcPr>
          <w:p w14:paraId="5FB2DB84" w14:textId="77777777" w:rsidR="00255EC0" w:rsidRPr="00F52BDB"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52BDB">
              <w:rPr>
                <w:rFonts w:ascii="Wingdings" w:hAnsi="Wingdings" w:cs="Wingdings"/>
                <w:position w:val="-2"/>
                <w:sz w:val="20"/>
                <w:lang w:val="en-GB"/>
              </w:rPr>
              <w:t>ü</w:t>
            </w:r>
          </w:p>
        </w:tc>
      </w:tr>
      <w:tr w:rsidR="00255EC0" w:rsidRPr="00F52BDB" w14:paraId="51AACCBC" w14:textId="77777777" w:rsidTr="00E8460A">
        <w:trPr>
          <w:trHeight w:val="113"/>
        </w:trPr>
        <w:tc>
          <w:tcPr>
            <w:tcW w:w="4660" w:type="dxa"/>
          </w:tcPr>
          <w:p w14:paraId="62F182F1" w14:textId="77777777" w:rsidR="00255EC0" w:rsidRPr="00F52BDB" w:rsidRDefault="00255EC0" w:rsidP="00F52BDB">
            <w:pPr>
              <w:pStyle w:val="Tabletextnospace"/>
              <w:rPr>
                <w:sz w:val="20"/>
                <w:szCs w:val="20"/>
              </w:rPr>
            </w:pPr>
            <w:r w:rsidRPr="00F52BDB">
              <w:rPr>
                <w:sz w:val="20"/>
                <w:szCs w:val="20"/>
              </w:rPr>
              <w:t>Economic development and service delivery</w:t>
            </w:r>
            <w:r w:rsidRPr="00F52BDB">
              <w:rPr>
                <w:sz w:val="20"/>
                <w:szCs w:val="20"/>
              </w:rPr>
              <w:br/>
              <w:t>projects supported</w:t>
            </w:r>
          </w:p>
        </w:tc>
        <w:tc>
          <w:tcPr>
            <w:tcW w:w="964" w:type="dxa"/>
          </w:tcPr>
          <w:p w14:paraId="66393C7A" w14:textId="77777777" w:rsidR="00255EC0" w:rsidRPr="00F52BDB" w:rsidRDefault="00255EC0" w:rsidP="00F52BDB">
            <w:pPr>
              <w:pStyle w:val="Tabletextnospace"/>
              <w:jc w:val="right"/>
              <w:rPr>
                <w:sz w:val="20"/>
                <w:szCs w:val="20"/>
              </w:rPr>
            </w:pPr>
            <w:r w:rsidRPr="00F52BDB">
              <w:rPr>
                <w:sz w:val="20"/>
                <w:szCs w:val="20"/>
              </w:rPr>
              <w:t>number</w:t>
            </w:r>
          </w:p>
        </w:tc>
        <w:tc>
          <w:tcPr>
            <w:tcW w:w="964" w:type="dxa"/>
          </w:tcPr>
          <w:p w14:paraId="3CD207DC" w14:textId="77777777" w:rsidR="00255EC0" w:rsidRPr="00F52BDB" w:rsidRDefault="00255EC0" w:rsidP="00F52BDB">
            <w:pPr>
              <w:pStyle w:val="Tabletextnospace"/>
              <w:jc w:val="right"/>
              <w:rPr>
                <w:sz w:val="20"/>
                <w:szCs w:val="20"/>
              </w:rPr>
            </w:pPr>
            <w:r w:rsidRPr="00F52BDB">
              <w:rPr>
                <w:sz w:val="20"/>
                <w:szCs w:val="20"/>
              </w:rPr>
              <w:t>148</w:t>
            </w:r>
          </w:p>
        </w:tc>
        <w:tc>
          <w:tcPr>
            <w:tcW w:w="963" w:type="dxa"/>
          </w:tcPr>
          <w:p w14:paraId="60846035" w14:textId="77777777" w:rsidR="00255EC0" w:rsidRPr="00F52BDB" w:rsidRDefault="00255EC0" w:rsidP="00F52BDB">
            <w:pPr>
              <w:pStyle w:val="Tabletextnospace"/>
              <w:jc w:val="right"/>
              <w:rPr>
                <w:sz w:val="20"/>
                <w:szCs w:val="20"/>
              </w:rPr>
            </w:pPr>
            <w:r w:rsidRPr="00F52BDB">
              <w:rPr>
                <w:sz w:val="20"/>
                <w:szCs w:val="20"/>
              </w:rPr>
              <w:t>60</w:t>
            </w:r>
          </w:p>
        </w:tc>
        <w:tc>
          <w:tcPr>
            <w:tcW w:w="1375" w:type="dxa"/>
          </w:tcPr>
          <w:p w14:paraId="516BB090" w14:textId="77777777" w:rsidR="00255EC0" w:rsidRPr="00F52BDB" w:rsidRDefault="00255EC0" w:rsidP="00F52BDB">
            <w:pPr>
              <w:pStyle w:val="Tabletextnospace"/>
              <w:jc w:val="right"/>
              <w:rPr>
                <w:sz w:val="20"/>
                <w:szCs w:val="20"/>
              </w:rPr>
            </w:pPr>
            <w:r w:rsidRPr="00F52BDB">
              <w:rPr>
                <w:sz w:val="20"/>
                <w:szCs w:val="20"/>
              </w:rPr>
              <w:t>146.7%</w:t>
            </w:r>
          </w:p>
        </w:tc>
        <w:tc>
          <w:tcPr>
            <w:tcW w:w="850" w:type="dxa"/>
          </w:tcPr>
          <w:p w14:paraId="2B615FF4" w14:textId="77777777" w:rsidR="00255EC0" w:rsidRPr="00F52BDB"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52BDB">
              <w:rPr>
                <w:rFonts w:ascii="Wingdings" w:hAnsi="Wingdings" w:cs="Wingdings"/>
                <w:position w:val="-2"/>
                <w:sz w:val="20"/>
                <w:lang w:val="en-GB"/>
              </w:rPr>
              <w:t>ü</w:t>
            </w:r>
          </w:p>
        </w:tc>
      </w:tr>
      <w:tr w:rsidR="00255EC0" w:rsidRPr="00F52BDB" w14:paraId="7DEF0F3A" w14:textId="77777777" w:rsidTr="00E8460A">
        <w:trPr>
          <w:trHeight w:val="113"/>
        </w:trPr>
        <w:tc>
          <w:tcPr>
            <w:tcW w:w="9776" w:type="dxa"/>
            <w:gridSpan w:val="6"/>
          </w:tcPr>
          <w:p w14:paraId="207D31E0" w14:textId="77777777" w:rsidR="00255EC0" w:rsidRPr="00F52BDB" w:rsidRDefault="00255EC0" w:rsidP="00F52BDB">
            <w:pPr>
              <w:pStyle w:val="Tabletextnospace"/>
              <w:rPr>
                <w:i/>
                <w:iCs/>
                <w:sz w:val="20"/>
                <w:szCs w:val="20"/>
              </w:rPr>
            </w:pPr>
            <w:r w:rsidRPr="00F52BDB">
              <w:rPr>
                <w:i/>
                <w:iCs/>
                <w:sz w:val="20"/>
                <w:szCs w:val="20"/>
              </w:rPr>
              <w:t>Higher result due to more projects being funded than planned, to stimulate regional economies.</w:t>
            </w:r>
          </w:p>
        </w:tc>
      </w:tr>
      <w:tr w:rsidR="00255EC0" w:rsidRPr="00F52BDB" w14:paraId="515088E3" w14:textId="77777777" w:rsidTr="00E8460A">
        <w:trPr>
          <w:trHeight w:val="113"/>
        </w:trPr>
        <w:tc>
          <w:tcPr>
            <w:tcW w:w="4660" w:type="dxa"/>
          </w:tcPr>
          <w:p w14:paraId="57280E64" w14:textId="77777777" w:rsidR="00255EC0" w:rsidRPr="00F52BDB" w:rsidRDefault="00255EC0" w:rsidP="00F52BDB">
            <w:pPr>
              <w:pStyle w:val="Tabletextnospace"/>
              <w:rPr>
                <w:sz w:val="20"/>
                <w:szCs w:val="20"/>
              </w:rPr>
            </w:pPr>
            <w:r w:rsidRPr="00F52BDB">
              <w:rPr>
                <w:sz w:val="20"/>
                <w:szCs w:val="20"/>
              </w:rPr>
              <w:t>Jobs in regional Victoria resulting from government investment facilitation services and assistance</w:t>
            </w:r>
          </w:p>
        </w:tc>
        <w:tc>
          <w:tcPr>
            <w:tcW w:w="964" w:type="dxa"/>
          </w:tcPr>
          <w:p w14:paraId="36BD08F1" w14:textId="77777777" w:rsidR="00255EC0" w:rsidRPr="00F52BDB" w:rsidRDefault="00255EC0" w:rsidP="00F52BDB">
            <w:pPr>
              <w:pStyle w:val="Tabletextnospace"/>
              <w:jc w:val="right"/>
              <w:rPr>
                <w:sz w:val="20"/>
                <w:szCs w:val="20"/>
              </w:rPr>
            </w:pPr>
            <w:r w:rsidRPr="00F52BDB">
              <w:rPr>
                <w:sz w:val="20"/>
                <w:szCs w:val="20"/>
              </w:rPr>
              <w:t>number</w:t>
            </w:r>
          </w:p>
        </w:tc>
        <w:tc>
          <w:tcPr>
            <w:tcW w:w="964" w:type="dxa"/>
          </w:tcPr>
          <w:p w14:paraId="0D0CCDA3" w14:textId="77777777" w:rsidR="00255EC0" w:rsidRPr="00F52BDB" w:rsidRDefault="00255EC0" w:rsidP="00F52BDB">
            <w:pPr>
              <w:pStyle w:val="Tabletextnospace"/>
              <w:jc w:val="right"/>
              <w:rPr>
                <w:sz w:val="20"/>
                <w:szCs w:val="20"/>
              </w:rPr>
            </w:pPr>
            <w:r w:rsidRPr="00F52BDB">
              <w:rPr>
                <w:sz w:val="20"/>
                <w:szCs w:val="20"/>
              </w:rPr>
              <w:t>1215</w:t>
            </w:r>
          </w:p>
        </w:tc>
        <w:tc>
          <w:tcPr>
            <w:tcW w:w="963" w:type="dxa"/>
          </w:tcPr>
          <w:p w14:paraId="3F398FA7" w14:textId="77777777" w:rsidR="00255EC0" w:rsidRPr="00F52BDB" w:rsidRDefault="00255EC0" w:rsidP="00F52BDB">
            <w:pPr>
              <w:pStyle w:val="Tabletextnospace"/>
              <w:jc w:val="right"/>
              <w:rPr>
                <w:sz w:val="20"/>
                <w:szCs w:val="20"/>
              </w:rPr>
            </w:pPr>
            <w:r w:rsidRPr="00F52BDB">
              <w:rPr>
                <w:sz w:val="20"/>
                <w:szCs w:val="20"/>
              </w:rPr>
              <w:t>1200</w:t>
            </w:r>
          </w:p>
        </w:tc>
        <w:tc>
          <w:tcPr>
            <w:tcW w:w="1375" w:type="dxa"/>
          </w:tcPr>
          <w:p w14:paraId="1E48BE4E" w14:textId="77777777" w:rsidR="00255EC0" w:rsidRPr="00F52BDB" w:rsidRDefault="00255EC0" w:rsidP="00F52BDB">
            <w:pPr>
              <w:pStyle w:val="Tabletextnospace"/>
              <w:jc w:val="right"/>
              <w:rPr>
                <w:sz w:val="20"/>
                <w:szCs w:val="20"/>
              </w:rPr>
            </w:pPr>
            <w:r w:rsidRPr="00F52BDB">
              <w:rPr>
                <w:sz w:val="20"/>
                <w:szCs w:val="20"/>
              </w:rPr>
              <w:t>1.3%</w:t>
            </w:r>
          </w:p>
        </w:tc>
        <w:tc>
          <w:tcPr>
            <w:tcW w:w="850" w:type="dxa"/>
          </w:tcPr>
          <w:p w14:paraId="67B9787F" w14:textId="77777777" w:rsidR="00255EC0" w:rsidRPr="00F52BDB"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52BDB">
              <w:rPr>
                <w:rFonts w:ascii="Wingdings" w:hAnsi="Wingdings" w:cs="Wingdings"/>
                <w:position w:val="-2"/>
                <w:sz w:val="20"/>
                <w:lang w:val="en-GB"/>
              </w:rPr>
              <w:t>ü</w:t>
            </w:r>
          </w:p>
        </w:tc>
      </w:tr>
      <w:tr w:rsidR="00255EC0" w:rsidRPr="00F52BDB" w14:paraId="3B5DC09D" w14:textId="77777777" w:rsidTr="00E8460A">
        <w:trPr>
          <w:trHeight w:val="113"/>
        </w:trPr>
        <w:tc>
          <w:tcPr>
            <w:tcW w:w="4660" w:type="dxa"/>
          </w:tcPr>
          <w:p w14:paraId="19A043C2" w14:textId="77777777" w:rsidR="00255EC0" w:rsidRPr="00F52BDB" w:rsidRDefault="00255EC0" w:rsidP="00F52BDB">
            <w:pPr>
              <w:pStyle w:val="Tabletextnospace"/>
              <w:rPr>
                <w:sz w:val="20"/>
                <w:szCs w:val="20"/>
              </w:rPr>
            </w:pPr>
            <w:r w:rsidRPr="00F52BDB">
              <w:rPr>
                <w:sz w:val="20"/>
                <w:szCs w:val="20"/>
              </w:rPr>
              <w:t>New investment in regional Victoria resulting from government facilitation services and assistance</w:t>
            </w:r>
          </w:p>
        </w:tc>
        <w:tc>
          <w:tcPr>
            <w:tcW w:w="964" w:type="dxa"/>
          </w:tcPr>
          <w:p w14:paraId="34543468" w14:textId="77777777" w:rsidR="00255EC0" w:rsidRPr="00F52BDB" w:rsidRDefault="00255EC0" w:rsidP="00F52BDB">
            <w:pPr>
              <w:pStyle w:val="Tabletextnospace"/>
              <w:jc w:val="right"/>
              <w:rPr>
                <w:sz w:val="20"/>
                <w:szCs w:val="20"/>
              </w:rPr>
            </w:pPr>
            <w:r w:rsidRPr="00F52BDB">
              <w:rPr>
                <w:sz w:val="20"/>
                <w:szCs w:val="20"/>
              </w:rPr>
              <w:t>$ million</w:t>
            </w:r>
          </w:p>
        </w:tc>
        <w:tc>
          <w:tcPr>
            <w:tcW w:w="964" w:type="dxa"/>
          </w:tcPr>
          <w:p w14:paraId="1D6B45D6" w14:textId="77777777" w:rsidR="00255EC0" w:rsidRPr="00F52BDB" w:rsidRDefault="00255EC0" w:rsidP="00F52BDB">
            <w:pPr>
              <w:pStyle w:val="Tabletextnospace"/>
              <w:jc w:val="right"/>
              <w:rPr>
                <w:sz w:val="20"/>
                <w:szCs w:val="20"/>
              </w:rPr>
            </w:pPr>
            <w:r w:rsidRPr="00F52BDB">
              <w:rPr>
                <w:sz w:val="20"/>
                <w:szCs w:val="20"/>
              </w:rPr>
              <w:t>840</w:t>
            </w:r>
          </w:p>
        </w:tc>
        <w:tc>
          <w:tcPr>
            <w:tcW w:w="963" w:type="dxa"/>
          </w:tcPr>
          <w:p w14:paraId="3762E43B" w14:textId="77777777" w:rsidR="00255EC0" w:rsidRPr="00F52BDB" w:rsidRDefault="00255EC0" w:rsidP="00F52BDB">
            <w:pPr>
              <w:pStyle w:val="Tabletextnospace"/>
              <w:jc w:val="right"/>
              <w:rPr>
                <w:sz w:val="20"/>
                <w:szCs w:val="20"/>
              </w:rPr>
            </w:pPr>
            <w:r w:rsidRPr="00F52BDB">
              <w:rPr>
                <w:sz w:val="20"/>
                <w:szCs w:val="20"/>
              </w:rPr>
              <w:t>700</w:t>
            </w:r>
          </w:p>
        </w:tc>
        <w:tc>
          <w:tcPr>
            <w:tcW w:w="1375" w:type="dxa"/>
          </w:tcPr>
          <w:p w14:paraId="67DA7BD4" w14:textId="77777777" w:rsidR="00255EC0" w:rsidRPr="00F52BDB" w:rsidRDefault="00255EC0" w:rsidP="00F52BDB">
            <w:pPr>
              <w:pStyle w:val="Tabletextnospace"/>
              <w:jc w:val="right"/>
              <w:rPr>
                <w:sz w:val="20"/>
                <w:szCs w:val="20"/>
              </w:rPr>
            </w:pPr>
            <w:r w:rsidRPr="00F52BDB">
              <w:rPr>
                <w:sz w:val="20"/>
                <w:szCs w:val="20"/>
              </w:rPr>
              <w:t>20.0%</w:t>
            </w:r>
          </w:p>
        </w:tc>
        <w:tc>
          <w:tcPr>
            <w:tcW w:w="850" w:type="dxa"/>
          </w:tcPr>
          <w:p w14:paraId="43CD7066" w14:textId="77777777" w:rsidR="00255EC0" w:rsidRPr="00F52BDB"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52BDB">
              <w:rPr>
                <w:rFonts w:ascii="Wingdings" w:hAnsi="Wingdings" w:cs="Wingdings"/>
                <w:position w:val="-2"/>
                <w:sz w:val="20"/>
                <w:lang w:val="en-GB"/>
              </w:rPr>
              <w:t>ü</w:t>
            </w:r>
          </w:p>
        </w:tc>
      </w:tr>
      <w:tr w:rsidR="00255EC0" w:rsidRPr="00F52BDB" w14:paraId="6DF0465A" w14:textId="77777777" w:rsidTr="00E8460A">
        <w:trPr>
          <w:trHeight w:val="113"/>
        </w:trPr>
        <w:tc>
          <w:tcPr>
            <w:tcW w:w="9776" w:type="dxa"/>
            <w:gridSpan w:val="6"/>
          </w:tcPr>
          <w:p w14:paraId="16B30C6C" w14:textId="0F77FF7C" w:rsidR="00255EC0" w:rsidRPr="00F52BDB" w:rsidRDefault="00255EC0" w:rsidP="00F52BDB">
            <w:pPr>
              <w:pStyle w:val="Tabletextnospace"/>
              <w:rPr>
                <w:i/>
                <w:iCs/>
                <w:sz w:val="20"/>
                <w:szCs w:val="20"/>
              </w:rPr>
            </w:pPr>
            <w:r w:rsidRPr="00F52BDB">
              <w:rPr>
                <w:i/>
                <w:iCs/>
                <w:sz w:val="20"/>
                <w:szCs w:val="20"/>
              </w:rPr>
              <w:t xml:space="preserve">Higher result due to </w:t>
            </w:r>
            <w:proofErr w:type="gramStart"/>
            <w:r w:rsidRPr="00F52BDB">
              <w:rPr>
                <w:i/>
                <w:iCs/>
                <w:sz w:val="20"/>
                <w:szCs w:val="20"/>
              </w:rPr>
              <w:t>a number of</w:t>
            </w:r>
            <w:proofErr w:type="gramEnd"/>
            <w:r w:rsidRPr="00F52BDB">
              <w:rPr>
                <w:i/>
                <w:iCs/>
                <w:sz w:val="20"/>
                <w:szCs w:val="20"/>
              </w:rPr>
              <w:t xml:space="preserve"> large renewable energy projects amortised over two years, which inflated the investment numbers</w:t>
            </w:r>
            <w:r w:rsidR="00F52BDB">
              <w:rPr>
                <w:i/>
                <w:iCs/>
                <w:sz w:val="20"/>
                <w:szCs w:val="20"/>
              </w:rPr>
              <w:t xml:space="preserve"> </w:t>
            </w:r>
            <w:r w:rsidRPr="00F52BDB">
              <w:rPr>
                <w:i/>
                <w:iCs/>
                <w:sz w:val="20"/>
                <w:szCs w:val="20"/>
              </w:rPr>
              <w:t>by more than $100 million.</w:t>
            </w:r>
          </w:p>
        </w:tc>
      </w:tr>
      <w:tr w:rsidR="00255EC0" w:rsidRPr="00F52BDB" w14:paraId="4D9A589F" w14:textId="77777777" w:rsidTr="00E8460A">
        <w:trPr>
          <w:trHeight w:val="113"/>
        </w:trPr>
        <w:tc>
          <w:tcPr>
            <w:tcW w:w="9776" w:type="dxa"/>
            <w:gridSpan w:val="6"/>
          </w:tcPr>
          <w:p w14:paraId="35C7D099" w14:textId="77777777" w:rsidR="00255EC0" w:rsidRPr="00F52BDB" w:rsidRDefault="00255EC0" w:rsidP="00F52BDB">
            <w:pPr>
              <w:pStyle w:val="Tabletextnospace"/>
              <w:rPr>
                <w:b/>
                <w:bCs/>
                <w:sz w:val="20"/>
                <w:szCs w:val="20"/>
              </w:rPr>
            </w:pPr>
            <w:r w:rsidRPr="00F52BDB">
              <w:rPr>
                <w:b/>
                <w:bCs/>
                <w:sz w:val="20"/>
                <w:szCs w:val="20"/>
              </w:rPr>
              <w:t>Quality</w:t>
            </w:r>
          </w:p>
        </w:tc>
      </w:tr>
      <w:tr w:rsidR="00255EC0" w:rsidRPr="00F52BDB" w14:paraId="0B8E7C1D" w14:textId="77777777" w:rsidTr="00E8460A">
        <w:trPr>
          <w:trHeight w:val="113"/>
        </w:trPr>
        <w:tc>
          <w:tcPr>
            <w:tcW w:w="4660" w:type="dxa"/>
          </w:tcPr>
          <w:p w14:paraId="354699D7" w14:textId="77777777" w:rsidR="00255EC0" w:rsidRPr="00F52BDB" w:rsidRDefault="00255EC0" w:rsidP="00F52BDB">
            <w:pPr>
              <w:pStyle w:val="Tabletextnospace"/>
              <w:rPr>
                <w:sz w:val="20"/>
                <w:szCs w:val="20"/>
              </w:rPr>
            </w:pPr>
            <w:r w:rsidRPr="00F52BDB">
              <w:rPr>
                <w:sz w:val="20"/>
                <w:szCs w:val="20"/>
              </w:rPr>
              <w:t>Participant satisfaction with implementation</w:t>
            </w:r>
            <w:r w:rsidRPr="00F52BDB">
              <w:rPr>
                <w:sz w:val="20"/>
                <w:szCs w:val="20"/>
              </w:rPr>
              <w:br/>
              <w:t>of Regional Development Victoria programs</w:t>
            </w:r>
          </w:p>
        </w:tc>
        <w:tc>
          <w:tcPr>
            <w:tcW w:w="964" w:type="dxa"/>
          </w:tcPr>
          <w:p w14:paraId="70888AEB" w14:textId="77777777" w:rsidR="00255EC0" w:rsidRPr="00F52BDB" w:rsidRDefault="00255EC0" w:rsidP="00F52BDB">
            <w:pPr>
              <w:pStyle w:val="Tabletextnospace"/>
              <w:jc w:val="right"/>
              <w:rPr>
                <w:sz w:val="20"/>
                <w:szCs w:val="20"/>
              </w:rPr>
            </w:pPr>
            <w:r w:rsidRPr="00F52BDB">
              <w:rPr>
                <w:sz w:val="20"/>
                <w:szCs w:val="20"/>
              </w:rPr>
              <w:t>per cent</w:t>
            </w:r>
          </w:p>
        </w:tc>
        <w:tc>
          <w:tcPr>
            <w:tcW w:w="964" w:type="dxa"/>
          </w:tcPr>
          <w:p w14:paraId="414653F4" w14:textId="77777777" w:rsidR="00255EC0" w:rsidRPr="00F52BDB" w:rsidRDefault="00255EC0" w:rsidP="00F52BDB">
            <w:pPr>
              <w:pStyle w:val="Tabletextnospace"/>
              <w:jc w:val="right"/>
              <w:rPr>
                <w:sz w:val="20"/>
                <w:szCs w:val="20"/>
              </w:rPr>
            </w:pPr>
            <w:r w:rsidRPr="00F52BDB">
              <w:rPr>
                <w:sz w:val="20"/>
                <w:szCs w:val="20"/>
              </w:rPr>
              <w:t>100</w:t>
            </w:r>
          </w:p>
        </w:tc>
        <w:tc>
          <w:tcPr>
            <w:tcW w:w="963" w:type="dxa"/>
          </w:tcPr>
          <w:p w14:paraId="420F97C6" w14:textId="77777777" w:rsidR="00255EC0" w:rsidRPr="00F52BDB" w:rsidRDefault="00255EC0" w:rsidP="00F52BDB">
            <w:pPr>
              <w:pStyle w:val="Tabletextnospace"/>
              <w:jc w:val="right"/>
              <w:rPr>
                <w:sz w:val="20"/>
                <w:szCs w:val="20"/>
              </w:rPr>
            </w:pPr>
            <w:r w:rsidRPr="00F52BDB">
              <w:rPr>
                <w:sz w:val="20"/>
                <w:szCs w:val="20"/>
              </w:rPr>
              <w:t>90</w:t>
            </w:r>
          </w:p>
        </w:tc>
        <w:tc>
          <w:tcPr>
            <w:tcW w:w="1375" w:type="dxa"/>
          </w:tcPr>
          <w:p w14:paraId="6B3E627D" w14:textId="77777777" w:rsidR="00255EC0" w:rsidRPr="00F52BDB" w:rsidRDefault="00255EC0" w:rsidP="00F52BDB">
            <w:pPr>
              <w:pStyle w:val="Tabletextnospace"/>
              <w:jc w:val="right"/>
              <w:rPr>
                <w:sz w:val="20"/>
                <w:szCs w:val="20"/>
              </w:rPr>
            </w:pPr>
            <w:r w:rsidRPr="00F52BDB">
              <w:rPr>
                <w:sz w:val="20"/>
                <w:szCs w:val="20"/>
              </w:rPr>
              <w:t>11.1%</w:t>
            </w:r>
          </w:p>
        </w:tc>
        <w:tc>
          <w:tcPr>
            <w:tcW w:w="850" w:type="dxa"/>
          </w:tcPr>
          <w:p w14:paraId="53555443" w14:textId="77777777" w:rsidR="00255EC0" w:rsidRPr="00F52BDB"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52BDB">
              <w:rPr>
                <w:rFonts w:ascii="Wingdings" w:hAnsi="Wingdings" w:cs="Wingdings"/>
                <w:position w:val="-2"/>
                <w:sz w:val="20"/>
                <w:lang w:val="en-GB"/>
              </w:rPr>
              <w:t>ü</w:t>
            </w:r>
          </w:p>
        </w:tc>
      </w:tr>
      <w:tr w:rsidR="00255EC0" w:rsidRPr="00F52BDB" w14:paraId="410A55E8" w14:textId="77777777" w:rsidTr="00E8460A">
        <w:trPr>
          <w:trHeight w:val="113"/>
        </w:trPr>
        <w:tc>
          <w:tcPr>
            <w:tcW w:w="9776" w:type="dxa"/>
            <w:gridSpan w:val="6"/>
          </w:tcPr>
          <w:p w14:paraId="743C1BFB" w14:textId="77777777" w:rsidR="00255EC0" w:rsidRPr="00F52BDB" w:rsidRDefault="00255EC0" w:rsidP="00F52BDB">
            <w:pPr>
              <w:pStyle w:val="Tabletextnospace"/>
              <w:rPr>
                <w:i/>
                <w:iCs/>
                <w:sz w:val="20"/>
                <w:szCs w:val="20"/>
              </w:rPr>
            </w:pPr>
            <w:r w:rsidRPr="00F52BDB">
              <w:rPr>
                <w:i/>
                <w:iCs/>
                <w:sz w:val="20"/>
                <w:szCs w:val="20"/>
              </w:rPr>
              <w:t>Higher result due to improvements in Regional Development Victoria’s approach to grant management, support provided to participants during application stage, and for participants being kept informed about decisions on applications.</w:t>
            </w:r>
          </w:p>
        </w:tc>
      </w:tr>
      <w:tr w:rsidR="00255EC0" w:rsidRPr="00F52BDB" w14:paraId="2B648647" w14:textId="77777777" w:rsidTr="00E8460A">
        <w:trPr>
          <w:trHeight w:val="113"/>
        </w:trPr>
        <w:tc>
          <w:tcPr>
            <w:tcW w:w="9776" w:type="dxa"/>
            <w:gridSpan w:val="6"/>
          </w:tcPr>
          <w:p w14:paraId="448E8A82" w14:textId="77777777" w:rsidR="00255EC0" w:rsidRPr="00F52BDB" w:rsidRDefault="00255EC0" w:rsidP="00F52BDB">
            <w:pPr>
              <w:pStyle w:val="Tabletextnospace"/>
              <w:rPr>
                <w:b/>
                <w:bCs/>
                <w:sz w:val="20"/>
                <w:szCs w:val="20"/>
              </w:rPr>
            </w:pPr>
            <w:r w:rsidRPr="00F52BDB">
              <w:rPr>
                <w:b/>
                <w:bCs/>
                <w:sz w:val="20"/>
                <w:szCs w:val="20"/>
              </w:rPr>
              <w:t>Cost</w:t>
            </w:r>
          </w:p>
        </w:tc>
      </w:tr>
      <w:tr w:rsidR="00255EC0" w:rsidRPr="00F52BDB" w14:paraId="30DA5031" w14:textId="77777777" w:rsidTr="00E8460A">
        <w:trPr>
          <w:trHeight w:val="113"/>
        </w:trPr>
        <w:tc>
          <w:tcPr>
            <w:tcW w:w="4660" w:type="dxa"/>
          </w:tcPr>
          <w:p w14:paraId="4A801E98" w14:textId="77777777" w:rsidR="00255EC0" w:rsidRPr="00F52BDB" w:rsidRDefault="00255EC0" w:rsidP="00F52BDB">
            <w:pPr>
              <w:pStyle w:val="Tabletextnospace"/>
              <w:rPr>
                <w:b/>
                <w:bCs/>
                <w:sz w:val="20"/>
                <w:szCs w:val="20"/>
              </w:rPr>
            </w:pPr>
            <w:r w:rsidRPr="00F52BDB">
              <w:rPr>
                <w:b/>
                <w:bCs/>
                <w:sz w:val="20"/>
                <w:szCs w:val="20"/>
              </w:rPr>
              <w:t>Total output cost</w:t>
            </w:r>
          </w:p>
        </w:tc>
        <w:tc>
          <w:tcPr>
            <w:tcW w:w="964" w:type="dxa"/>
          </w:tcPr>
          <w:p w14:paraId="30228E07" w14:textId="77777777" w:rsidR="00255EC0" w:rsidRPr="00F52BDB" w:rsidRDefault="00255EC0" w:rsidP="00F52BDB">
            <w:pPr>
              <w:pStyle w:val="Tabletextnospace"/>
              <w:jc w:val="right"/>
              <w:rPr>
                <w:b/>
                <w:bCs/>
                <w:sz w:val="20"/>
                <w:szCs w:val="20"/>
              </w:rPr>
            </w:pPr>
            <w:r w:rsidRPr="00F52BDB">
              <w:rPr>
                <w:b/>
                <w:bCs/>
                <w:sz w:val="20"/>
                <w:szCs w:val="20"/>
              </w:rPr>
              <w:t>$ million</w:t>
            </w:r>
          </w:p>
        </w:tc>
        <w:tc>
          <w:tcPr>
            <w:tcW w:w="964" w:type="dxa"/>
          </w:tcPr>
          <w:p w14:paraId="38AF7018" w14:textId="77777777" w:rsidR="00255EC0" w:rsidRPr="00F52BDB" w:rsidRDefault="00255EC0" w:rsidP="00F52BDB">
            <w:pPr>
              <w:pStyle w:val="Tabletextnospace"/>
              <w:jc w:val="right"/>
              <w:rPr>
                <w:b/>
                <w:bCs/>
                <w:sz w:val="20"/>
                <w:szCs w:val="20"/>
              </w:rPr>
            </w:pPr>
            <w:r w:rsidRPr="00F52BDB">
              <w:rPr>
                <w:b/>
                <w:bCs/>
                <w:sz w:val="20"/>
                <w:szCs w:val="20"/>
              </w:rPr>
              <w:t>279.2</w:t>
            </w:r>
          </w:p>
        </w:tc>
        <w:tc>
          <w:tcPr>
            <w:tcW w:w="963" w:type="dxa"/>
          </w:tcPr>
          <w:p w14:paraId="3D6C227C" w14:textId="77777777" w:rsidR="00255EC0" w:rsidRPr="00F52BDB" w:rsidRDefault="00255EC0" w:rsidP="00F52BDB">
            <w:pPr>
              <w:pStyle w:val="Tabletextnospace"/>
              <w:jc w:val="right"/>
              <w:rPr>
                <w:b/>
                <w:bCs/>
                <w:sz w:val="20"/>
                <w:szCs w:val="20"/>
              </w:rPr>
            </w:pPr>
            <w:r w:rsidRPr="00F52BDB">
              <w:rPr>
                <w:b/>
                <w:bCs/>
                <w:sz w:val="20"/>
                <w:szCs w:val="20"/>
              </w:rPr>
              <w:t>311.4</w:t>
            </w:r>
          </w:p>
        </w:tc>
        <w:tc>
          <w:tcPr>
            <w:tcW w:w="1375" w:type="dxa"/>
          </w:tcPr>
          <w:p w14:paraId="7873B9BF" w14:textId="77777777" w:rsidR="00255EC0" w:rsidRPr="00F52BDB" w:rsidRDefault="00255EC0" w:rsidP="00F52BDB">
            <w:pPr>
              <w:pStyle w:val="Tabletextnospace"/>
              <w:jc w:val="right"/>
              <w:rPr>
                <w:b/>
                <w:bCs/>
                <w:sz w:val="20"/>
                <w:szCs w:val="20"/>
              </w:rPr>
            </w:pPr>
            <w:r w:rsidRPr="00F52BDB">
              <w:rPr>
                <w:b/>
                <w:bCs/>
                <w:sz w:val="20"/>
                <w:szCs w:val="20"/>
              </w:rPr>
              <w:t>-10.0%</w:t>
            </w:r>
          </w:p>
        </w:tc>
        <w:tc>
          <w:tcPr>
            <w:tcW w:w="850" w:type="dxa"/>
          </w:tcPr>
          <w:p w14:paraId="0AA9D844" w14:textId="77777777" w:rsidR="00255EC0" w:rsidRPr="00F52BDB" w:rsidRDefault="00255EC0" w:rsidP="00255EC0">
            <w:pPr>
              <w:suppressAutoHyphens/>
              <w:autoSpaceDE w:val="0"/>
              <w:autoSpaceDN w:val="0"/>
              <w:adjustRightInd w:val="0"/>
              <w:spacing w:after="113" w:line="220" w:lineRule="atLeast"/>
              <w:jc w:val="right"/>
              <w:textAlignment w:val="center"/>
              <w:rPr>
                <w:rFonts w:ascii="VIC Light" w:hAnsi="VIC Light" w:cs="VIC Light"/>
                <w:b/>
                <w:bCs/>
                <w:sz w:val="20"/>
                <w:lang w:val="en-GB"/>
              </w:rPr>
            </w:pPr>
            <w:r w:rsidRPr="00F52BDB">
              <w:rPr>
                <w:rFonts w:ascii="Wingdings" w:hAnsi="Wingdings" w:cs="Wingdings"/>
                <w:b/>
                <w:bCs/>
                <w:position w:val="-2"/>
                <w:sz w:val="20"/>
                <w:lang w:val="en-GB"/>
              </w:rPr>
              <w:t>ü</w:t>
            </w:r>
          </w:p>
        </w:tc>
      </w:tr>
      <w:tr w:rsidR="00255EC0" w:rsidRPr="00F52BDB" w14:paraId="27A4B47D" w14:textId="77777777" w:rsidTr="00E8460A">
        <w:trPr>
          <w:trHeight w:val="113"/>
        </w:trPr>
        <w:tc>
          <w:tcPr>
            <w:tcW w:w="9776" w:type="dxa"/>
            <w:gridSpan w:val="6"/>
          </w:tcPr>
          <w:p w14:paraId="42433713" w14:textId="77777777" w:rsidR="00255EC0" w:rsidRPr="00F52BDB" w:rsidRDefault="00255EC0" w:rsidP="00F52BDB">
            <w:pPr>
              <w:pStyle w:val="Tabletextnospace"/>
              <w:rPr>
                <w:i/>
                <w:iCs/>
                <w:sz w:val="20"/>
                <w:szCs w:val="20"/>
              </w:rPr>
            </w:pPr>
            <w:r w:rsidRPr="00F52BDB">
              <w:rPr>
                <w:i/>
                <w:iCs/>
                <w:sz w:val="20"/>
                <w:szCs w:val="20"/>
              </w:rPr>
              <w:t>The 2019–20 result was lower than budget primarily due to the timing of payments relating to the delivery of various programs.</w:t>
            </w:r>
          </w:p>
        </w:tc>
      </w:tr>
      <w:tr w:rsidR="00255EC0" w:rsidRPr="00255EC0" w14:paraId="25E97737" w14:textId="77777777" w:rsidTr="00E8460A">
        <w:trPr>
          <w:trHeight w:val="113"/>
        </w:trPr>
        <w:tc>
          <w:tcPr>
            <w:tcW w:w="9776" w:type="dxa"/>
            <w:gridSpan w:val="6"/>
          </w:tcPr>
          <w:p w14:paraId="74ACD80E" w14:textId="77777777" w:rsidR="00255EC0" w:rsidRPr="00255EC0" w:rsidRDefault="00255EC0" w:rsidP="00F52BDB">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088F42A4" w14:textId="77777777" w:rsidR="00255EC0" w:rsidRPr="00255EC0" w:rsidRDefault="00255EC0" w:rsidP="00A570D6">
      <w:pPr>
        <w:pStyle w:val="Body"/>
      </w:pPr>
    </w:p>
    <w:p w14:paraId="37C64560" w14:textId="64EE47E3" w:rsidR="00255EC0" w:rsidRPr="00255EC0" w:rsidRDefault="00255EC0" w:rsidP="00A570D6">
      <w:pPr>
        <w:pStyle w:val="Heading3"/>
      </w:pPr>
      <w:r w:rsidRPr="00255EC0">
        <w:lastRenderedPageBreak/>
        <w:t>Objective 5: Grow vibrant,</w:t>
      </w:r>
      <w:r w:rsidR="00A570D6">
        <w:t xml:space="preserve"> </w:t>
      </w:r>
      <w:proofErr w:type="gramStart"/>
      <w:r w:rsidRPr="00255EC0">
        <w:t>active</w:t>
      </w:r>
      <w:proofErr w:type="gramEnd"/>
      <w:r w:rsidRPr="00255EC0">
        <w:t xml:space="preserve"> and creative communities</w:t>
      </w:r>
    </w:p>
    <w:p w14:paraId="4C603DFB" w14:textId="63E1C728" w:rsidR="00255EC0" w:rsidRPr="00255EC0" w:rsidRDefault="00255EC0" w:rsidP="00A570D6">
      <w:pPr>
        <w:pStyle w:val="Body"/>
        <w:keepNext/>
        <w:keepLines/>
      </w:pPr>
      <w:r w:rsidRPr="00255EC0">
        <w:t>This objective seeks to increase the economic, social and cultural value of the creative, sport and recreation industries to Victoria, grow the number and yield of visitors, position Victoria as a major events destination, and ensure the best cultural</w:t>
      </w:r>
      <w:r w:rsidR="00A570D6">
        <w:t xml:space="preserve"> </w:t>
      </w:r>
      <w:r w:rsidRPr="00255EC0">
        <w:t>and sporting experiences are accessible</w:t>
      </w:r>
      <w:r w:rsidR="00A570D6">
        <w:t xml:space="preserve"> </w:t>
      </w:r>
      <w:r w:rsidRPr="00255EC0">
        <w:t>to everyone.</w:t>
      </w:r>
    </w:p>
    <w:p w14:paraId="7F97CF84" w14:textId="29DFC4DD" w:rsidR="00255EC0" w:rsidRPr="00255EC0" w:rsidRDefault="00255EC0" w:rsidP="00A570D6">
      <w:pPr>
        <w:pStyle w:val="Heading3"/>
      </w:pPr>
      <w:r w:rsidRPr="00255EC0">
        <w:t>Progress towards achieving</w:t>
      </w:r>
      <w:r w:rsidR="00A570D6">
        <w:t xml:space="preserve"> </w:t>
      </w:r>
      <w:r w:rsidRPr="00255EC0">
        <w:t>this objective</w:t>
      </w:r>
    </w:p>
    <w:p w14:paraId="7E00ED97" w14:textId="08569B04" w:rsidR="00255EC0" w:rsidRPr="00255EC0" w:rsidRDefault="00255EC0" w:rsidP="00A570D6">
      <w:pPr>
        <w:pStyle w:val="Body"/>
      </w:pPr>
      <w:r w:rsidRPr="00255EC0">
        <w:t>In 2019–20, the department reported progress against this objective using the following</w:t>
      </w:r>
      <w:r w:rsidR="00A570D6">
        <w:t xml:space="preserve"> </w:t>
      </w:r>
      <w:r w:rsidRPr="00255EC0">
        <w:t>objective indicators and outputs:</w:t>
      </w:r>
    </w:p>
    <w:p w14:paraId="04A7B6C4" w14:textId="77777777" w:rsidR="00255EC0" w:rsidRPr="00255EC0" w:rsidRDefault="00255EC0" w:rsidP="00A570D6">
      <w:pPr>
        <w:pStyle w:val="Heading4"/>
      </w:pPr>
      <w:r w:rsidRPr="00255EC0">
        <w:t>Objective Indicators</w:t>
      </w:r>
    </w:p>
    <w:p w14:paraId="311B28E3" w14:textId="77777777" w:rsidR="00255EC0" w:rsidRPr="00255EC0" w:rsidRDefault="00255EC0" w:rsidP="00A570D6">
      <w:pPr>
        <w:pStyle w:val="L1Bullets"/>
      </w:pPr>
      <w:r w:rsidRPr="00255EC0">
        <w:t>Attendances at Creative Industries agencies</w:t>
      </w:r>
      <w:r w:rsidRPr="00255EC0">
        <w:br/>
        <w:t>and funded Major Performing Arts organisations</w:t>
      </w:r>
    </w:p>
    <w:p w14:paraId="79FC6254" w14:textId="77777777" w:rsidR="00255EC0" w:rsidRPr="00255EC0" w:rsidRDefault="00255EC0" w:rsidP="00A570D6">
      <w:pPr>
        <w:pStyle w:val="L1Bullets"/>
      </w:pPr>
      <w:r w:rsidRPr="00255EC0">
        <w:t>Employment in the Creative Industries sector</w:t>
      </w:r>
    </w:p>
    <w:p w14:paraId="625536DC" w14:textId="77777777" w:rsidR="00255EC0" w:rsidRPr="00255EC0" w:rsidRDefault="00255EC0" w:rsidP="00A570D6">
      <w:pPr>
        <w:pStyle w:val="L1Bullets"/>
      </w:pPr>
      <w:r w:rsidRPr="00255EC0">
        <w:t>Employment in the Visitor Economy sector</w:t>
      </w:r>
    </w:p>
    <w:p w14:paraId="7A2689FC" w14:textId="77777777" w:rsidR="00255EC0" w:rsidRPr="00255EC0" w:rsidRDefault="00255EC0" w:rsidP="00A570D6">
      <w:pPr>
        <w:pStyle w:val="L1Bullets"/>
      </w:pPr>
      <w:r w:rsidRPr="00255EC0">
        <w:t>Tourists attracted to Victoria</w:t>
      </w:r>
    </w:p>
    <w:p w14:paraId="33887040" w14:textId="77777777" w:rsidR="00255EC0" w:rsidRPr="00255EC0" w:rsidRDefault="00255EC0" w:rsidP="00A570D6">
      <w:pPr>
        <w:pStyle w:val="L1Bullets"/>
      </w:pPr>
      <w:r w:rsidRPr="00255EC0">
        <w:t>Increase rates of community engagement, including through participation in sport</w:t>
      </w:r>
      <w:r w:rsidRPr="00255EC0">
        <w:br/>
        <w:t>and recreation</w:t>
      </w:r>
    </w:p>
    <w:p w14:paraId="144709B7" w14:textId="0C1D2FB8" w:rsidR="00255EC0" w:rsidRPr="00255EC0" w:rsidRDefault="00255EC0" w:rsidP="00A570D6">
      <w:pPr>
        <w:pStyle w:val="L1Bulletslast"/>
      </w:pPr>
      <w:r w:rsidRPr="00255EC0">
        <w:t>Wagering turnover on Victorian racing</w:t>
      </w:r>
      <w:r w:rsidR="00A570D6">
        <w:t xml:space="preserve"> </w:t>
      </w:r>
      <w:r w:rsidRPr="00255EC0">
        <w:t>as a proportion of the national market</w:t>
      </w:r>
    </w:p>
    <w:p w14:paraId="044C6962" w14:textId="77777777" w:rsidR="00255EC0" w:rsidRPr="00255EC0" w:rsidRDefault="00255EC0" w:rsidP="00A570D6">
      <w:pPr>
        <w:pStyle w:val="Heading4"/>
      </w:pPr>
      <w:r w:rsidRPr="00255EC0">
        <w:t>Outputs</w:t>
      </w:r>
    </w:p>
    <w:p w14:paraId="0273750D" w14:textId="13FD61FB" w:rsidR="00255EC0" w:rsidRPr="00255EC0" w:rsidRDefault="00255EC0" w:rsidP="00A570D6">
      <w:pPr>
        <w:pStyle w:val="L1Bullets"/>
      </w:pPr>
      <w:r w:rsidRPr="00255EC0">
        <w:t xml:space="preserve">Creative Industries Access, </w:t>
      </w:r>
      <w:proofErr w:type="gramStart"/>
      <w:r w:rsidRPr="00255EC0">
        <w:t>Development</w:t>
      </w:r>
      <w:proofErr w:type="gramEnd"/>
      <w:r w:rsidR="00A570D6">
        <w:t xml:space="preserve"> </w:t>
      </w:r>
      <w:r w:rsidRPr="00255EC0">
        <w:t>and Innovation</w:t>
      </w:r>
    </w:p>
    <w:p w14:paraId="225E19CA" w14:textId="77777777" w:rsidR="00255EC0" w:rsidRPr="00255EC0" w:rsidRDefault="00255EC0" w:rsidP="00A570D6">
      <w:pPr>
        <w:pStyle w:val="L1Bullets"/>
      </w:pPr>
      <w:r w:rsidRPr="00255EC0">
        <w:t>Creative Industries Portfolio Agencies</w:t>
      </w:r>
    </w:p>
    <w:p w14:paraId="0F10185B" w14:textId="77777777" w:rsidR="00255EC0" w:rsidRPr="00255EC0" w:rsidRDefault="00255EC0" w:rsidP="00A570D6">
      <w:pPr>
        <w:pStyle w:val="L1Bullets"/>
      </w:pPr>
      <w:r w:rsidRPr="00255EC0">
        <w:t>Cultural Infrastructure and Facilities</w:t>
      </w:r>
    </w:p>
    <w:p w14:paraId="7783077D" w14:textId="77777777" w:rsidR="00255EC0" w:rsidRPr="00255EC0" w:rsidRDefault="00255EC0" w:rsidP="00A570D6">
      <w:pPr>
        <w:pStyle w:val="L1Bullets"/>
      </w:pPr>
      <w:r w:rsidRPr="00255EC0">
        <w:t>Sport, Recreation and Racing</w:t>
      </w:r>
    </w:p>
    <w:p w14:paraId="78C33B98" w14:textId="77777777" w:rsidR="00255EC0" w:rsidRPr="00255EC0" w:rsidRDefault="00255EC0" w:rsidP="00A570D6">
      <w:pPr>
        <w:pStyle w:val="L1Bulletslast"/>
      </w:pPr>
      <w:r w:rsidRPr="00255EC0">
        <w:t>Tourism and Major Events</w:t>
      </w:r>
    </w:p>
    <w:p w14:paraId="3FFD194B" w14:textId="6B0AE717" w:rsidR="00255EC0" w:rsidRPr="00255EC0" w:rsidRDefault="00255EC0" w:rsidP="00A570D6">
      <w:pPr>
        <w:pStyle w:val="Heading4"/>
        <w:rPr>
          <w:rFonts w:ascii="VIC Medium" w:hAnsi="VIC Medium" w:cs="VIC Medium"/>
        </w:rPr>
      </w:pPr>
      <w:r w:rsidRPr="00255EC0">
        <w:t>Indicator: Attendances at Creative Industries agencies and funded</w:t>
      </w:r>
      <w:r w:rsidR="00A570D6">
        <w:t xml:space="preserve"> </w:t>
      </w:r>
      <w:r w:rsidRPr="00255EC0">
        <w:t>Major Performing Arts organisations</w:t>
      </w:r>
    </w:p>
    <w:p w14:paraId="6BC016CE" w14:textId="77777777" w:rsidR="00255EC0" w:rsidRPr="00255EC0" w:rsidRDefault="00255EC0" w:rsidP="00A570D6">
      <w:pPr>
        <w:pStyle w:val="Heading5"/>
      </w:pPr>
      <w:r w:rsidRPr="00255EC0">
        <w:t>Table 12: Attendances at Creative Industries portfolio agencies</w:t>
      </w:r>
    </w:p>
    <w:tbl>
      <w:tblPr>
        <w:tblStyle w:val="TableGrid"/>
        <w:tblW w:w="0" w:type="auto"/>
        <w:tblLayout w:type="fixed"/>
        <w:tblLook w:val="0020" w:firstRow="1" w:lastRow="0" w:firstColumn="0" w:lastColumn="0" w:noHBand="0" w:noVBand="0"/>
      </w:tblPr>
      <w:tblGrid>
        <w:gridCol w:w="4195"/>
        <w:gridCol w:w="1361"/>
        <w:gridCol w:w="1361"/>
        <w:gridCol w:w="1360"/>
        <w:gridCol w:w="1361"/>
      </w:tblGrid>
      <w:tr w:rsidR="00255EC0" w:rsidRPr="00A570D6" w14:paraId="4713B944" w14:textId="77777777" w:rsidTr="00E8460A">
        <w:trPr>
          <w:trHeight w:val="113"/>
        </w:trPr>
        <w:tc>
          <w:tcPr>
            <w:tcW w:w="4195" w:type="dxa"/>
          </w:tcPr>
          <w:p w14:paraId="4337BE65" w14:textId="77777777" w:rsidR="00255EC0" w:rsidRPr="00A570D6" w:rsidRDefault="00255EC0" w:rsidP="00A570D6">
            <w:pPr>
              <w:pStyle w:val="TableColumnheading"/>
              <w:rPr>
                <w:sz w:val="20"/>
                <w:szCs w:val="18"/>
              </w:rPr>
            </w:pPr>
            <w:r w:rsidRPr="00A570D6">
              <w:rPr>
                <w:sz w:val="20"/>
                <w:szCs w:val="18"/>
              </w:rPr>
              <w:t>Measure (unit of measure)</w:t>
            </w:r>
          </w:p>
        </w:tc>
        <w:tc>
          <w:tcPr>
            <w:tcW w:w="1361" w:type="dxa"/>
          </w:tcPr>
          <w:p w14:paraId="4C8FEF59" w14:textId="77777777" w:rsidR="00255EC0" w:rsidRPr="00A570D6" w:rsidRDefault="00255EC0" w:rsidP="00A570D6">
            <w:pPr>
              <w:pStyle w:val="TableColumnheading"/>
              <w:jc w:val="right"/>
              <w:rPr>
                <w:sz w:val="20"/>
                <w:szCs w:val="18"/>
              </w:rPr>
            </w:pPr>
            <w:r w:rsidRPr="00A570D6">
              <w:rPr>
                <w:sz w:val="20"/>
                <w:szCs w:val="18"/>
              </w:rPr>
              <w:t>2016–17</w:t>
            </w:r>
          </w:p>
        </w:tc>
        <w:tc>
          <w:tcPr>
            <w:tcW w:w="1361" w:type="dxa"/>
          </w:tcPr>
          <w:p w14:paraId="48DE0E2F" w14:textId="77777777" w:rsidR="00255EC0" w:rsidRPr="00A570D6" w:rsidRDefault="00255EC0" w:rsidP="00A570D6">
            <w:pPr>
              <w:pStyle w:val="TableColumnheading"/>
              <w:jc w:val="right"/>
              <w:rPr>
                <w:sz w:val="20"/>
                <w:szCs w:val="18"/>
              </w:rPr>
            </w:pPr>
            <w:r w:rsidRPr="00A570D6">
              <w:rPr>
                <w:sz w:val="20"/>
                <w:szCs w:val="18"/>
              </w:rPr>
              <w:t>2017–18</w:t>
            </w:r>
          </w:p>
        </w:tc>
        <w:tc>
          <w:tcPr>
            <w:tcW w:w="1360" w:type="dxa"/>
          </w:tcPr>
          <w:p w14:paraId="09D30DA6" w14:textId="77777777" w:rsidR="00255EC0" w:rsidRPr="00A570D6" w:rsidRDefault="00255EC0" w:rsidP="00A570D6">
            <w:pPr>
              <w:pStyle w:val="TableColumnheading"/>
              <w:jc w:val="right"/>
              <w:rPr>
                <w:sz w:val="20"/>
                <w:szCs w:val="18"/>
              </w:rPr>
            </w:pPr>
            <w:r w:rsidRPr="00A570D6">
              <w:rPr>
                <w:sz w:val="20"/>
                <w:szCs w:val="18"/>
              </w:rPr>
              <w:t>2018–19</w:t>
            </w:r>
          </w:p>
        </w:tc>
        <w:tc>
          <w:tcPr>
            <w:tcW w:w="1361" w:type="dxa"/>
          </w:tcPr>
          <w:p w14:paraId="00BF545A" w14:textId="77777777" w:rsidR="00255EC0" w:rsidRPr="00A570D6" w:rsidRDefault="00255EC0" w:rsidP="00A570D6">
            <w:pPr>
              <w:pStyle w:val="TableColumnheading"/>
              <w:jc w:val="right"/>
              <w:rPr>
                <w:sz w:val="20"/>
                <w:szCs w:val="18"/>
              </w:rPr>
            </w:pPr>
            <w:r w:rsidRPr="00A570D6">
              <w:rPr>
                <w:sz w:val="20"/>
                <w:szCs w:val="18"/>
              </w:rPr>
              <w:t>2019–20</w:t>
            </w:r>
          </w:p>
        </w:tc>
      </w:tr>
      <w:tr w:rsidR="00255EC0" w:rsidRPr="00A570D6" w14:paraId="71A32293" w14:textId="77777777" w:rsidTr="00E8460A">
        <w:trPr>
          <w:trHeight w:val="113"/>
        </w:trPr>
        <w:tc>
          <w:tcPr>
            <w:tcW w:w="4195" w:type="dxa"/>
          </w:tcPr>
          <w:p w14:paraId="5AB744DD" w14:textId="77777777" w:rsidR="00255EC0" w:rsidRPr="00A570D6" w:rsidRDefault="00255EC0" w:rsidP="00A570D6">
            <w:pPr>
              <w:pStyle w:val="Tabletextnospace"/>
              <w:rPr>
                <w:sz w:val="20"/>
              </w:rPr>
            </w:pPr>
            <w:r w:rsidRPr="00A570D6">
              <w:rPr>
                <w:sz w:val="20"/>
              </w:rPr>
              <w:t>Attendances at creative industries portfolio agencies (number (‘000))</w:t>
            </w:r>
          </w:p>
        </w:tc>
        <w:tc>
          <w:tcPr>
            <w:tcW w:w="1361" w:type="dxa"/>
          </w:tcPr>
          <w:p w14:paraId="43D9AB73" w14:textId="77777777" w:rsidR="00255EC0" w:rsidRPr="00A570D6" w:rsidRDefault="00255EC0" w:rsidP="00A570D6">
            <w:pPr>
              <w:pStyle w:val="Tabletextnospace"/>
              <w:jc w:val="right"/>
              <w:rPr>
                <w:sz w:val="20"/>
              </w:rPr>
            </w:pPr>
            <w:r w:rsidRPr="00A570D6">
              <w:rPr>
                <w:sz w:val="20"/>
              </w:rPr>
              <w:t>11,766</w:t>
            </w:r>
          </w:p>
        </w:tc>
        <w:tc>
          <w:tcPr>
            <w:tcW w:w="1361" w:type="dxa"/>
          </w:tcPr>
          <w:p w14:paraId="10933A77" w14:textId="77777777" w:rsidR="00255EC0" w:rsidRPr="00A570D6" w:rsidRDefault="00255EC0" w:rsidP="00A570D6">
            <w:pPr>
              <w:pStyle w:val="Tabletextnospace"/>
              <w:jc w:val="right"/>
              <w:rPr>
                <w:sz w:val="20"/>
              </w:rPr>
            </w:pPr>
            <w:r w:rsidRPr="00A570D6">
              <w:rPr>
                <w:sz w:val="20"/>
              </w:rPr>
              <w:t>13,170</w:t>
            </w:r>
          </w:p>
        </w:tc>
        <w:tc>
          <w:tcPr>
            <w:tcW w:w="1360" w:type="dxa"/>
          </w:tcPr>
          <w:p w14:paraId="7B3698FB" w14:textId="77777777" w:rsidR="00255EC0" w:rsidRPr="00A570D6" w:rsidRDefault="00255EC0" w:rsidP="00A570D6">
            <w:pPr>
              <w:pStyle w:val="Tabletextnospace"/>
              <w:jc w:val="right"/>
              <w:rPr>
                <w:sz w:val="20"/>
              </w:rPr>
            </w:pPr>
            <w:r w:rsidRPr="00A570D6">
              <w:rPr>
                <w:sz w:val="20"/>
              </w:rPr>
              <w:t>12,786</w:t>
            </w:r>
          </w:p>
        </w:tc>
        <w:tc>
          <w:tcPr>
            <w:tcW w:w="1361" w:type="dxa"/>
          </w:tcPr>
          <w:p w14:paraId="7897C666" w14:textId="77777777" w:rsidR="00255EC0" w:rsidRPr="00A570D6" w:rsidRDefault="00255EC0" w:rsidP="00A570D6">
            <w:pPr>
              <w:pStyle w:val="Tabletextnospace"/>
              <w:jc w:val="right"/>
              <w:rPr>
                <w:sz w:val="20"/>
              </w:rPr>
            </w:pPr>
            <w:r w:rsidRPr="00A570D6">
              <w:rPr>
                <w:sz w:val="20"/>
              </w:rPr>
              <w:t>9,417</w:t>
            </w:r>
          </w:p>
        </w:tc>
      </w:tr>
    </w:tbl>
    <w:p w14:paraId="1A72546B" w14:textId="77777777" w:rsidR="00255EC0" w:rsidRPr="00255EC0" w:rsidRDefault="00255EC0" w:rsidP="00A570D6">
      <w:pPr>
        <w:pStyle w:val="Body"/>
      </w:pPr>
    </w:p>
    <w:p w14:paraId="173A81D6" w14:textId="7F4A2017" w:rsidR="00255EC0" w:rsidRPr="00255EC0" w:rsidRDefault="00255EC0" w:rsidP="00A570D6">
      <w:pPr>
        <w:pStyle w:val="Heading5"/>
      </w:pPr>
      <w:r w:rsidRPr="00255EC0">
        <w:t>Figure 9: Attendances at Creative Industries</w:t>
      </w:r>
      <w:r w:rsidR="00A570D6">
        <w:t xml:space="preserve"> </w:t>
      </w:r>
      <w:r w:rsidRPr="00255EC0">
        <w:t>portfolio agencies</w:t>
      </w:r>
    </w:p>
    <w:p w14:paraId="3A939A80" w14:textId="12643344" w:rsidR="00255EC0" w:rsidRPr="00255EC0" w:rsidRDefault="00A570D6" w:rsidP="00A570D6">
      <w:pPr>
        <w:pStyle w:val="Body"/>
      </w:pPr>
      <w:r>
        <w:rPr>
          <w:noProof/>
        </w:rPr>
        <w:drawing>
          <wp:inline distT="0" distB="0" distL="0" distR="0" wp14:anchorId="290F609E" wp14:editId="73866460">
            <wp:extent cx="1990725" cy="1323975"/>
            <wp:effectExtent l="0" t="0" r="9525" b="9525"/>
            <wp:docPr id="14" name="Graphic 14" descr="Figure 9: Attendances at Creative Industries portfolio agenci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igure 9: Attendances at Creative Industries portfolio agencies graph"/>
                    <pic:cNvPicPr/>
                  </pic:nvPicPr>
                  <pic:blipFill>
                    <a:blip r:embed="rId26">
                      <a:extLst>
                        <a:ext uri="{96DAC541-7B7A-43D3-8B79-37D633B846F1}">
                          <asvg:svgBlip xmlns:asvg="http://schemas.microsoft.com/office/drawing/2016/SVG/main" r:embed="rId27"/>
                        </a:ext>
                      </a:extLst>
                    </a:blip>
                    <a:stretch>
                      <a:fillRect/>
                    </a:stretch>
                  </pic:blipFill>
                  <pic:spPr>
                    <a:xfrm>
                      <a:off x="0" y="0"/>
                      <a:ext cx="1990725" cy="1323975"/>
                    </a:xfrm>
                    <a:prstGeom prst="rect">
                      <a:avLst/>
                    </a:prstGeom>
                  </pic:spPr>
                </pic:pic>
              </a:graphicData>
            </a:graphic>
          </wp:inline>
        </w:drawing>
      </w:r>
    </w:p>
    <w:p w14:paraId="4B9AFD56" w14:textId="77777777" w:rsidR="00255EC0" w:rsidRPr="00255EC0" w:rsidRDefault="00255EC0" w:rsidP="00A570D6">
      <w:pPr>
        <w:pStyle w:val="Body"/>
      </w:pPr>
      <w:r w:rsidRPr="00255EC0">
        <w:lastRenderedPageBreak/>
        <w:t>In 2019–20, Victoria’s state-owned arts and cultural institutions – Arts Centre Melbourne, Australian Centre for the Moving Image (</w:t>
      </w:r>
      <w:proofErr w:type="spellStart"/>
      <w:r w:rsidRPr="00255EC0">
        <w:t>ACMI</w:t>
      </w:r>
      <w:proofErr w:type="spellEnd"/>
      <w:r w:rsidRPr="00255EC0">
        <w:t>), Docklands Studios Melbourne, Film Victoria, Geelong Arts Centre</w:t>
      </w:r>
      <w:r w:rsidRPr="00255EC0">
        <w:rPr>
          <w:vertAlign w:val="superscript"/>
        </w:rPr>
        <w:footnoteReference w:id="1"/>
      </w:r>
      <w:r w:rsidRPr="00255EC0">
        <w:t>, Melbourne Recital Centre, Museums Victoria, National Gallery of Victoria (</w:t>
      </w:r>
      <w:proofErr w:type="spellStart"/>
      <w:r w:rsidRPr="00255EC0">
        <w:t>NGV</w:t>
      </w:r>
      <w:proofErr w:type="spellEnd"/>
      <w:r w:rsidRPr="00255EC0">
        <w:t xml:space="preserve">), and State Library Victoria – were attended by 9.4 million visitors, a reduction on the record levels set in earlier years. The decline in attendances occurred </w:t>
      </w:r>
      <w:proofErr w:type="gramStart"/>
      <w:r w:rsidRPr="00255EC0">
        <w:t>as a result of</w:t>
      </w:r>
      <w:proofErr w:type="gramEnd"/>
      <w:r w:rsidRPr="00255EC0">
        <w:t xml:space="preserve"> the restrictions in place to slow the spread of coronavirus (COVID-19).</w:t>
      </w:r>
    </w:p>
    <w:p w14:paraId="523EE1CF" w14:textId="77777777" w:rsidR="00255EC0" w:rsidRPr="00255EC0" w:rsidRDefault="00255EC0" w:rsidP="00A570D6">
      <w:pPr>
        <w:pStyle w:val="Body"/>
      </w:pPr>
      <w:r w:rsidRPr="00255EC0">
        <w:t>Major exhibitions which attracted large crowds during 2019–20 prior to the impact of the coronavirus (COVID-19) pandemic included:</w:t>
      </w:r>
    </w:p>
    <w:p w14:paraId="51699F69" w14:textId="77777777" w:rsidR="00255EC0" w:rsidRPr="00255EC0" w:rsidRDefault="00255EC0" w:rsidP="00A570D6">
      <w:pPr>
        <w:pStyle w:val="L2Bullets"/>
      </w:pPr>
      <w:proofErr w:type="spellStart"/>
      <w:r w:rsidRPr="00A570D6">
        <w:t>KAWS</w:t>
      </w:r>
      <w:proofErr w:type="spellEnd"/>
      <w:r w:rsidRPr="00A570D6">
        <w:t>: Companionship in the Age of Loneliness l</w:t>
      </w:r>
      <w:r w:rsidRPr="00255EC0">
        <w:t xml:space="preserve">arger-than-life sculptures and colour-filled paintings of hybrid cartoon and human characters at the </w:t>
      </w:r>
      <w:proofErr w:type="spellStart"/>
      <w:proofErr w:type="gramStart"/>
      <w:r w:rsidRPr="00255EC0">
        <w:t>NGV</w:t>
      </w:r>
      <w:proofErr w:type="spellEnd"/>
      <w:r w:rsidRPr="00255EC0">
        <w:t>;</w:t>
      </w:r>
      <w:proofErr w:type="gramEnd"/>
    </w:p>
    <w:p w14:paraId="5C15577C" w14:textId="77777777" w:rsidR="00255EC0" w:rsidRPr="00255EC0" w:rsidRDefault="00255EC0" w:rsidP="00A570D6">
      <w:pPr>
        <w:pStyle w:val="L2Bullets"/>
      </w:pPr>
      <w:r w:rsidRPr="00255EC0">
        <w:t xml:space="preserve">The world premiere exhibition at the </w:t>
      </w:r>
      <w:proofErr w:type="spellStart"/>
      <w:r w:rsidRPr="00255EC0">
        <w:t>NGV</w:t>
      </w:r>
      <w:proofErr w:type="spellEnd"/>
      <w:r w:rsidRPr="00255EC0">
        <w:t xml:space="preserve"> of the work of two of the most significant and influential artists of the late twentieth century in </w:t>
      </w:r>
      <w:r w:rsidRPr="00A570D6">
        <w:t xml:space="preserve">Keith Haring | Jean-Michel Basquiat: Crossing </w:t>
      </w:r>
      <w:proofErr w:type="gramStart"/>
      <w:r w:rsidRPr="00A570D6">
        <w:t>Lines;</w:t>
      </w:r>
      <w:proofErr w:type="gramEnd"/>
    </w:p>
    <w:p w14:paraId="39CA0FCE" w14:textId="77777777" w:rsidR="00255EC0" w:rsidRPr="00255EC0" w:rsidRDefault="00836146" w:rsidP="00A570D6">
      <w:pPr>
        <w:pStyle w:val="L2Bullets"/>
      </w:pPr>
      <w:hyperlink r:id="rId28" w:history="1">
        <w:r w:rsidR="00255EC0" w:rsidRPr="00A570D6">
          <w:t>Velvet, Iron, Ashes</w:t>
        </w:r>
      </w:hyperlink>
      <w:r w:rsidR="00255EC0" w:rsidRPr="00255EC0">
        <w:t>, the iconic Ashes Urn on exclusive loan from Marylebone Cricket Club</w:t>
      </w:r>
      <w:r w:rsidR="00255EC0" w:rsidRPr="00255EC0">
        <w:br/>
        <w:t xml:space="preserve">in London, at the State Library of </w:t>
      </w:r>
      <w:proofErr w:type="gramStart"/>
      <w:r w:rsidR="00255EC0" w:rsidRPr="00255EC0">
        <w:t>Victoria;</w:t>
      </w:r>
      <w:proofErr w:type="gramEnd"/>
    </w:p>
    <w:p w14:paraId="17CD30EC" w14:textId="77777777" w:rsidR="00255EC0" w:rsidRPr="00255EC0" w:rsidRDefault="00255EC0" w:rsidP="00A570D6">
      <w:pPr>
        <w:pStyle w:val="L2Bullets"/>
      </w:pPr>
      <w:r w:rsidRPr="00255EC0">
        <w:t xml:space="preserve">The restored 19th century </w:t>
      </w:r>
      <w:r w:rsidRPr="00A570D6">
        <w:t>Great Melbourne Telescope</w:t>
      </w:r>
      <w:r w:rsidRPr="00255EC0">
        <w:t xml:space="preserve">, originally located at the Melbourne Observatory, on display at </w:t>
      </w:r>
      <w:proofErr w:type="spellStart"/>
      <w:proofErr w:type="gramStart"/>
      <w:r w:rsidRPr="00255EC0">
        <w:t>Scienceworks</w:t>
      </w:r>
      <w:proofErr w:type="spellEnd"/>
      <w:r w:rsidRPr="00255EC0">
        <w:t>;</w:t>
      </w:r>
      <w:proofErr w:type="gramEnd"/>
    </w:p>
    <w:p w14:paraId="35DA9478" w14:textId="77777777" w:rsidR="00255EC0" w:rsidRPr="00255EC0" w:rsidRDefault="00255EC0" w:rsidP="00A570D6">
      <w:pPr>
        <w:pStyle w:val="L2Bullets"/>
      </w:pPr>
      <w:r w:rsidRPr="00A570D6">
        <w:t>Revolutions: Records and Rebels</w:t>
      </w:r>
      <w:r w:rsidRPr="00255EC0">
        <w:t xml:space="preserve"> at Melbourne Museum, from the Victoria and Albert Museum in London and Museum Victoria’s collection, telling the story of 1966–70 as five years that shook the </w:t>
      </w:r>
      <w:proofErr w:type="gramStart"/>
      <w:r w:rsidRPr="00255EC0">
        <w:t>world;</w:t>
      </w:r>
      <w:proofErr w:type="gramEnd"/>
    </w:p>
    <w:p w14:paraId="1D7E850E" w14:textId="77777777" w:rsidR="00255EC0" w:rsidRPr="00255EC0" w:rsidRDefault="00255EC0" w:rsidP="00A570D6">
      <w:pPr>
        <w:pStyle w:val="L2Bullets"/>
      </w:pPr>
      <w:r w:rsidRPr="00A570D6">
        <w:t>Wonderland</w:t>
      </w:r>
      <w:r w:rsidRPr="00255EC0">
        <w:t xml:space="preserve">, curated by </w:t>
      </w:r>
      <w:proofErr w:type="spellStart"/>
      <w:r w:rsidRPr="00255EC0">
        <w:t>ACMI</w:t>
      </w:r>
      <w:proofErr w:type="spellEnd"/>
      <w:r w:rsidRPr="00255EC0">
        <w:t xml:space="preserve">, celebrating Lewis Carroll’s timeless tale and Alice’s adventures on film on tour to the Art Science Museum, Singapore and </w:t>
      </w:r>
      <w:proofErr w:type="spellStart"/>
      <w:r w:rsidRPr="00255EC0">
        <w:t>Te</w:t>
      </w:r>
      <w:proofErr w:type="spellEnd"/>
      <w:r w:rsidRPr="00255EC0">
        <w:t xml:space="preserve"> Papa, Wellington, New Zealand; </w:t>
      </w:r>
      <w:proofErr w:type="gramStart"/>
      <w:r w:rsidRPr="00255EC0">
        <w:t>and;</w:t>
      </w:r>
      <w:proofErr w:type="gramEnd"/>
    </w:p>
    <w:p w14:paraId="19C32C2D" w14:textId="77777777" w:rsidR="00255EC0" w:rsidRPr="00255EC0" w:rsidRDefault="00255EC0" w:rsidP="00A570D6">
      <w:pPr>
        <w:pStyle w:val="L2Bullets"/>
      </w:pPr>
      <w:r w:rsidRPr="00A570D6">
        <w:t>DreamWorks Animation</w:t>
      </w:r>
      <w:r w:rsidRPr="00255EC0">
        <w:t xml:space="preserve">, curated by </w:t>
      </w:r>
      <w:proofErr w:type="spellStart"/>
      <w:r w:rsidRPr="00255EC0">
        <w:t>ACMI</w:t>
      </w:r>
      <w:proofErr w:type="spellEnd"/>
      <w:r w:rsidRPr="00255EC0">
        <w:t xml:space="preserve"> in association with the DreamWorks studio, exploring their collaborative and visionary approach to animation, art, technology and storytelling, on tour to Centro Cultural Banco do </w:t>
      </w:r>
      <w:proofErr w:type="spellStart"/>
      <w:r w:rsidRPr="00255EC0">
        <w:t>Brasil</w:t>
      </w:r>
      <w:proofErr w:type="spellEnd"/>
      <w:r w:rsidRPr="00255EC0">
        <w:t>, Belo Horizonte, Brazil and the National Museum of Australia.</w:t>
      </w:r>
    </w:p>
    <w:p w14:paraId="7AECBB9D" w14:textId="77777777" w:rsidR="00255EC0" w:rsidRPr="00255EC0" w:rsidRDefault="00255EC0" w:rsidP="002753C0">
      <w:pPr>
        <w:pStyle w:val="Heading5"/>
      </w:pPr>
      <w:r w:rsidRPr="00255EC0">
        <w:t>Table 13: Attendances at funded Major Performing Arts organisations</w:t>
      </w:r>
    </w:p>
    <w:tbl>
      <w:tblPr>
        <w:tblStyle w:val="TableGrid"/>
        <w:tblW w:w="0" w:type="auto"/>
        <w:tblLayout w:type="fixed"/>
        <w:tblLook w:val="0020" w:firstRow="1" w:lastRow="0" w:firstColumn="0" w:lastColumn="0" w:noHBand="0" w:noVBand="0"/>
      </w:tblPr>
      <w:tblGrid>
        <w:gridCol w:w="4195"/>
        <w:gridCol w:w="1361"/>
        <w:gridCol w:w="1361"/>
        <w:gridCol w:w="1360"/>
        <w:gridCol w:w="1361"/>
      </w:tblGrid>
      <w:tr w:rsidR="00255EC0" w:rsidRPr="002753C0" w14:paraId="0F25BDF0" w14:textId="77777777" w:rsidTr="00E8460A">
        <w:trPr>
          <w:trHeight w:val="113"/>
        </w:trPr>
        <w:tc>
          <w:tcPr>
            <w:tcW w:w="4195" w:type="dxa"/>
          </w:tcPr>
          <w:p w14:paraId="66E666F3" w14:textId="77777777" w:rsidR="00255EC0" w:rsidRPr="002753C0" w:rsidRDefault="00255EC0" w:rsidP="002753C0">
            <w:pPr>
              <w:pStyle w:val="TableColumnheading"/>
              <w:rPr>
                <w:sz w:val="20"/>
                <w:szCs w:val="18"/>
              </w:rPr>
            </w:pPr>
            <w:r w:rsidRPr="002753C0">
              <w:rPr>
                <w:sz w:val="20"/>
                <w:szCs w:val="18"/>
              </w:rPr>
              <w:t>Measure (unit of measure)</w:t>
            </w:r>
          </w:p>
        </w:tc>
        <w:tc>
          <w:tcPr>
            <w:tcW w:w="1361" w:type="dxa"/>
          </w:tcPr>
          <w:p w14:paraId="30086E4A" w14:textId="77777777" w:rsidR="00255EC0" w:rsidRPr="002753C0" w:rsidRDefault="00255EC0" w:rsidP="002753C0">
            <w:pPr>
              <w:pStyle w:val="TableColumnheading"/>
              <w:jc w:val="right"/>
              <w:rPr>
                <w:sz w:val="20"/>
                <w:szCs w:val="18"/>
              </w:rPr>
            </w:pPr>
            <w:r w:rsidRPr="002753C0">
              <w:rPr>
                <w:sz w:val="20"/>
                <w:szCs w:val="18"/>
              </w:rPr>
              <w:t>2016–17</w:t>
            </w:r>
          </w:p>
        </w:tc>
        <w:tc>
          <w:tcPr>
            <w:tcW w:w="1361" w:type="dxa"/>
          </w:tcPr>
          <w:p w14:paraId="4E7BE9F1" w14:textId="77777777" w:rsidR="00255EC0" w:rsidRPr="002753C0" w:rsidRDefault="00255EC0" w:rsidP="002753C0">
            <w:pPr>
              <w:pStyle w:val="TableColumnheading"/>
              <w:jc w:val="right"/>
              <w:rPr>
                <w:sz w:val="20"/>
                <w:szCs w:val="18"/>
              </w:rPr>
            </w:pPr>
            <w:r w:rsidRPr="002753C0">
              <w:rPr>
                <w:sz w:val="20"/>
                <w:szCs w:val="18"/>
              </w:rPr>
              <w:t>2017–18</w:t>
            </w:r>
          </w:p>
        </w:tc>
        <w:tc>
          <w:tcPr>
            <w:tcW w:w="1360" w:type="dxa"/>
          </w:tcPr>
          <w:p w14:paraId="02CAB352" w14:textId="77777777" w:rsidR="00255EC0" w:rsidRPr="002753C0" w:rsidRDefault="00255EC0" w:rsidP="002753C0">
            <w:pPr>
              <w:pStyle w:val="TableColumnheading"/>
              <w:jc w:val="right"/>
              <w:rPr>
                <w:sz w:val="20"/>
                <w:szCs w:val="18"/>
              </w:rPr>
            </w:pPr>
            <w:r w:rsidRPr="002753C0">
              <w:rPr>
                <w:sz w:val="20"/>
                <w:szCs w:val="18"/>
              </w:rPr>
              <w:t>2018–19</w:t>
            </w:r>
          </w:p>
        </w:tc>
        <w:tc>
          <w:tcPr>
            <w:tcW w:w="1361" w:type="dxa"/>
          </w:tcPr>
          <w:p w14:paraId="354E126D" w14:textId="77777777" w:rsidR="00255EC0" w:rsidRPr="002753C0" w:rsidRDefault="00255EC0" w:rsidP="002753C0">
            <w:pPr>
              <w:pStyle w:val="TableColumnheading"/>
              <w:jc w:val="right"/>
              <w:rPr>
                <w:sz w:val="20"/>
                <w:szCs w:val="18"/>
              </w:rPr>
            </w:pPr>
            <w:r w:rsidRPr="002753C0">
              <w:rPr>
                <w:sz w:val="20"/>
                <w:szCs w:val="18"/>
              </w:rPr>
              <w:t>2019–20</w:t>
            </w:r>
          </w:p>
        </w:tc>
      </w:tr>
      <w:tr w:rsidR="00255EC0" w:rsidRPr="002753C0" w14:paraId="7E22D39D" w14:textId="77777777" w:rsidTr="00E8460A">
        <w:trPr>
          <w:trHeight w:val="113"/>
        </w:trPr>
        <w:tc>
          <w:tcPr>
            <w:tcW w:w="4195" w:type="dxa"/>
          </w:tcPr>
          <w:p w14:paraId="35F45E9B" w14:textId="77777777" w:rsidR="00255EC0" w:rsidRPr="002753C0" w:rsidRDefault="00255EC0" w:rsidP="002753C0">
            <w:pPr>
              <w:pStyle w:val="Tabletextnospace"/>
              <w:rPr>
                <w:sz w:val="20"/>
              </w:rPr>
            </w:pPr>
            <w:r w:rsidRPr="002753C0">
              <w:rPr>
                <w:sz w:val="20"/>
              </w:rPr>
              <w:t>Attendances at funded Major Performing Arts organisations (number (‘000))</w:t>
            </w:r>
          </w:p>
        </w:tc>
        <w:tc>
          <w:tcPr>
            <w:tcW w:w="1361" w:type="dxa"/>
          </w:tcPr>
          <w:p w14:paraId="7ADE1F8B" w14:textId="77777777" w:rsidR="00255EC0" w:rsidRPr="002753C0" w:rsidRDefault="00255EC0" w:rsidP="002753C0">
            <w:pPr>
              <w:pStyle w:val="Tabletextnospace"/>
              <w:jc w:val="right"/>
              <w:rPr>
                <w:sz w:val="20"/>
              </w:rPr>
            </w:pPr>
            <w:r w:rsidRPr="002753C0">
              <w:rPr>
                <w:sz w:val="20"/>
              </w:rPr>
              <w:t>904</w:t>
            </w:r>
          </w:p>
        </w:tc>
        <w:tc>
          <w:tcPr>
            <w:tcW w:w="1361" w:type="dxa"/>
          </w:tcPr>
          <w:p w14:paraId="366D2363" w14:textId="77777777" w:rsidR="00255EC0" w:rsidRPr="002753C0" w:rsidRDefault="00255EC0" w:rsidP="002753C0">
            <w:pPr>
              <w:pStyle w:val="Tabletextnospace"/>
              <w:jc w:val="right"/>
              <w:rPr>
                <w:sz w:val="20"/>
              </w:rPr>
            </w:pPr>
            <w:r w:rsidRPr="002753C0">
              <w:rPr>
                <w:sz w:val="20"/>
              </w:rPr>
              <w:t>1067</w:t>
            </w:r>
          </w:p>
        </w:tc>
        <w:tc>
          <w:tcPr>
            <w:tcW w:w="1360" w:type="dxa"/>
          </w:tcPr>
          <w:p w14:paraId="13F36B9A" w14:textId="77777777" w:rsidR="00255EC0" w:rsidRPr="002753C0" w:rsidRDefault="00255EC0" w:rsidP="002753C0">
            <w:pPr>
              <w:pStyle w:val="Tabletextnospace"/>
              <w:jc w:val="right"/>
              <w:rPr>
                <w:sz w:val="20"/>
              </w:rPr>
            </w:pPr>
            <w:r w:rsidRPr="002753C0">
              <w:rPr>
                <w:sz w:val="20"/>
              </w:rPr>
              <w:t>1127</w:t>
            </w:r>
          </w:p>
        </w:tc>
        <w:tc>
          <w:tcPr>
            <w:tcW w:w="1361" w:type="dxa"/>
          </w:tcPr>
          <w:p w14:paraId="7C73B63A" w14:textId="77777777" w:rsidR="00255EC0" w:rsidRPr="002753C0" w:rsidRDefault="00255EC0" w:rsidP="002753C0">
            <w:pPr>
              <w:pStyle w:val="Tabletextnospace"/>
              <w:jc w:val="right"/>
              <w:rPr>
                <w:sz w:val="20"/>
              </w:rPr>
            </w:pPr>
            <w:r w:rsidRPr="002753C0">
              <w:rPr>
                <w:sz w:val="20"/>
              </w:rPr>
              <w:t>1169</w:t>
            </w:r>
          </w:p>
        </w:tc>
      </w:tr>
    </w:tbl>
    <w:p w14:paraId="191D3AAE" w14:textId="77777777" w:rsidR="00255EC0" w:rsidRPr="00255EC0" w:rsidRDefault="00255EC0" w:rsidP="002753C0">
      <w:pPr>
        <w:pStyle w:val="Body"/>
      </w:pPr>
    </w:p>
    <w:p w14:paraId="1160D671" w14:textId="4DBA6CB2" w:rsidR="00255EC0" w:rsidRPr="00255EC0" w:rsidRDefault="00255EC0" w:rsidP="002753C0">
      <w:pPr>
        <w:pStyle w:val="Heading5"/>
      </w:pPr>
      <w:r w:rsidRPr="00255EC0">
        <w:t>Figure 10: Attendances at funded</w:t>
      </w:r>
      <w:r w:rsidR="002753C0">
        <w:t xml:space="preserve"> </w:t>
      </w:r>
      <w:r w:rsidRPr="00255EC0">
        <w:t>Major Performing Arts companies</w:t>
      </w:r>
    </w:p>
    <w:p w14:paraId="4B0F6D7D" w14:textId="15237094" w:rsidR="00255EC0" w:rsidRPr="00255EC0" w:rsidRDefault="002753C0" w:rsidP="002753C0">
      <w:pPr>
        <w:pStyle w:val="Body"/>
      </w:pPr>
      <w:r>
        <w:rPr>
          <w:noProof/>
        </w:rPr>
        <w:drawing>
          <wp:inline distT="0" distB="0" distL="0" distR="0" wp14:anchorId="0BA2A0AE" wp14:editId="49593685">
            <wp:extent cx="1990725" cy="1323975"/>
            <wp:effectExtent l="0" t="0" r="9525" b="9525"/>
            <wp:docPr id="15" name="Graphic 15" descr="Figure 10: Attendances at funded Major Performing Arts compani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Figure 10: Attendances at funded Major Performing Arts companies graph"/>
                    <pic:cNvPicPr/>
                  </pic:nvPicPr>
                  <pic:blipFill>
                    <a:blip r:embed="rId29">
                      <a:extLst>
                        <a:ext uri="{96DAC541-7B7A-43D3-8B79-37D633B846F1}">
                          <asvg:svgBlip xmlns:asvg="http://schemas.microsoft.com/office/drawing/2016/SVG/main" r:embed="rId30"/>
                        </a:ext>
                      </a:extLst>
                    </a:blip>
                    <a:stretch>
                      <a:fillRect/>
                    </a:stretch>
                  </pic:blipFill>
                  <pic:spPr>
                    <a:xfrm>
                      <a:off x="0" y="0"/>
                      <a:ext cx="1990725" cy="1323975"/>
                    </a:xfrm>
                    <a:prstGeom prst="rect">
                      <a:avLst/>
                    </a:prstGeom>
                  </pic:spPr>
                </pic:pic>
              </a:graphicData>
            </a:graphic>
          </wp:inline>
        </w:drawing>
      </w:r>
    </w:p>
    <w:p w14:paraId="29E83658" w14:textId="77777777" w:rsidR="00255EC0" w:rsidRPr="00255EC0" w:rsidRDefault="00255EC0" w:rsidP="002753C0">
      <w:pPr>
        <w:pStyle w:val="Body"/>
      </w:pPr>
    </w:p>
    <w:p w14:paraId="4C7990F4" w14:textId="5E03BAB1" w:rsidR="00255EC0" w:rsidRPr="00255EC0" w:rsidRDefault="00255EC0" w:rsidP="002753C0">
      <w:pPr>
        <w:pStyle w:val="Body"/>
      </w:pPr>
      <w:r w:rsidRPr="00255EC0">
        <w:lastRenderedPageBreak/>
        <w:t>Funded Major Performing Arts companies recorded continuing growth in attendances in 2019–20 driven by programming and the inclusion of a new company. Note that the figures in the above table</w:t>
      </w:r>
      <w:r w:rsidR="002753C0">
        <w:t xml:space="preserve"> </w:t>
      </w:r>
      <w:r w:rsidRPr="00255EC0">
        <w:t>are for the calendar year ending in that financial year, in line with companies’ programming and</w:t>
      </w:r>
      <w:r w:rsidR="002753C0">
        <w:t xml:space="preserve"> </w:t>
      </w:r>
      <w:r w:rsidRPr="00255EC0">
        <w:t>so do not reflect the impact of the measures associated with coronavirus (COVID-19).</w:t>
      </w:r>
    </w:p>
    <w:p w14:paraId="6EBAC950" w14:textId="2BEFB1F0" w:rsidR="00255EC0" w:rsidRPr="00255EC0" w:rsidRDefault="00255EC0" w:rsidP="002753C0">
      <w:pPr>
        <w:pStyle w:val="Body"/>
      </w:pPr>
      <w:r w:rsidRPr="00255EC0">
        <w:t xml:space="preserve">Victorian funded Major Performing Arts companies in 2019–20 </w:t>
      </w:r>
      <w:proofErr w:type="gramStart"/>
      <w:r w:rsidRPr="00255EC0">
        <w:t>were</w:t>
      </w:r>
      <w:proofErr w:type="gramEnd"/>
      <w:r w:rsidRPr="00255EC0">
        <w:t xml:space="preserve"> Melbourne Theatre Company, The Australian Ballet, Opera Australia, Orchestra Victoria, Melbourne Symphony Orchestra,</w:t>
      </w:r>
      <w:r w:rsidR="002753C0">
        <w:t xml:space="preserve"> </w:t>
      </w:r>
      <w:r w:rsidRPr="00255EC0">
        <w:t>Malthouse Theatre, Circus Oz and Victorian Opera.</w:t>
      </w:r>
    </w:p>
    <w:p w14:paraId="7558ACCC" w14:textId="77777777" w:rsidR="00255EC0" w:rsidRPr="00255EC0" w:rsidRDefault="00255EC0" w:rsidP="002753C0">
      <w:pPr>
        <w:pStyle w:val="Heading4"/>
        <w:rPr>
          <w:rFonts w:ascii="VIC Medium" w:hAnsi="VIC Medium" w:cs="VIC Medium"/>
        </w:rPr>
      </w:pPr>
      <w:r w:rsidRPr="00255EC0">
        <w:t>Indicator: Employment in the Creative Industries sector</w:t>
      </w:r>
    </w:p>
    <w:p w14:paraId="65EA0026" w14:textId="77777777" w:rsidR="00255EC0" w:rsidRPr="00255EC0" w:rsidRDefault="00255EC0" w:rsidP="002753C0">
      <w:pPr>
        <w:pStyle w:val="Heading5"/>
      </w:pPr>
      <w:r w:rsidRPr="00255EC0">
        <w:t>Table 14: Employment in the Creative Industries sector</w:t>
      </w:r>
    </w:p>
    <w:tbl>
      <w:tblPr>
        <w:tblStyle w:val="TableGrid"/>
        <w:tblW w:w="0" w:type="auto"/>
        <w:tblLayout w:type="fixed"/>
        <w:tblLook w:val="0020" w:firstRow="1" w:lastRow="0" w:firstColumn="0" w:lastColumn="0" w:noHBand="0" w:noVBand="0"/>
      </w:tblPr>
      <w:tblGrid>
        <w:gridCol w:w="4195"/>
        <w:gridCol w:w="1361"/>
        <w:gridCol w:w="1361"/>
        <w:gridCol w:w="1360"/>
        <w:gridCol w:w="1361"/>
      </w:tblGrid>
      <w:tr w:rsidR="00255EC0" w:rsidRPr="002753C0" w14:paraId="1BA08092" w14:textId="77777777" w:rsidTr="00E8460A">
        <w:trPr>
          <w:trHeight w:val="333"/>
        </w:trPr>
        <w:tc>
          <w:tcPr>
            <w:tcW w:w="4195" w:type="dxa"/>
          </w:tcPr>
          <w:p w14:paraId="5D149D53" w14:textId="77777777" w:rsidR="00255EC0" w:rsidRPr="002753C0" w:rsidRDefault="00255EC0" w:rsidP="002753C0">
            <w:pPr>
              <w:pStyle w:val="TableColumnheading"/>
              <w:rPr>
                <w:sz w:val="20"/>
                <w:szCs w:val="18"/>
              </w:rPr>
            </w:pPr>
            <w:r w:rsidRPr="002753C0">
              <w:rPr>
                <w:sz w:val="20"/>
                <w:szCs w:val="18"/>
              </w:rPr>
              <w:t>Measure (unit of measure)</w:t>
            </w:r>
          </w:p>
        </w:tc>
        <w:tc>
          <w:tcPr>
            <w:tcW w:w="1361" w:type="dxa"/>
          </w:tcPr>
          <w:p w14:paraId="7AE46C17" w14:textId="77777777" w:rsidR="00255EC0" w:rsidRPr="002753C0" w:rsidRDefault="00255EC0" w:rsidP="002753C0">
            <w:pPr>
              <w:pStyle w:val="TableColumnheading"/>
              <w:jc w:val="right"/>
              <w:rPr>
                <w:sz w:val="20"/>
                <w:szCs w:val="18"/>
              </w:rPr>
            </w:pPr>
            <w:r w:rsidRPr="002753C0">
              <w:rPr>
                <w:sz w:val="20"/>
                <w:szCs w:val="18"/>
              </w:rPr>
              <w:t>2016–17</w:t>
            </w:r>
          </w:p>
        </w:tc>
        <w:tc>
          <w:tcPr>
            <w:tcW w:w="1361" w:type="dxa"/>
          </w:tcPr>
          <w:p w14:paraId="2813A09F" w14:textId="77777777" w:rsidR="00255EC0" w:rsidRPr="002753C0" w:rsidRDefault="00255EC0" w:rsidP="002753C0">
            <w:pPr>
              <w:pStyle w:val="TableColumnheading"/>
              <w:jc w:val="right"/>
              <w:rPr>
                <w:sz w:val="20"/>
                <w:szCs w:val="18"/>
              </w:rPr>
            </w:pPr>
            <w:r w:rsidRPr="002753C0">
              <w:rPr>
                <w:sz w:val="20"/>
                <w:szCs w:val="18"/>
              </w:rPr>
              <w:t>2017–18</w:t>
            </w:r>
          </w:p>
        </w:tc>
        <w:tc>
          <w:tcPr>
            <w:tcW w:w="1360" w:type="dxa"/>
          </w:tcPr>
          <w:p w14:paraId="1405CDC1" w14:textId="77777777" w:rsidR="00255EC0" w:rsidRPr="002753C0" w:rsidRDefault="00255EC0" w:rsidP="002753C0">
            <w:pPr>
              <w:pStyle w:val="TableColumnheading"/>
              <w:jc w:val="right"/>
              <w:rPr>
                <w:sz w:val="20"/>
                <w:szCs w:val="18"/>
              </w:rPr>
            </w:pPr>
            <w:r w:rsidRPr="002753C0">
              <w:rPr>
                <w:sz w:val="20"/>
                <w:szCs w:val="18"/>
              </w:rPr>
              <w:t>2018–19</w:t>
            </w:r>
          </w:p>
        </w:tc>
        <w:tc>
          <w:tcPr>
            <w:tcW w:w="1361" w:type="dxa"/>
          </w:tcPr>
          <w:p w14:paraId="3DB31E5C" w14:textId="77777777" w:rsidR="00255EC0" w:rsidRPr="002753C0" w:rsidRDefault="00255EC0" w:rsidP="002753C0">
            <w:pPr>
              <w:pStyle w:val="TableColumnheading"/>
              <w:jc w:val="right"/>
              <w:rPr>
                <w:sz w:val="20"/>
                <w:szCs w:val="18"/>
              </w:rPr>
            </w:pPr>
            <w:r w:rsidRPr="002753C0">
              <w:rPr>
                <w:sz w:val="20"/>
                <w:szCs w:val="18"/>
              </w:rPr>
              <w:t>2019–20</w:t>
            </w:r>
          </w:p>
        </w:tc>
      </w:tr>
      <w:tr w:rsidR="00255EC0" w:rsidRPr="002753C0" w14:paraId="3FBB1E13" w14:textId="77777777" w:rsidTr="00E8460A">
        <w:trPr>
          <w:trHeight w:val="113"/>
        </w:trPr>
        <w:tc>
          <w:tcPr>
            <w:tcW w:w="4195" w:type="dxa"/>
          </w:tcPr>
          <w:p w14:paraId="77713003" w14:textId="2448AC86" w:rsidR="00255EC0" w:rsidRPr="002753C0" w:rsidRDefault="00255EC0" w:rsidP="002753C0">
            <w:pPr>
              <w:pStyle w:val="Tabletextnospace"/>
              <w:rPr>
                <w:sz w:val="20"/>
              </w:rPr>
            </w:pPr>
            <w:r w:rsidRPr="002753C0">
              <w:rPr>
                <w:sz w:val="20"/>
              </w:rPr>
              <w:t>Number of first jobs in the creative industries</w:t>
            </w:r>
            <w:r w:rsidR="002753C0">
              <w:rPr>
                <w:sz w:val="20"/>
              </w:rPr>
              <w:t xml:space="preserve"> </w:t>
            </w:r>
            <w:r w:rsidRPr="002753C0">
              <w:rPr>
                <w:sz w:val="20"/>
              </w:rPr>
              <w:t>(number)</w:t>
            </w:r>
          </w:p>
        </w:tc>
        <w:tc>
          <w:tcPr>
            <w:tcW w:w="1361" w:type="dxa"/>
          </w:tcPr>
          <w:p w14:paraId="4C4BCE29" w14:textId="77777777" w:rsidR="00255EC0" w:rsidRPr="002753C0" w:rsidRDefault="00255EC0" w:rsidP="002753C0">
            <w:pPr>
              <w:pStyle w:val="Tabletextnospace"/>
              <w:jc w:val="right"/>
              <w:rPr>
                <w:sz w:val="20"/>
              </w:rPr>
            </w:pPr>
            <w:r w:rsidRPr="002753C0">
              <w:rPr>
                <w:sz w:val="20"/>
              </w:rPr>
              <w:t>243,000</w:t>
            </w:r>
          </w:p>
        </w:tc>
        <w:tc>
          <w:tcPr>
            <w:tcW w:w="1361" w:type="dxa"/>
          </w:tcPr>
          <w:p w14:paraId="1330EA77" w14:textId="77777777" w:rsidR="00255EC0" w:rsidRPr="002753C0" w:rsidRDefault="00255EC0" w:rsidP="002753C0">
            <w:pPr>
              <w:pStyle w:val="Tabletextnospace"/>
              <w:jc w:val="right"/>
              <w:rPr>
                <w:sz w:val="20"/>
              </w:rPr>
            </w:pPr>
            <w:r w:rsidRPr="002753C0">
              <w:rPr>
                <w:sz w:val="20"/>
              </w:rPr>
              <w:t>261,000</w:t>
            </w:r>
          </w:p>
        </w:tc>
        <w:tc>
          <w:tcPr>
            <w:tcW w:w="1360" w:type="dxa"/>
          </w:tcPr>
          <w:p w14:paraId="569F9C77" w14:textId="77777777" w:rsidR="00255EC0" w:rsidRPr="002753C0" w:rsidRDefault="00255EC0" w:rsidP="002753C0">
            <w:pPr>
              <w:pStyle w:val="Tabletextnospace"/>
              <w:jc w:val="right"/>
              <w:rPr>
                <w:sz w:val="20"/>
              </w:rPr>
            </w:pPr>
            <w:r w:rsidRPr="002753C0">
              <w:rPr>
                <w:sz w:val="20"/>
              </w:rPr>
              <w:t>289,000</w:t>
            </w:r>
          </w:p>
        </w:tc>
        <w:tc>
          <w:tcPr>
            <w:tcW w:w="1361" w:type="dxa"/>
          </w:tcPr>
          <w:p w14:paraId="444254C7" w14:textId="77777777" w:rsidR="00255EC0" w:rsidRPr="002753C0" w:rsidRDefault="00255EC0" w:rsidP="002753C0">
            <w:pPr>
              <w:pStyle w:val="Tabletextnospace"/>
              <w:jc w:val="right"/>
              <w:rPr>
                <w:sz w:val="20"/>
              </w:rPr>
            </w:pPr>
            <w:r w:rsidRPr="002753C0">
              <w:rPr>
                <w:sz w:val="20"/>
              </w:rPr>
              <w:t>292,000</w:t>
            </w:r>
          </w:p>
        </w:tc>
      </w:tr>
    </w:tbl>
    <w:p w14:paraId="087D9932" w14:textId="77777777" w:rsidR="00255EC0" w:rsidRPr="00255EC0" w:rsidRDefault="00255EC0" w:rsidP="002753C0">
      <w:pPr>
        <w:pStyle w:val="Body"/>
      </w:pPr>
    </w:p>
    <w:p w14:paraId="556AC1EB" w14:textId="77777777" w:rsidR="00255EC0" w:rsidRPr="00255EC0" w:rsidRDefault="00255EC0" w:rsidP="002753C0">
      <w:pPr>
        <w:pStyle w:val="Heading5"/>
        <w:rPr>
          <w:rFonts w:ascii="VIC Medium" w:hAnsi="VIC Medium" w:cs="VIC Medium"/>
        </w:rPr>
      </w:pPr>
      <w:r w:rsidRPr="00255EC0">
        <w:t>Figure 11: Number of first jobs in the creative industries</w:t>
      </w:r>
    </w:p>
    <w:p w14:paraId="7B9E3B65" w14:textId="07277421" w:rsidR="00255EC0" w:rsidRPr="00255EC0" w:rsidRDefault="002753C0" w:rsidP="002753C0">
      <w:pPr>
        <w:pStyle w:val="Body"/>
      </w:pPr>
      <w:r>
        <w:rPr>
          <w:noProof/>
        </w:rPr>
        <w:drawing>
          <wp:inline distT="0" distB="0" distL="0" distR="0" wp14:anchorId="0F9ED2FC" wp14:editId="30252EE5">
            <wp:extent cx="1990725" cy="1323975"/>
            <wp:effectExtent l="0" t="0" r="9525" b="9525"/>
            <wp:docPr id="16" name="Graphic 16" descr="Figure 11: Number of first jobs in the creative industri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Figure 11: Number of first jobs in the creative industries graph"/>
                    <pic:cNvPicPr/>
                  </pic:nvPicPr>
                  <pic:blipFill>
                    <a:blip r:embed="rId31">
                      <a:extLst>
                        <a:ext uri="{96DAC541-7B7A-43D3-8B79-37D633B846F1}">
                          <asvg:svgBlip xmlns:asvg="http://schemas.microsoft.com/office/drawing/2016/SVG/main" r:embed="rId32"/>
                        </a:ext>
                      </a:extLst>
                    </a:blip>
                    <a:stretch>
                      <a:fillRect/>
                    </a:stretch>
                  </pic:blipFill>
                  <pic:spPr>
                    <a:xfrm>
                      <a:off x="0" y="0"/>
                      <a:ext cx="1990725" cy="1323975"/>
                    </a:xfrm>
                    <a:prstGeom prst="rect">
                      <a:avLst/>
                    </a:prstGeom>
                  </pic:spPr>
                </pic:pic>
              </a:graphicData>
            </a:graphic>
          </wp:inline>
        </w:drawing>
      </w:r>
    </w:p>
    <w:p w14:paraId="05D7802F" w14:textId="59B08E56" w:rsidR="00255EC0" w:rsidRPr="00255EC0" w:rsidRDefault="00255EC0" w:rsidP="002753C0">
      <w:pPr>
        <w:pStyle w:val="Body"/>
      </w:pPr>
      <w:r w:rsidRPr="00255EC0">
        <w:t xml:space="preserve">Implementation of Victoria’s first creative industries strategy, Creative State, continues to be supported through the 2019–20 State Budget. Creative State builds the state’s film, television, digital games, design, </w:t>
      </w:r>
      <w:proofErr w:type="gramStart"/>
      <w:r w:rsidRPr="00255EC0">
        <w:t>fashion</w:t>
      </w:r>
      <w:proofErr w:type="gramEnd"/>
      <w:r w:rsidRPr="00255EC0">
        <w:t xml:space="preserve"> and arts sectors. Key actions</w:t>
      </w:r>
      <w:r w:rsidR="002753C0">
        <w:t xml:space="preserve"> </w:t>
      </w:r>
      <w:r w:rsidRPr="00255EC0">
        <w:t>have contributed to supporting and growing</w:t>
      </w:r>
      <w:r w:rsidR="002753C0">
        <w:t xml:space="preserve"> </w:t>
      </w:r>
      <w:r w:rsidRPr="00255EC0">
        <w:t>the state’s creative enterprises, creating new jobs and employment opportunities, and bringing social and cultural benefits to Victorians. Employment</w:t>
      </w:r>
      <w:r w:rsidR="002753C0">
        <w:t xml:space="preserve"> </w:t>
      </w:r>
      <w:r w:rsidRPr="00255EC0">
        <w:t>in the creative industries in 2019–20 is 8.6 per cent</w:t>
      </w:r>
      <w:r w:rsidR="002753C0">
        <w:t xml:space="preserve"> </w:t>
      </w:r>
      <w:r w:rsidRPr="00255EC0">
        <w:t>of the total employment in Victoria.</w:t>
      </w:r>
    </w:p>
    <w:p w14:paraId="375D3616" w14:textId="7E45E345" w:rsidR="00255EC0" w:rsidRPr="00255EC0" w:rsidRDefault="00255EC0" w:rsidP="002753C0">
      <w:pPr>
        <w:pStyle w:val="Body"/>
      </w:pPr>
      <w:r w:rsidRPr="00255EC0">
        <w:t>Creative Victoria has also strengthened the global profile and export potential of Victoria’s creative industries in 2019–20 through support for inbound/outbound delegations and showcases including Chengdu Music City Convention, Hong Kong Fashion Summit, Gamescom in Cologne, Melbourne International Games Week, Keir Choreographic Award, Melbourne Design Week, Melbourne Fashion Festival, Melbourne International Film Festival, Sangam Performing Arts Festival of South Asia and Diaspora, Arts Centre Melbourne’s Asia Triennial of Performing Arts and the inaugural Australia Performing Arts Marketplace gathering</w:t>
      </w:r>
      <w:r w:rsidR="002753C0">
        <w:t xml:space="preserve"> </w:t>
      </w:r>
      <w:r w:rsidRPr="00255EC0">
        <w:t xml:space="preserve">in Melbourne. </w:t>
      </w:r>
    </w:p>
    <w:p w14:paraId="0DF0B5E2" w14:textId="77777777" w:rsidR="00255EC0" w:rsidRPr="00255EC0" w:rsidRDefault="00255EC0" w:rsidP="002753C0">
      <w:pPr>
        <w:pStyle w:val="Body"/>
      </w:pPr>
      <w:r w:rsidRPr="00255EC0">
        <w:t>Growth in the number of jobs in the creative industries sector has continued over the last four years. The rate of growth in 2019–20 is lower than previous years due to the coronavirus (COVID-19) pandemic. The reported figure is an average over four quarterly Australian Bureau of Statistics survey results and consequently does not fully reflect the impact of coronavirus (COVID-19).</w:t>
      </w:r>
    </w:p>
    <w:p w14:paraId="667E6229" w14:textId="00852103" w:rsidR="00255EC0" w:rsidRPr="00255EC0" w:rsidRDefault="00255EC0" w:rsidP="002753C0">
      <w:pPr>
        <w:pStyle w:val="Body"/>
      </w:pPr>
      <w:r w:rsidRPr="00255EC0">
        <w:t>The government announced a range of relief</w:t>
      </w:r>
      <w:r w:rsidR="002753C0">
        <w:t xml:space="preserve"> </w:t>
      </w:r>
      <w:r w:rsidRPr="00255EC0">
        <w:t>and rescue packages and initiatives during</w:t>
      </w:r>
      <w:r w:rsidR="002753C0">
        <w:t xml:space="preserve"> </w:t>
      </w:r>
      <w:r w:rsidRPr="00255EC0">
        <w:t>2019–20 supporting continued employment</w:t>
      </w:r>
      <w:r w:rsidR="002753C0">
        <w:t xml:space="preserve"> </w:t>
      </w:r>
      <w:r w:rsidRPr="00255EC0">
        <w:t>in the creative industries in Victoria.</w:t>
      </w:r>
    </w:p>
    <w:p w14:paraId="2B9CB056" w14:textId="77777777" w:rsidR="00255EC0" w:rsidRPr="00255EC0" w:rsidRDefault="00255EC0" w:rsidP="002753C0">
      <w:pPr>
        <w:pStyle w:val="Body"/>
        <w:keepNext/>
      </w:pPr>
      <w:r w:rsidRPr="00255EC0">
        <w:lastRenderedPageBreak/>
        <w:t>Over $49 million in direct, targeted relief assistance was provided to the sector through:</w:t>
      </w:r>
    </w:p>
    <w:p w14:paraId="3525A2AB" w14:textId="77777777" w:rsidR="00255EC0" w:rsidRPr="00255EC0" w:rsidRDefault="00255EC0" w:rsidP="002753C0">
      <w:pPr>
        <w:pStyle w:val="L1Bullets"/>
        <w:keepNext/>
      </w:pPr>
      <w:r w:rsidRPr="00255EC0">
        <w:t xml:space="preserve">The Survival Package to Help Save Arts Jobs, announced on 26 April </w:t>
      </w:r>
      <w:proofErr w:type="gramStart"/>
      <w:r w:rsidRPr="00255EC0">
        <w:t>2020;</w:t>
      </w:r>
      <w:proofErr w:type="gramEnd"/>
    </w:p>
    <w:p w14:paraId="7FDE4246" w14:textId="77777777" w:rsidR="00255EC0" w:rsidRPr="00255EC0" w:rsidRDefault="00255EC0" w:rsidP="002753C0">
      <w:pPr>
        <w:pStyle w:val="L1Bullets"/>
        <w:keepNext/>
      </w:pPr>
      <w:r w:rsidRPr="00255EC0">
        <w:t xml:space="preserve">Victoria Together, announced on 1 May </w:t>
      </w:r>
      <w:proofErr w:type="gramStart"/>
      <w:r w:rsidRPr="00255EC0">
        <w:t>2020;</w:t>
      </w:r>
      <w:proofErr w:type="gramEnd"/>
      <w:r w:rsidRPr="00255EC0">
        <w:t xml:space="preserve"> and</w:t>
      </w:r>
    </w:p>
    <w:p w14:paraId="0CA17490" w14:textId="77777777" w:rsidR="00255EC0" w:rsidRPr="002753C0" w:rsidRDefault="00255EC0" w:rsidP="002753C0">
      <w:pPr>
        <w:pStyle w:val="L1Bulletslast"/>
        <w:rPr>
          <w:spacing w:val="-2"/>
        </w:rPr>
      </w:pPr>
      <w:r w:rsidRPr="002753C0">
        <w:rPr>
          <w:spacing w:val="-2"/>
        </w:rPr>
        <w:t xml:space="preserve">The Victorian </w:t>
      </w:r>
      <w:hyperlink r:id="rId33" w:history="1">
        <w:r w:rsidRPr="002753C0">
          <w:rPr>
            <w:spacing w:val="-2"/>
          </w:rPr>
          <w:t>Government Experience Economy Survival Package</w:t>
        </w:r>
      </w:hyperlink>
      <w:r w:rsidRPr="002753C0">
        <w:rPr>
          <w:spacing w:val="-2"/>
        </w:rPr>
        <w:t>, announced on 13 May 2020.</w:t>
      </w:r>
    </w:p>
    <w:p w14:paraId="290178FA" w14:textId="4CD177C9" w:rsidR="00255EC0" w:rsidRPr="00255EC0" w:rsidRDefault="00255EC0" w:rsidP="002753C0">
      <w:pPr>
        <w:pStyle w:val="Body"/>
      </w:pPr>
      <w:r w:rsidRPr="00255EC0">
        <w:t>The 21 March 2020 Economic Survival Package</w:t>
      </w:r>
      <w:r w:rsidR="002753C0">
        <w:t xml:space="preserve"> </w:t>
      </w:r>
      <w:r w:rsidRPr="00255EC0">
        <w:t>to Support Businesses and Jobs assisted over 5000 creative industries businesses through the Business Support Fund and waived liquor licensing fees</w:t>
      </w:r>
      <w:r w:rsidR="002753C0">
        <w:t xml:space="preserve"> </w:t>
      </w:r>
      <w:r w:rsidRPr="00255EC0">
        <w:t>for 2020 affected live music venues.</w:t>
      </w:r>
    </w:p>
    <w:p w14:paraId="388ADF4B" w14:textId="77777777" w:rsidR="00255EC0" w:rsidRPr="00255EC0" w:rsidRDefault="00255EC0" w:rsidP="002753C0">
      <w:pPr>
        <w:pStyle w:val="Body"/>
      </w:pPr>
      <w:r w:rsidRPr="00255EC0">
        <w:t>Live music venues, with a turnover of less than $50 million have been covered by the Commercial Tenancy Relief Fund. Announced on 5 May 2020, the More Support for Much-Loved Pubs, Clubs, Restaurants initiative assisted additional licensed live music venues with turnover greater than $50 million and not covered by the Commercial Tenancy Relief Scheme with rent relief.</w:t>
      </w:r>
    </w:p>
    <w:p w14:paraId="42A51D3B" w14:textId="19E84537" w:rsidR="00255EC0" w:rsidRPr="00255EC0" w:rsidRDefault="00255EC0" w:rsidP="002753C0">
      <w:pPr>
        <w:pStyle w:val="Body"/>
      </w:pPr>
      <w:r w:rsidRPr="00255EC0">
        <w:t>Supporting Thousands More Workers During Coronavirus (COVID-19) was announced on 5 May 2020, providing fortnightly payments of up to $1500 before tax to casual public sector workers, up until the end of September. This package supported workers at portfolio agencies, such as ticket staff</w:t>
      </w:r>
      <w:r w:rsidR="002753C0">
        <w:t xml:space="preserve"> </w:t>
      </w:r>
      <w:r w:rsidRPr="00255EC0">
        <w:t xml:space="preserve">at the Melbourne Museum who have been ineligible for the Commonwealth </w:t>
      </w:r>
      <w:proofErr w:type="spellStart"/>
      <w:r w:rsidRPr="00255EC0">
        <w:t>JobKeeper</w:t>
      </w:r>
      <w:proofErr w:type="spellEnd"/>
      <w:r w:rsidRPr="00255EC0">
        <w:t xml:space="preserve"> program.</w:t>
      </w:r>
    </w:p>
    <w:p w14:paraId="09AFA58F" w14:textId="77777777" w:rsidR="00255EC0" w:rsidRPr="00255EC0" w:rsidRDefault="00255EC0" w:rsidP="002753C0">
      <w:pPr>
        <w:pStyle w:val="Heading4"/>
      </w:pPr>
      <w:r w:rsidRPr="00255EC0">
        <w:t xml:space="preserve">Indicator: Employment in the Visitor Economy </w:t>
      </w:r>
    </w:p>
    <w:p w14:paraId="326F168C" w14:textId="77777777" w:rsidR="00255EC0" w:rsidRPr="00255EC0" w:rsidRDefault="00255EC0" w:rsidP="002753C0">
      <w:pPr>
        <w:pStyle w:val="Heading5"/>
      </w:pPr>
      <w:r w:rsidRPr="00255EC0">
        <w:t xml:space="preserve">Table 15: Employment in the Visitor Economy </w:t>
      </w:r>
    </w:p>
    <w:tbl>
      <w:tblPr>
        <w:tblStyle w:val="TableGrid"/>
        <w:tblW w:w="9638" w:type="dxa"/>
        <w:tblLayout w:type="fixed"/>
        <w:tblLook w:val="0020" w:firstRow="1" w:lastRow="0" w:firstColumn="0" w:lastColumn="0" w:noHBand="0" w:noVBand="0"/>
      </w:tblPr>
      <w:tblGrid>
        <w:gridCol w:w="4195"/>
        <w:gridCol w:w="1340"/>
        <w:gridCol w:w="1341"/>
        <w:gridCol w:w="1341"/>
        <w:gridCol w:w="1421"/>
      </w:tblGrid>
      <w:tr w:rsidR="00255EC0" w:rsidRPr="001B4BD6" w14:paraId="3973E989" w14:textId="77777777" w:rsidTr="00E8460A">
        <w:trPr>
          <w:trHeight w:val="113"/>
        </w:trPr>
        <w:tc>
          <w:tcPr>
            <w:tcW w:w="4195" w:type="dxa"/>
          </w:tcPr>
          <w:p w14:paraId="6AC0CA27" w14:textId="77777777" w:rsidR="00255EC0" w:rsidRPr="001B4BD6" w:rsidRDefault="00255EC0" w:rsidP="001B4BD6">
            <w:pPr>
              <w:pStyle w:val="TableColumnheading"/>
              <w:rPr>
                <w:sz w:val="20"/>
                <w:szCs w:val="18"/>
              </w:rPr>
            </w:pPr>
            <w:r w:rsidRPr="001B4BD6">
              <w:rPr>
                <w:sz w:val="20"/>
                <w:szCs w:val="18"/>
              </w:rPr>
              <w:t>Measure (unit of measure)</w:t>
            </w:r>
          </w:p>
        </w:tc>
        <w:tc>
          <w:tcPr>
            <w:tcW w:w="1340" w:type="dxa"/>
          </w:tcPr>
          <w:p w14:paraId="01183D72" w14:textId="77777777" w:rsidR="00255EC0" w:rsidRPr="001B4BD6" w:rsidRDefault="00255EC0" w:rsidP="001B4BD6">
            <w:pPr>
              <w:pStyle w:val="TableColumnheading"/>
              <w:jc w:val="right"/>
              <w:rPr>
                <w:sz w:val="20"/>
                <w:szCs w:val="18"/>
              </w:rPr>
            </w:pPr>
            <w:r w:rsidRPr="001B4BD6">
              <w:rPr>
                <w:sz w:val="20"/>
                <w:szCs w:val="18"/>
              </w:rPr>
              <w:t>2016–17</w:t>
            </w:r>
          </w:p>
        </w:tc>
        <w:tc>
          <w:tcPr>
            <w:tcW w:w="1341" w:type="dxa"/>
          </w:tcPr>
          <w:p w14:paraId="19F9FAE2" w14:textId="77777777" w:rsidR="00255EC0" w:rsidRPr="001B4BD6" w:rsidRDefault="00255EC0" w:rsidP="001B4BD6">
            <w:pPr>
              <w:pStyle w:val="TableColumnheading"/>
              <w:jc w:val="right"/>
              <w:rPr>
                <w:sz w:val="20"/>
                <w:szCs w:val="18"/>
              </w:rPr>
            </w:pPr>
            <w:r w:rsidRPr="001B4BD6">
              <w:rPr>
                <w:sz w:val="20"/>
                <w:szCs w:val="18"/>
              </w:rPr>
              <w:t>2017–18</w:t>
            </w:r>
          </w:p>
        </w:tc>
        <w:tc>
          <w:tcPr>
            <w:tcW w:w="1341" w:type="dxa"/>
          </w:tcPr>
          <w:p w14:paraId="261A79FC" w14:textId="77777777" w:rsidR="00255EC0" w:rsidRPr="001B4BD6" w:rsidRDefault="00255EC0" w:rsidP="001B4BD6">
            <w:pPr>
              <w:pStyle w:val="TableColumnheading"/>
              <w:jc w:val="right"/>
              <w:rPr>
                <w:sz w:val="20"/>
                <w:szCs w:val="18"/>
              </w:rPr>
            </w:pPr>
            <w:r w:rsidRPr="001B4BD6">
              <w:rPr>
                <w:sz w:val="20"/>
                <w:szCs w:val="18"/>
              </w:rPr>
              <w:t>2018–19</w:t>
            </w:r>
          </w:p>
        </w:tc>
        <w:tc>
          <w:tcPr>
            <w:tcW w:w="1421" w:type="dxa"/>
          </w:tcPr>
          <w:p w14:paraId="60C67B45" w14:textId="77777777" w:rsidR="00255EC0" w:rsidRPr="001B4BD6" w:rsidRDefault="00255EC0" w:rsidP="001B4BD6">
            <w:pPr>
              <w:pStyle w:val="TableColumnheading"/>
              <w:jc w:val="right"/>
              <w:rPr>
                <w:sz w:val="20"/>
                <w:szCs w:val="18"/>
              </w:rPr>
            </w:pPr>
            <w:r w:rsidRPr="001B4BD6">
              <w:rPr>
                <w:sz w:val="20"/>
                <w:szCs w:val="18"/>
              </w:rPr>
              <w:t>2019–20</w:t>
            </w:r>
          </w:p>
        </w:tc>
      </w:tr>
      <w:tr w:rsidR="00255EC0" w:rsidRPr="001B4BD6" w14:paraId="21DC8C14" w14:textId="77777777" w:rsidTr="00E8460A">
        <w:trPr>
          <w:trHeight w:val="113"/>
        </w:trPr>
        <w:tc>
          <w:tcPr>
            <w:tcW w:w="4195" w:type="dxa"/>
          </w:tcPr>
          <w:p w14:paraId="2ED2F84C" w14:textId="6EB7AA65" w:rsidR="00255EC0" w:rsidRPr="001B4BD6" w:rsidRDefault="00255EC0" w:rsidP="001B4BD6">
            <w:pPr>
              <w:pStyle w:val="Tabletextnospace"/>
              <w:rPr>
                <w:sz w:val="20"/>
              </w:rPr>
            </w:pPr>
            <w:r w:rsidRPr="001B4BD6">
              <w:rPr>
                <w:sz w:val="20"/>
              </w:rPr>
              <w:t>Number of jobs in the visitor economy sector</w:t>
            </w:r>
            <w:r w:rsidR="001B4BD6">
              <w:rPr>
                <w:sz w:val="20"/>
              </w:rPr>
              <w:t xml:space="preserve"> </w:t>
            </w:r>
            <w:r w:rsidRPr="001B4BD6">
              <w:rPr>
                <w:sz w:val="20"/>
              </w:rPr>
              <w:t>(number) *</w:t>
            </w:r>
          </w:p>
        </w:tc>
        <w:tc>
          <w:tcPr>
            <w:tcW w:w="1340" w:type="dxa"/>
          </w:tcPr>
          <w:p w14:paraId="6E8C590B" w14:textId="77777777" w:rsidR="00255EC0" w:rsidRPr="001B4BD6" w:rsidRDefault="00255EC0" w:rsidP="001B4BD6">
            <w:pPr>
              <w:pStyle w:val="Tabletextnospace"/>
              <w:jc w:val="right"/>
              <w:rPr>
                <w:sz w:val="20"/>
              </w:rPr>
            </w:pPr>
            <w:r w:rsidRPr="001B4BD6">
              <w:rPr>
                <w:sz w:val="20"/>
              </w:rPr>
              <w:t>235,100</w:t>
            </w:r>
          </w:p>
        </w:tc>
        <w:tc>
          <w:tcPr>
            <w:tcW w:w="1341" w:type="dxa"/>
          </w:tcPr>
          <w:p w14:paraId="1940E83F" w14:textId="77777777" w:rsidR="00255EC0" w:rsidRPr="001B4BD6" w:rsidRDefault="00255EC0" w:rsidP="001B4BD6">
            <w:pPr>
              <w:pStyle w:val="Tabletextnospace"/>
              <w:jc w:val="right"/>
              <w:rPr>
                <w:sz w:val="20"/>
              </w:rPr>
            </w:pPr>
            <w:r w:rsidRPr="001B4BD6">
              <w:rPr>
                <w:sz w:val="20"/>
              </w:rPr>
              <w:t>247,900</w:t>
            </w:r>
          </w:p>
        </w:tc>
        <w:tc>
          <w:tcPr>
            <w:tcW w:w="1341" w:type="dxa"/>
          </w:tcPr>
          <w:p w14:paraId="6A1A6611" w14:textId="77777777" w:rsidR="00255EC0" w:rsidRPr="001B4BD6" w:rsidRDefault="00255EC0" w:rsidP="001B4BD6">
            <w:pPr>
              <w:pStyle w:val="Tabletextnospace"/>
              <w:jc w:val="right"/>
              <w:rPr>
                <w:sz w:val="20"/>
              </w:rPr>
            </w:pPr>
            <w:r w:rsidRPr="001B4BD6">
              <w:rPr>
                <w:sz w:val="20"/>
              </w:rPr>
              <w:t>263,300</w:t>
            </w:r>
          </w:p>
        </w:tc>
        <w:tc>
          <w:tcPr>
            <w:tcW w:w="1421" w:type="dxa"/>
          </w:tcPr>
          <w:p w14:paraId="11CA8853" w14:textId="77777777" w:rsidR="00255EC0" w:rsidRPr="001B4BD6" w:rsidRDefault="00255EC0" w:rsidP="001B4BD6">
            <w:pPr>
              <w:pStyle w:val="Tabletextnospace"/>
              <w:jc w:val="right"/>
              <w:rPr>
                <w:sz w:val="20"/>
              </w:rPr>
            </w:pPr>
            <w:r w:rsidRPr="001B4BD6">
              <w:rPr>
                <w:sz w:val="20"/>
              </w:rPr>
              <w:t>Data expected</w:t>
            </w:r>
            <w:r w:rsidRPr="001B4BD6">
              <w:rPr>
                <w:sz w:val="20"/>
              </w:rPr>
              <w:br/>
              <w:t>June 2021</w:t>
            </w:r>
          </w:p>
        </w:tc>
      </w:tr>
    </w:tbl>
    <w:p w14:paraId="26D986A1" w14:textId="73951CBB" w:rsidR="00255EC0" w:rsidRPr="00255EC0" w:rsidRDefault="00255EC0" w:rsidP="001B4BD6">
      <w:pPr>
        <w:pStyle w:val="Tablefootnote"/>
        <w:tabs>
          <w:tab w:val="clear" w:pos="397"/>
        </w:tabs>
        <w:spacing w:after="240"/>
        <w:ind w:left="170" w:hanging="170"/>
      </w:pPr>
      <w:r w:rsidRPr="00255EC0">
        <w:t>*</w:t>
      </w:r>
      <w:r w:rsidR="001B4BD6">
        <w:tab/>
      </w:r>
      <w:r w:rsidRPr="00255EC0">
        <w:t>Source: State Tourism Satellite Account 2018–19, Tourism Research Australia. Changes to the inputs used to produce this data have resulted in revised historical estimates that should not be compared to previously published results.</w:t>
      </w:r>
    </w:p>
    <w:p w14:paraId="020E9EF7" w14:textId="77777777" w:rsidR="00255EC0" w:rsidRPr="00255EC0" w:rsidRDefault="00255EC0" w:rsidP="001B4BD6">
      <w:pPr>
        <w:pStyle w:val="Heading5"/>
        <w:rPr>
          <w:rFonts w:ascii="VIC Medium" w:hAnsi="VIC Medium" w:cs="VIC Medium"/>
        </w:rPr>
      </w:pPr>
      <w:r w:rsidRPr="00255EC0">
        <w:t>Figure 12: Employment in the Visitor Economy sector</w:t>
      </w:r>
    </w:p>
    <w:p w14:paraId="05F5205B" w14:textId="08B1DA7F" w:rsidR="00255EC0" w:rsidRPr="00255EC0" w:rsidRDefault="001B4BD6" w:rsidP="001B4BD6">
      <w:pPr>
        <w:pStyle w:val="Body"/>
      </w:pPr>
      <w:r>
        <w:rPr>
          <w:noProof/>
        </w:rPr>
        <w:drawing>
          <wp:inline distT="0" distB="0" distL="0" distR="0" wp14:anchorId="2A17ECF1" wp14:editId="47A3C0B0">
            <wp:extent cx="2047875" cy="1323975"/>
            <wp:effectExtent l="0" t="0" r="0" b="9525"/>
            <wp:docPr id="17" name="Graphic 17" descr="Figure 12: Employment in the Visitor Economy sect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Figure 12: Employment in the Visitor Economy sector graph"/>
                    <pic:cNvPicPr/>
                  </pic:nvPicPr>
                  <pic:blipFill>
                    <a:blip r:embed="rId34">
                      <a:extLst>
                        <a:ext uri="{96DAC541-7B7A-43D3-8B79-37D633B846F1}">
                          <asvg:svgBlip xmlns:asvg="http://schemas.microsoft.com/office/drawing/2016/SVG/main" r:embed="rId35"/>
                        </a:ext>
                      </a:extLst>
                    </a:blip>
                    <a:stretch>
                      <a:fillRect/>
                    </a:stretch>
                  </pic:blipFill>
                  <pic:spPr>
                    <a:xfrm>
                      <a:off x="0" y="0"/>
                      <a:ext cx="2047875" cy="1323975"/>
                    </a:xfrm>
                    <a:prstGeom prst="rect">
                      <a:avLst/>
                    </a:prstGeom>
                  </pic:spPr>
                </pic:pic>
              </a:graphicData>
            </a:graphic>
          </wp:inline>
        </w:drawing>
      </w:r>
    </w:p>
    <w:p w14:paraId="64F112E3" w14:textId="6EBBEAD1" w:rsidR="00255EC0" w:rsidRPr="00255EC0" w:rsidRDefault="00255EC0" w:rsidP="001B4BD6">
      <w:pPr>
        <w:pStyle w:val="Body"/>
      </w:pPr>
      <w:r w:rsidRPr="00255EC0">
        <w:t>In 2018–19 tourism in Victoria generated 263,300 jobs. Tourism jobs have grown year-on-year (+6.2 per cent) at a rate well above the rate of jobs growth in the Victorian economy overall (+3.3</w:t>
      </w:r>
      <w:r w:rsidR="001B4BD6">
        <w:t> </w:t>
      </w:r>
      <w:r w:rsidRPr="00255EC0">
        <w:t xml:space="preserve">per cent). </w:t>
      </w:r>
    </w:p>
    <w:p w14:paraId="0F6E7A7A" w14:textId="660B7041" w:rsidR="00255EC0" w:rsidRPr="00255EC0" w:rsidRDefault="00255EC0" w:rsidP="001B4BD6">
      <w:pPr>
        <w:pStyle w:val="Body"/>
      </w:pPr>
      <w:r w:rsidRPr="00255EC0">
        <w:t>This has been consistent over the longer term</w:t>
      </w:r>
      <w:r w:rsidR="001B4BD6">
        <w:t xml:space="preserve"> </w:t>
      </w:r>
      <w:r w:rsidRPr="00255EC0">
        <w:t>(2013–14 to 2018–19), with tourism jobs growing</w:t>
      </w:r>
      <w:r w:rsidR="00DD4BD4">
        <w:t xml:space="preserve"> </w:t>
      </w:r>
      <w:r w:rsidRPr="00255EC0">
        <w:t>at an average annual rate of 6.7 per cent, more</w:t>
      </w:r>
      <w:r w:rsidR="001B4BD6">
        <w:t xml:space="preserve"> </w:t>
      </w:r>
      <w:r w:rsidRPr="00255EC0">
        <w:t>than double the state’s jobs growth of 3.1 per cent per annum, adding more than 73,000 new tourism jobs to the state in this five-year period.</w:t>
      </w:r>
    </w:p>
    <w:p w14:paraId="1C5D5A9C" w14:textId="0551146E" w:rsidR="00255EC0" w:rsidRPr="00255EC0" w:rsidRDefault="00255EC0" w:rsidP="001B4BD6">
      <w:pPr>
        <w:pStyle w:val="Body"/>
      </w:pPr>
      <w:r w:rsidRPr="00255EC0">
        <w:t>Looking at the distribution of tourism jobs across Victorian industries, cafés, restaurants and takeaway food services (30 per cent) accounted for the largest share of direct tourism employment, followed by retail trade (16 per cent), accommodation (14 per cent) and education</w:t>
      </w:r>
      <w:r w:rsidR="00DD4BD4">
        <w:t xml:space="preserve"> </w:t>
      </w:r>
      <w:r w:rsidRPr="00255EC0">
        <w:t>and training (10</w:t>
      </w:r>
      <w:r w:rsidR="00DD4BD4">
        <w:t> </w:t>
      </w:r>
      <w:r w:rsidRPr="00255EC0">
        <w:t xml:space="preserve">per cent). </w:t>
      </w:r>
    </w:p>
    <w:p w14:paraId="2DC2F95A" w14:textId="77777777" w:rsidR="00255EC0" w:rsidRPr="00255EC0" w:rsidRDefault="00255EC0" w:rsidP="00DD4BD4">
      <w:pPr>
        <w:pStyle w:val="Heading4"/>
      </w:pPr>
      <w:r w:rsidRPr="00255EC0">
        <w:lastRenderedPageBreak/>
        <w:t>Indicator: Tourists attracted to Victoria</w:t>
      </w:r>
    </w:p>
    <w:p w14:paraId="2BE4B342" w14:textId="77777777" w:rsidR="00255EC0" w:rsidRPr="00255EC0" w:rsidRDefault="00255EC0" w:rsidP="00DD4BD4">
      <w:pPr>
        <w:pStyle w:val="Heading5"/>
      </w:pPr>
      <w:r w:rsidRPr="00255EC0">
        <w:t>Table 16: Tourists attracted to Victoria</w:t>
      </w:r>
    </w:p>
    <w:tbl>
      <w:tblPr>
        <w:tblStyle w:val="TableGrid"/>
        <w:tblW w:w="9638" w:type="dxa"/>
        <w:tblLayout w:type="fixed"/>
        <w:tblLook w:val="0020" w:firstRow="1" w:lastRow="0" w:firstColumn="0" w:lastColumn="0" w:noHBand="0" w:noVBand="0"/>
      </w:tblPr>
      <w:tblGrid>
        <w:gridCol w:w="5240"/>
        <w:gridCol w:w="1099"/>
        <w:gridCol w:w="1100"/>
        <w:gridCol w:w="1099"/>
        <w:gridCol w:w="1100"/>
      </w:tblGrid>
      <w:tr w:rsidR="00255EC0" w:rsidRPr="00DD4BD4" w14:paraId="01C056CA" w14:textId="77777777" w:rsidTr="00E8460A">
        <w:trPr>
          <w:trHeight w:val="113"/>
        </w:trPr>
        <w:tc>
          <w:tcPr>
            <w:tcW w:w="5240" w:type="dxa"/>
          </w:tcPr>
          <w:p w14:paraId="7FBDC257" w14:textId="77777777" w:rsidR="00255EC0" w:rsidRPr="00DD4BD4" w:rsidRDefault="00255EC0" w:rsidP="00DD4BD4">
            <w:pPr>
              <w:pStyle w:val="TableColumnheading"/>
              <w:rPr>
                <w:sz w:val="20"/>
                <w:szCs w:val="18"/>
              </w:rPr>
            </w:pPr>
            <w:r w:rsidRPr="00DD4BD4">
              <w:rPr>
                <w:sz w:val="20"/>
                <w:szCs w:val="18"/>
              </w:rPr>
              <w:t>Measure (unit of measure)</w:t>
            </w:r>
          </w:p>
        </w:tc>
        <w:tc>
          <w:tcPr>
            <w:tcW w:w="1099" w:type="dxa"/>
          </w:tcPr>
          <w:p w14:paraId="2DD57BDE" w14:textId="77777777" w:rsidR="00255EC0" w:rsidRPr="00DD4BD4" w:rsidRDefault="00255EC0" w:rsidP="00DD4BD4">
            <w:pPr>
              <w:pStyle w:val="TableColumnheading"/>
              <w:jc w:val="right"/>
              <w:rPr>
                <w:sz w:val="20"/>
                <w:szCs w:val="18"/>
              </w:rPr>
            </w:pPr>
            <w:r w:rsidRPr="00DD4BD4">
              <w:rPr>
                <w:sz w:val="20"/>
                <w:szCs w:val="18"/>
              </w:rPr>
              <w:t>2016–17</w:t>
            </w:r>
          </w:p>
        </w:tc>
        <w:tc>
          <w:tcPr>
            <w:tcW w:w="1100" w:type="dxa"/>
          </w:tcPr>
          <w:p w14:paraId="71FDBBA7" w14:textId="77777777" w:rsidR="00255EC0" w:rsidRPr="00DD4BD4" w:rsidRDefault="00255EC0" w:rsidP="00DD4BD4">
            <w:pPr>
              <w:pStyle w:val="TableColumnheading"/>
              <w:jc w:val="right"/>
              <w:rPr>
                <w:sz w:val="20"/>
                <w:szCs w:val="18"/>
              </w:rPr>
            </w:pPr>
            <w:r w:rsidRPr="00DD4BD4">
              <w:rPr>
                <w:sz w:val="20"/>
                <w:szCs w:val="18"/>
              </w:rPr>
              <w:t>2017–18</w:t>
            </w:r>
          </w:p>
        </w:tc>
        <w:tc>
          <w:tcPr>
            <w:tcW w:w="1099" w:type="dxa"/>
          </w:tcPr>
          <w:p w14:paraId="2E14E4DD" w14:textId="77777777" w:rsidR="00255EC0" w:rsidRPr="00DD4BD4" w:rsidRDefault="00255EC0" w:rsidP="00DD4BD4">
            <w:pPr>
              <w:pStyle w:val="TableColumnheading"/>
              <w:jc w:val="right"/>
              <w:rPr>
                <w:sz w:val="20"/>
                <w:szCs w:val="18"/>
              </w:rPr>
            </w:pPr>
            <w:r w:rsidRPr="00DD4BD4">
              <w:rPr>
                <w:sz w:val="20"/>
                <w:szCs w:val="18"/>
              </w:rPr>
              <w:t>2018–19</w:t>
            </w:r>
          </w:p>
        </w:tc>
        <w:tc>
          <w:tcPr>
            <w:tcW w:w="1100" w:type="dxa"/>
          </w:tcPr>
          <w:p w14:paraId="729CBB0A" w14:textId="77777777" w:rsidR="00255EC0" w:rsidRPr="00DD4BD4" w:rsidRDefault="00255EC0" w:rsidP="00DD4BD4">
            <w:pPr>
              <w:pStyle w:val="TableColumnheading"/>
              <w:jc w:val="right"/>
              <w:rPr>
                <w:sz w:val="20"/>
                <w:szCs w:val="18"/>
              </w:rPr>
            </w:pPr>
            <w:r w:rsidRPr="00DD4BD4">
              <w:rPr>
                <w:sz w:val="20"/>
                <w:szCs w:val="18"/>
              </w:rPr>
              <w:t>2019–20</w:t>
            </w:r>
          </w:p>
        </w:tc>
      </w:tr>
      <w:tr w:rsidR="00255EC0" w:rsidRPr="00DD4BD4" w14:paraId="7F257D9F" w14:textId="77777777" w:rsidTr="00E8460A">
        <w:trPr>
          <w:trHeight w:val="113"/>
        </w:trPr>
        <w:tc>
          <w:tcPr>
            <w:tcW w:w="5240" w:type="dxa"/>
          </w:tcPr>
          <w:p w14:paraId="4ACE2314" w14:textId="14497F2B" w:rsidR="00255EC0" w:rsidRPr="00DD4BD4" w:rsidRDefault="00255EC0" w:rsidP="00DD4BD4">
            <w:pPr>
              <w:pStyle w:val="Tabletextnospace"/>
              <w:rPr>
                <w:sz w:val="20"/>
              </w:rPr>
            </w:pPr>
            <w:r w:rsidRPr="00DD4BD4">
              <w:rPr>
                <w:sz w:val="20"/>
              </w:rPr>
              <w:t>Number of domestic overnight visitors</w:t>
            </w:r>
            <w:r w:rsidR="00DD4BD4">
              <w:rPr>
                <w:sz w:val="20"/>
              </w:rPr>
              <w:t xml:space="preserve"> </w:t>
            </w:r>
            <w:r w:rsidRPr="00DD4BD4">
              <w:rPr>
                <w:sz w:val="20"/>
              </w:rPr>
              <w:t>(number (million))</w:t>
            </w:r>
          </w:p>
        </w:tc>
        <w:tc>
          <w:tcPr>
            <w:tcW w:w="1099" w:type="dxa"/>
          </w:tcPr>
          <w:p w14:paraId="612489BD" w14:textId="77777777" w:rsidR="00255EC0" w:rsidRPr="00DD4BD4" w:rsidRDefault="00255EC0" w:rsidP="00DD4BD4">
            <w:pPr>
              <w:pStyle w:val="Tabletextnospace"/>
              <w:jc w:val="right"/>
              <w:rPr>
                <w:sz w:val="20"/>
              </w:rPr>
            </w:pPr>
            <w:r w:rsidRPr="00DD4BD4">
              <w:rPr>
                <w:sz w:val="20"/>
              </w:rPr>
              <w:t>22.5</w:t>
            </w:r>
          </w:p>
        </w:tc>
        <w:tc>
          <w:tcPr>
            <w:tcW w:w="1100" w:type="dxa"/>
          </w:tcPr>
          <w:p w14:paraId="51C4EF7A" w14:textId="77777777" w:rsidR="00255EC0" w:rsidRPr="00DD4BD4" w:rsidRDefault="00255EC0" w:rsidP="00DD4BD4">
            <w:pPr>
              <w:pStyle w:val="Tabletextnospace"/>
              <w:jc w:val="right"/>
              <w:rPr>
                <w:sz w:val="20"/>
              </w:rPr>
            </w:pPr>
            <w:r w:rsidRPr="00DD4BD4">
              <w:rPr>
                <w:sz w:val="20"/>
              </w:rPr>
              <w:t>24</w:t>
            </w:r>
          </w:p>
        </w:tc>
        <w:tc>
          <w:tcPr>
            <w:tcW w:w="1099" w:type="dxa"/>
          </w:tcPr>
          <w:p w14:paraId="0B23F0AB" w14:textId="77777777" w:rsidR="00255EC0" w:rsidRPr="00DD4BD4" w:rsidRDefault="00255EC0" w:rsidP="00DD4BD4">
            <w:pPr>
              <w:pStyle w:val="Tabletextnospace"/>
              <w:jc w:val="right"/>
              <w:rPr>
                <w:sz w:val="20"/>
              </w:rPr>
            </w:pPr>
            <w:r w:rsidRPr="00DD4BD4">
              <w:rPr>
                <w:sz w:val="20"/>
              </w:rPr>
              <w:t>27.8</w:t>
            </w:r>
          </w:p>
        </w:tc>
        <w:tc>
          <w:tcPr>
            <w:tcW w:w="1100" w:type="dxa"/>
          </w:tcPr>
          <w:p w14:paraId="7CD47F53" w14:textId="77777777" w:rsidR="00255EC0" w:rsidRPr="00DD4BD4" w:rsidRDefault="00255EC0" w:rsidP="00DD4BD4">
            <w:pPr>
              <w:pStyle w:val="Tabletextnospace"/>
              <w:jc w:val="right"/>
              <w:rPr>
                <w:sz w:val="20"/>
              </w:rPr>
            </w:pPr>
            <w:r w:rsidRPr="00DD4BD4">
              <w:rPr>
                <w:sz w:val="20"/>
              </w:rPr>
              <w:t>28.3</w:t>
            </w:r>
          </w:p>
        </w:tc>
      </w:tr>
      <w:tr w:rsidR="00255EC0" w:rsidRPr="00DD4BD4" w14:paraId="1204C99E" w14:textId="77777777" w:rsidTr="00E8460A">
        <w:trPr>
          <w:trHeight w:val="113"/>
        </w:trPr>
        <w:tc>
          <w:tcPr>
            <w:tcW w:w="5240" w:type="dxa"/>
          </w:tcPr>
          <w:p w14:paraId="5C51414F" w14:textId="3BA145BE" w:rsidR="00255EC0" w:rsidRPr="00DD4BD4" w:rsidRDefault="00255EC0" w:rsidP="00DD4BD4">
            <w:pPr>
              <w:pStyle w:val="Tabletextnospace"/>
              <w:rPr>
                <w:sz w:val="20"/>
              </w:rPr>
            </w:pPr>
            <w:r w:rsidRPr="00DD4BD4">
              <w:rPr>
                <w:sz w:val="20"/>
              </w:rPr>
              <w:t>Number of international visitors</w:t>
            </w:r>
            <w:r w:rsidR="00DD4BD4">
              <w:rPr>
                <w:sz w:val="20"/>
              </w:rPr>
              <w:t xml:space="preserve"> </w:t>
            </w:r>
            <w:r w:rsidRPr="00DD4BD4">
              <w:rPr>
                <w:sz w:val="20"/>
              </w:rPr>
              <w:t>(number (million))</w:t>
            </w:r>
          </w:p>
        </w:tc>
        <w:tc>
          <w:tcPr>
            <w:tcW w:w="1099" w:type="dxa"/>
          </w:tcPr>
          <w:p w14:paraId="344359FA" w14:textId="77777777" w:rsidR="00255EC0" w:rsidRPr="00DD4BD4" w:rsidRDefault="00255EC0" w:rsidP="00DD4BD4">
            <w:pPr>
              <w:pStyle w:val="Tabletextnospace"/>
              <w:jc w:val="right"/>
              <w:rPr>
                <w:sz w:val="20"/>
              </w:rPr>
            </w:pPr>
            <w:r w:rsidRPr="00DD4BD4">
              <w:rPr>
                <w:sz w:val="20"/>
              </w:rPr>
              <w:t>2.7</w:t>
            </w:r>
          </w:p>
        </w:tc>
        <w:tc>
          <w:tcPr>
            <w:tcW w:w="1100" w:type="dxa"/>
          </w:tcPr>
          <w:p w14:paraId="16DFA357" w14:textId="77777777" w:rsidR="00255EC0" w:rsidRPr="00DD4BD4" w:rsidRDefault="00255EC0" w:rsidP="00DD4BD4">
            <w:pPr>
              <w:pStyle w:val="Tabletextnospace"/>
              <w:jc w:val="right"/>
              <w:rPr>
                <w:sz w:val="20"/>
              </w:rPr>
            </w:pPr>
            <w:r w:rsidRPr="00DD4BD4">
              <w:rPr>
                <w:sz w:val="20"/>
              </w:rPr>
              <w:t>3</w:t>
            </w:r>
          </w:p>
        </w:tc>
        <w:tc>
          <w:tcPr>
            <w:tcW w:w="1099" w:type="dxa"/>
          </w:tcPr>
          <w:p w14:paraId="1C89FA14" w14:textId="77777777" w:rsidR="00255EC0" w:rsidRPr="00DD4BD4" w:rsidRDefault="00255EC0" w:rsidP="00DD4BD4">
            <w:pPr>
              <w:pStyle w:val="Tabletextnospace"/>
              <w:jc w:val="right"/>
              <w:rPr>
                <w:sz w:val="20"/>
              </w:rPr>
            </w:pPr>
            <w:r w:rsidRPr="00DD4BD4">
              <w:rPr>
                <w:sz w:val="20"/>
              </w:rPr>
              <w:t>3.1</w:t>
            </w:r>
          </w:p>
        </w:tc>
        <w:tc>
          <w:tcPr>
            <w:tcW w:w="1100" w:type="dxa"/>
          </w:tcPr>
          <w:p w14:paraId="744B90F4" w14:textId="77777777" w:rsidR="00255EC0" w:rsidRPr="00DD4BD4" w:rsidRDefault="00255EC0" w:rsidP="00DD4BD4">
            <w:pPr>
              <w:pStyle w:val="Tabletextnospace"/>
              <w:jc w:val="right"/>
              <w:rPr>
                <w:sz w:val="20"/>
              </w:rPr>
            </w:pPr>
            <w:r w:rsidRPr="00DD4BD4">
              <w:rPr>
                <w:sz w:val="20"/>
              </w:rPr>
              <w:t>2.8</w:t>
            </w:r>
          </w:p>
        </w:tc>
      </w:tr>
      <w:tr w:rsidR="00255EC0" w:rsidRPr="00DD4BD4" w14:paraId="127A105E" w14:textId="77777777" w:rsidTr="00E8460A">
        <w:trPr>
          <w:trHeight w:val="113"/>
        </w:trPr>
        <w:tc>
          <w:tcPr>
            <w:tcW w:w="5240" w:type="dxa"/>
          </w:tcPr>
          <w:p w14:paraId="5CB7784E" w14:textId="790F39E4" w:rsidR="00255EC0" w:rsidRPr="00DD4BD4" w:rsidRDefault="00255EC0" w:rsidP="00DD4BD4">
            <w:pPr>
              <w:pStyle w:val="Tabletextnospace"/>
              <w:rPr>
                <w:sz w:val="20"/>
              </w:rPr>
            </w:pPr>
            <w:r w:rsidRPr="00DD4BD4">
              <w:rPr>
                <w:sz w:val="20"/>
              </w:rPr>
              <w:t>Visitor expenditure: domestic</w:t>
            </w:r>
            <w:r w:rsidR="00DD4BD4">
              <w:rPr>
                <w:sz w:val="20"/>
              </w:rPr>
              <w:t xml:space="preserve"> </w:t>
            </w:r>
            <w:r w:rsidRPr="00DD4BD4">
              <w:rPr>
                <w:sz w:val="20"/>
              </w:rPr>
              <w:t>($ billion)</w:t>
            </w:r>
          </w:p>
        </w:tc>
        <w:tc>
          <w:tcPr>
            <w:tcW w:w="1099" w:type="dxa"/>
          </w:tcPr>
          <w:p w14:paraId="058F343D" w14:textId="77777777" w:rsidR="00255EC0" w:rsidRPr="00DD4BD4" w:rsidRDefault="00255EC0" w:rsidP="00DD4BD4">
            <w:pPr>
              <w:pStyle w:val="Tabletextnospace"/>
              <w:jc w:val="right"/>
              <w:rPr>
                <w:sz w:val="20"/>
              </w:rPr>
            </w:pPr>
            <w:r w:rsidRPr="00DD4BD4">
              <w:rPr>
                <w:sz w:val="20"/>
              </w:rPr>
              <w:t>17.4</w:t>
            </w:r>
          </w:p>
        </w:tc>
        <w:tc>
          <w:tcPr>
            <w:tcW w:w="1100" w:type="dxa"/>
          </w:tcPr>
          <w:p w14:paraId="61D3AADA" w14:textId="77777777" w:rsidR="00255EC0" w:rsidRPr="00DD4BD4" w:rsidRDefault="00255EC0" w:rsidP="00DD4BD4">
            <w:pPr>
              <w:pStyle w:val="Tabletextnospace"/>
              <w:jc w:val="right"/>
              <w:rPr>
                <w:sz w:val="20"/>
              </w:rPr>
            </w:pPr>
            <w:r w:rsidRPr="00DD4BD4">
              <w:rPr>
                <w:sz w:val="20"/>
              </w:rPr>
              <w:t>18.8</w:t>
            </w:r>
          </w:p>
        </w:tc>
        <w:tc>
          <w:tcPr>
            <w:tcW w:w="1099" w:type="dxa"/>
          </w:tcPr>
          <w:p w14:paraId="104E4ADC" w14:textId="77777777" w:rsidR="00255EC0" w:rsidRPr="00DD4BD4" w:rsidRDefault="00255EC0" w:rsidP="00DD4BD4">
            <w:pPr>
              <w:pStyle w:val="Tabletextnospace"/>
              <w:jc w:val="right"/>
              <w:rPr>
                <w:sz w:val="20"/>
              </w:rPr>
            </w:pPr>
            <w:r w:rsidRPr="00DD4BD4">
              <w:rPr>
                <w:sz w:val="20"/>
              </w:rPr>
              <w:t>21.5</w:t>
            </w:r>
          </w:p>
        </w:tc>
        <w:tc>
          <w:tcPr>
            <w:tcW w:w="1100" w:type="dxa"/>
          </w:tcPr>
          <w:p w14:paraId="269A8F59" w14:textId="77777777" w:rsidR="00255EC0" w:rsidRPr="00DD4BD4" w:rsidRDefault="00255EC0" w:rsidP="00DD4BD4">
            <w:pPr>
              <w:pStyle w:val="Tabletextnospace"/>
              <w:jc w:val="right"/>
              <w:rPr>
                <w:sz w:val="20"/>
              </w:rPr>
            </w:pPr>
            <w:r w:rsidRPr="00DD4BD4">
              <w:rPr>
                <w:sz w:val="20"/>
              </w:rPr>
              <w:t>23.2</w:t>
            </w:r>
          </w:p>
        </w:tc>
      </w:tr>
      <w:tr w:rsidR="00255EC0" w:rsidRPr="00DD4BD4" w14:paraId="53B9BB04" w14:textId="77777777" w:rsidTr="00E8460A">
        <w:trPr>
          <w:trHeight w:val="113"/>
        </w:trPr>
        <w:tc>
          <w:tcPr>
            <w:tcW w:w="5240" w:type="dxa"/>
          </w:tcPr>
          <w:p w14:paraId="6FD2A11D" w14:textId="4D677B8C" w:rsidR="00255EC0" w:rsidRPr="00DD4BD4" w:rsidRDefault="00255EC0" w:rsidP="00DD4BD4">
            <w:pPr>
              <w:pStyle w:val="Tabletextnospace"/>
              <w:rPr>
                <w:sz w:val="20"/>
              </w:rPr>
            </w:pPr>
            <w:r w:rsidRPr="00DD4BD4">
              <w:rPr>
                <w:sz w:val="20"/>
              </w:rPr>
              <w:t>Visitor expenditure: international</w:t>
            </w:r>
            <w:r w:rsidR="00DD4BD4">
              <w:rPr>
                <w:sz w:val="20"/>
              </w:rPr>
              <w:t xml:space="preserve"> </w:t>
            </w:r>
            <w:r w:rsidRPr="00DD4BD4">
              <w:rPr>
                <w:sz w:val="20"/>
              </w:rPr>
              <w:t>($ billion)</w:t>
            </w:r>
          </w:p>
        </w:tc>
        <w:tc>
          <w:tcPr>
            <w:tcW w:w="1099" w:type="dxa"/>
          </w:tcPr>
          <w:p w14:paraId="7E7BD3DC" w14:textId="77777777" w:rsidR="00255EC0" w:rsidRPr="00DD4BD4" w:rsidRDefault="00255EC0" w:rsidP="00DD4BD4">
            <w:pPr>
              <w:pStyle w:val="Tabletextnospace"/>
              <w:jc w:val="right"/>
              <w:rPr>
                <w:sz w:val="20"/>
              </w:rPr>
            </w:pPr>
            <w:r w:rsidRPr="00DD4BD4">
              <w:rPr>
                <w:sz w:val="20"/>
              </w:rPr>
              <w:t>7.3</w:t>
            </w:r>
          </w:p>
        </w:tc>
        <w:tc>
          <w:tcPr>
            <w:tcW w:w="1100" w:type="dxa"/>
          </w:tcPr>
          <w:p w14:paraId="6F7BA8B6" w14:textId="77777777" w:rsidR="00255EC0" w:rsidRPr="00DD4BD4" w:rsidRDefault="00255EC0" w:rsidP="00DD4BD4">
            <w:pPr>
              <w:pStyle w:val="Tabletextnospace"/>
              <w:jc w:val="right"/>
              <w:rPr>
                <w:sz w:val="20"/>
              </w:rPr>
            </w:pPr>
            <w:r w:rsidRPr="00DD4BD4">
              <w:rPr>
                <w:sz w:val="20"/>
              </w:rPr>
              <w:t>8</w:t>
            </w:r>
          </w:p>
        </w:tc>
        <w:tc>
          <w:tcPr>
            <w:tcW w:w="1099" w:type="dxa"/>
          </w:tcPr>
          <w:p w14:paraId="76044FD1" w14:textId="77777777" w:rsidR="00255EC0" w:rsidRPr="00DD4BD4" w:rsidRDefault="00255EC0" w:rsidP="00DD4BD4">
            <w:pPr>
              <w:pStyle w:val="Tabletextnospace"/>
              <w:jc w:val="right"/>
              <w:rPr>
                <w:sz w:val="20"/>
              </w:rPr>
            </w:pPr>
            <w:r w:rsidRPr="00DD4BD4">
              <w:rPr>
                <w:sz w:val="20"/>
              </w:rPr>
              <w:t>8.5</w:t>
            </w:r>
          </w:p>
        </w:tc>
        <w:tc>
          <w:tcPr>
            <w:tcW w:w="1100" w:type="dxa"/>
          </w:tcPr>
          <w:p w14:paraId="1E76EEF4" w14:textId="77777777" w:rsidR="00255EC0" w:rsidRPr="00DD4BD4" w:rsidRDefault="00255EC0" w:rsidP="00DD4BD4">
            <w:pPr>
              <w:pStyle w:val="Tabletextnospace"/>
              <w:jc w:val="right"/>
              <w:rPr>
                <w:sz w:val="20"/>
              </w:rPr>
            </w:pPr>
            <w:r w:rsidRPr="00DD4BD4">
              <w:rPr>
                <w:sz w:val="20"/>
              </w:rPr>
              <w:t>8.1</w:t>
            </w:r>
          </w:p>
        </w:tc>
      </w:tr>
      <w:tr w:rsidR="00255EC0" w:rsidRPr="00DD4BD4" w14:paraId="1EBD9708" w14:textId="77777777" w:rsidTr="00E8460A">
        <w:trPr>
          <w:trHeight w:val="113"/>
        </w:trPr>
        <w:tc>
          <w:tcPr>
            <w:tcW w:w="5240" w:type="dxa"/>
          </w:tcPr>
          <w:p w14:paraId="17486105" w14:textId="6B62EDEF" w:rsidR="00255EC0" w:rsidRPr="00DD4BD4" w:rsidRDefault="00255EC0" w:rsidP="00DD4BD4">
            <w:pPr>
              <w:pStyle w:val="Tabletextnospace"/>
              <w:rPr>
                <w:sz w:val="20"/>
              </w:rPr>
            </w:pPr>
            <w:r w:rsidRPr="00DD4BD4">
              <w:rPr>
                <w:sz w:val="20"/>
              </w:rPr>
              <w:t>Visitor expenditure: regional Victoria</w:t>
            </w:r>
            <w:r w:rsidR="00DD4BD4">
              <w:rPr>
                <w:sz w:val="20"/>
              </w:rPr>
              <w:t xml:space="preserve"> </w:t>
            </w:r>
            <w:r w:rsidRPr="00DD4BD4">
              <w:rPr>
                <w:sz w:val="20"/>
              </w:rPr>
              <w:t>(domestic) ($ billion)</w:t>
            </w:r>
          </w:p>
        </w:tc>
        <w:tc>
          <w:tcPr>
            <w:tcW w:w="1099" w:type="dxa"/>
          </w:tcPr>
          <w:p w14:paraId="4EBECB1E" w14:textId="77777777" w:rsidR="00255EC0" w:rsidRPr="00DD4BD4" w:rsidRDefault="00255EC0" w:rsidP="00DD4BD4">
            <w:pPr>
              <w:pStyle w:val="Tabletextnospace"/>
              <w:jc w:val="right"/>
              <w:rPr>
                <w:sz w:val="20"/>
              </w:rPr>
            </w:pPr>
            <w:r w:rsidRPr="00DD4BD4">
              <w:rPr>
                <w:sz w:val="20"/>
              </w:rPr>
              <w:t>8.2</w:t>
            </w:r>
          </w:p>
        </w:tc>
        <w:tc>
          <w:tcPr>
            <w:tcW w:w="1100" w:type="dxa"/>
          </w:tcPr>
          <w:p w14:paraId="0883109F" w14:textId="77777777" w:rsidR="00255EC0" w:rsidRPr="00DD4BD4" w:rsidRDefault="00255EC0" w:rsidP="00DD4BD4">
            <w:pPr>
              <w:pStyle w:val="Tabletextnospace"/>
              <w:jc w:val="right"/>
              <w:rPr>
                <w:sz w:val="20"/>
              </w:rPr>
            </w:pPr>
            <w:r w:rsidRPr="00DD4BD4">
              <w:rPr>
                <w:sz w:val="20"/>
              </w:rPr>
              <w:t>9.1</w:t>
            </w:r>
          </w:p>
        </w:tc>
        <w:tc>
          <w:tcPr>
            <w:tcW w:w="1099" w:type="dxa"/>
          </w:tcPr>
          <w:p w14:paraId="27216B9F" w14:textId="77777777" w:rsidR="00255EC0" w:rsidRPr="00DD4BD4" w:rsidRDefault="00255EC0" w:rsidP="00DD4BD4">
            <w:pPr>
              <w:pStyle w:val="Tabletextnospace"/>
              <w:jc w:val="right"/>
              <w:rPr>
                <w:sz w:val="20"/>
              </w:rPr>
            </w:pPr>
            <w:r w:rsidRPr="00DD4BD4">
              <w:rPr>
                <w:sz w:val="20"/>
              </w:rPr>
              <w:t>10.4</w:t>
            </w:r>
          </w:p>
        </w:tc>
        <w:tc>
          <w:tcPr>
            <w:tcW w:w="1100" w:type="dxa"/>
          </w:tcPr>
          <w:p w14:paraId="482A6DA8" w14:textId="77777777" w:rsidR="00255EC0" w:rsidRPr="00DD4BD4" w:rsidRDefault="00255EC0" w:rsidP="00DD4BD4">
            <w:pPr>
              <w:pStyle w:val="Tabletextnospace"/>
              <w:jc w:val="right"/>
              <w:rPr>
                <w:sz w:val="20"/>
              </w:rPr>
            </w:pPr>
            <w:r w:rsidRPr="00DD4BD4">
              <w:rPr>
                <w:sz w:val="20"/>
              </w:rPr>
              <w:t>11.3</w:t>
            </w:r>
          </w:p>
        </w:tc>
      </w:tr>
      <w:tr w:rsidR="00255EC0" w:rsidRPr="00DD4BD4" w14:paraId="458742CC" w14:textId="77777777" w:rsidTr="00E8460A">
        <w:trPr>
          <w:trHeight w:val="113"/>
        </w:trPr>
        <w:tc>
          <w:tcPr>
            <w:tcW w:w="5240" w:type="dxa"/>
          </w:tcPr>
          <w:p w14:paraId="6A57CEF1" w14:textId="627B7981" w:rsidR="00255EC0" w:rsidRPr="00DD4BD4" w:rsidRDefault="00255EC0" w:rsidP="00DD4BD4">
            <w:pPr>
              <w:pStyle w:val="Tabletextnospace"/>
              <w:rPr>
                <w:sz w:val="20"/>
              </w:rPr>
            </w:pPr>
            <w:r w:rsidRPr="00DD4BD4">
              <w:rPr>
                <w:sz w:val="20"/>
              </w:rPr>
              <w:t>Visitor expenditure: regional Victoria|</w:t>
            </w:r>
            <w:r w:rsidR="00DD4BD4">
              <w:rPr>
                <w:sz w:val="20"/>
              </w:rPr>
              <w:t xml:space="preserve"> </w:t>
            </w:r>
            <w:r w:rsidRPr="00DD4BD4">
              <w:rPr>
                <w:sz w:val="20"/>
              </w:rPr>
              <w:t>(international) ($ million)</w:t>
            </w:r>
          </w:p>
        </w:tc>
        <w:tc>
          <w:tcPr>
            <w:tcW w:w="1099" w:type="dxa"/>
          </w:tcPr>
          <w:p w14:paraId="45AAE6DE" w14:textId="77777777" w:rsidR="00255EC0" w:rsidRPr="00DD4BD4" w:rsidRDefault="00255EC0" w:rsidP="00DD4BD4">
            <w:pPr>
              <w:pStyle w:val="Tabletextnospace"/>
              <w:jc w:val="right"/>
              <w:rPr>
                <w:sz w:val="20"/>
              </w:rPr>
            </w:pPr>
            <w:r w:rsidRPr="00DD4BD4">
              <w:rPr>
                <w:sz w:val="20"/>
              </w:rPr>
              <w:t>513</w:t>
            </w:r>
          </w:p>
        </w:tc>
        <w:tc>
          <w:tcPr>
            <w:tcW w:w="1100" w:type="dxa"/>
          </w:tcPr>
          <w:p w14:paraId="48679B07" w14:textId="77777777" w:rsidR="00255EC0" w:rsidRPr="00DD4BD4" w:rsidRDefault="00255EC0" w:rsidP="00DD4BD4">
            <w:pPr>
              <w:pStyle w:val="Tabletextnospace"/>
              <w:jc w:val="right"/>
              <w:rPr>
                <w:sz w:val="20"/>
              </w:rPr>
            </w:pPr>
            <w:r w:rsidRPr="00DD4BD4">
              <w:rPr>
                <w:sz w:val="20"/>
              </w:rPr>
              <w:t>570</w:t>
            </w:r>
          </w:p>
        </w:tc>
        <w:tc>
          <w:tcPr>
            <w:tcW w:w="1099" w:type="dxa"/>
          </w:tcPr>
          <w:p w14:paraId="49B34737" w14:textId="77777777" w:rsidR="00255EC0" w:rsidRPr="00DD4BD4" w:rsidRDefault="00255EC0" w:rsidP="00DD4BD4">
            <w:pPr>
              <w:pStyle w:val="Tabletextnospace"/>
              <w:jc w:val="right"/>
              <w:rPr>
                <w:sz w:val="20"/>
              </w:rPr>
            </w:pPr>
            <w:r w:rsidRPr="00DD4BD4">
              <w:rPr>
                <w:sz w:val="20"/>
              </w:rPr>
              <w:t>582</w:t>
            </w:r>
          </w:p>
        </w:tc>
        <w:tc>
          <w:tcPr>
            <w:tcW w:w="1100" w:type="dxa"/>
          </w:tcPr>
          <w:p w14:paraId="7DBFE37E" w14:textId="77777777" w:rsidR="00255EC0" w:rsidRPr="00DD4BD4" w:rsidRDefault="00255EC0" w:rsidP="00DD4BD4">
            <w:pPr>
              <w:pStyle w:val="Tabletextnospace"/>
              <w:jc w:val="right"/>
              <w:rPr>
                <w:sz w:val="20"/>
              </w:rPr>
            </w:pPr>
            <w:r w:rsidRPr="00DD4BD4">
              <w:rPr>
                <w:sz w:val="20"/>
              </w:rPr>
              <w:t>538</w:t>
            </w:r>
          </w:p>
        </w:tc>
      </w:tr>
    </w:tbl>
    <w:p w14:paraId="711A66D8" w14:textId="77777777" w:rsidR="00255EC0" w:rsidRPr="00255EC0" w:rsidRDefault="00255EC0" w:rsidP="00DD4BD4">
      <w:pPr>
        <w:pStyle w:val="Body"/>
      </w:pPr>
    </w:p>
    <w:p w14:paraId="1CE86B66" w14:textId="77777777" w:rsidR="00255EC0" w:rsidRPr="00255EC0" w:rsidRDefault="00255EC0" w:rsidP="00DD4BD4">
      <w:pPr>
        <w:pStyle w:val="Heading5"/>
        <w:rPr>
          <w:rFonts w:ascii="VIC Light" w:hAnsi="VIC Light" w:cs="VIC Light"/>
          <w:color w:val="000000"/>
          <w:sz w:val="18"/>
          <w:szCs w:val="18"/>
        </w:rPr>
      </w:pPr>
      <w:r w:rsidRPr="00255EC0">
        <w:t>Figure 13: Number of domestic overnight visitors</w:t>
      </w:r>
    </w:p>
    <w:p w14:paraId="1B6CF682" w14:textId="65567836" w:rsidR="00255EC0" w:rsidRPr="00255EC0" w:rsidRDefault="00DD4BD4" w:rsidP="00DD4BD4">
      <w:pPr>
        <w:pStyle w:val="Body"/>
      </w:pPr>
      <w:r>
        <w:rPr>
          <w:noProof/>
        </w:rPr>
        <w:drawing>
          <wp:inline distT="0" distB="0" distL="0" distR="0" wp14:anchorId="414EA050" wp14:editId="73217FDE">
            <wp:extent cx="1990725" cy="1323975"/>
            <wp:effectExtent l="0" t="0" r="9525" b="9525"/>
            <wp:docPr id="18" name="Graphic 18" descr="Figure 13: Number of domestic overnight visito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Figure 13: Number of domestic overnight visitors graph"/>
                    <pic:cNvPicPr/>
                  </pic:nvPicPr>
                  <pic:blipFill>
                    <a:blip r:embed="rId36">
                      <a:extLst>
                        <a:ext uri="{96DAC541-7B7A-43D3-8B79-37D633B846F1}">
                          <asvg:svgBlip xmlns:asvg="http://schemas.microsoft.com/office/drawing/2016/SVG/main" r:embed="rId37"/>
                        </a:ext>
                      </a:extLst>
                    </a:blip>
                    <a:stretch>
                      <a:fillRect/>
                    </a:stretch>
                  </pic:blipFill>
                  <pic:spPr>
                    <a:xfrm>
                      <a:off x="0" y="0"/>
                      <a:ext cx="1990725" cy="1323975"/>
                    </a:xfrm>
                    <a:prstGeom prst="rect">
                      <a:avLst/>
                    </a:prstGeom>
                  </pic:spPr>
                </pic:pic>
              </a:graphicData>
            </a:graphic>
          </wp:inline>
        </w:drawing>
      </w:r>
    </w:p>
    <w:p w14:paraId="41DD3B4B" w14:textId="77777777" w:rsidR="00255EC0" w:rsidRPr="00255EC0" w:rsidRDefault="00255EC0" w:rsidP="00DD4BD4">
      <w:pPr>
        <w:pStyle w:val="Heading5"/>
      </w:pPr>
      <w:r w:rsidRPr="00255EC0">
        <w:t>Figure 14: Number of international visitors</w:t>
      </w:r>
    </w:p>
    <w:p w14:paraId="5F388E40" w14:textId="7A2F604D" w:rsidR="00255EC0" w:rsidRPr="00255EC0" w:rsidRDefault="00DD4BD4" w:rsidP="00DD4BD4">
      <w:pPr>
        <w:pStyle w:val="Body"/>
      </w:pPr>
      <w:r>
        <w:rPr>
          <w:noProof/>
        </w:rPr>
        <w:drawing>
          <wp:inline distT="0" distB="0" distL="0" distR="0" wp14:anchorId="068E5E44" wp14:editId="1D7F711F">
            <wp:extent cx="1990725" cy="1323975"/>
            <wp:effectExtent l="0" t="0" r="9525" b="9525"/>
            <wp:docPr id="19" name="Graphic 19" descr="Figure 14: Number of international visito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Figure 14: Number of international visitors graph"/>
                    <pic:cNvPicPr/>
                  </pic:nvPicPr>
                  <pic:blipFill>
                    <a:blip r:embed="rId38">
                      <a:extLst>
                        <a:ext uri="{96DAC541-7B7A-43D3-8B79-37D633B846F1}">
                          <asvg:svgBlip xmlns:asvg="http://schemas.microsoft.com/office/drawing/2016/SVG/main" r:embed="rId39"/>
                        </a:ext>
                      </a:extLst>
                    </a:blip>
                    <a:stretch>
                      <a:fillRect/>
                    </a:stretch>
                  </pic:blipFill>
                  <pic:spPr>
                    <a:xfrm>
                      <a:off x="0" y="0"/>
                      <a:ext cx="1990725" cy="1323975"/>
                    </a:xfrm>
                    <a:prstGeom prst="rect">
                      <a:avLst/>
                    </a:prstGeom>
                  </pic:spPr>
                </pic:pic>
              </a:graphicData>
            </a:graphic>
          </wp:inline>
        </w:drawing>
      </w:r>
    </w:p>
    <w:p w14:paraId="4099283B" w14:textId="2616BFDA" w:rsidR="00255EC0" w:rsidRPr="00255EC0" w:rsidRDefault="00255EC0" w:rsidP="00DD4BD4">
      <w:pPr>
        <w:pStyle w:val="Heading5"/>
      </w:pPr>
      <w:r w:rsidRPr="00255EC0">
        <w:t>Figure 15: Visitor expenditure:</w:t>
      </w:r>
      <w:r w:rsidR="00DD4BD4">
        <w:t xml:space="preserve"> </w:t>
      </w:r>
      <w:r w:rsidRPr="00255EC0">
        <w:t>domestic</w:t>
      </w:r>
    </w:p>
    <w:p w14:paraId="4EA93021" w14:textId="346DE9B5" w:rsidR="00255EC0" w:rsidRPr="00255EC0" w:rsidRDefault="00DD4BD4" w:rsidP="00DD4BD4">
      <w:pPr>
        <w:pStyle w:val="Body"/>
      </w:pPr>
      <w:r>
        <w:rPr>
          <w:noProof/>
        </w:rPr>
        <w:drawing>
          <wp:inline distT="0" distB="0" distL="0" distR="0" wp14:anchorId="77AB9333" wp14:editId="65EFA598">
            <wp:extent cx="1990725" cy="1323975"/>
            <wp:effectExtent l="0" t="0" r="9525" b="9525"/>
            <wp:docPr id="20" name="Graphic 20" descr="Figure 15: Visitor expenditure: domestic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Figure 15: Visitor expenditure: domestic graph"/>
                    <pic:cNvPicPr/>
                  </pic:nvPicPr>
                  <pic:blipFill>
                    <a:blip r:embed="rId40">
                      <a:extLst>
                        <a:ext uri="{96DAC541-7B7A-43D3-8B79-37D633B846F1}">
                          <asvg:svgBlip xmlns:asvg="http://schemas.microsoft.com/office/drawing/2016/SVG/main" r:embed="rId41"/>
                        </a:ext>
                      </a:extLst>
                    </a:blip>
                    <a:stretch>
                      <a:fillRect/>
                    </a:stretch>
                  </pic:blipFill>
                  <pic:spPr>
                    <a:xfrm>
                      <a:off x="0" y="0"/>
                      <a:ext cx="1990725" cy="1323975"/>
                    </a:xfrm>
                    <a:prstGeom prst="rect">
                      <a:avLst/>
                    </a:prstGeom>
                  </pic:spPr>
                </pic:pic>
              </a:graphicData>
            </a:graphic>
          </wp:inline>
        </w:drawing>
      </w:r>
    </w:p>
    <w:p w14:paraId="4BA853E1" w14:textId="6DCA6EBE" w:rsidR="00255EC0" w:rsidRPr="00255EC0" w:rsidRDefault="00255EC0" w:rsidP="00DD4BD4">
      <w:pPr>
        <w:pStyle w:val="Heading5"/>
      </w:pPr>
      <w:r w:rsidRPr="00255EC0">
        <w:lastRenderedPageBreak/>
        <w:t>Figure 16: Visitor expenditure:</w:t>
      </w:r>
      <w:r w:rsidR="00DD4BD4">
        <w:t xml:space="preserve"> </w:t>
      </w:r>
      <w:r w:rsidRPr="00255EC0">
        <w:t>international</w:t>
      </w:r>
    </w:p>
    <w:p w14:paraId="13A6BC2D" w14:textId="47FDD80C" w:rsidR="00255EC0" w:rsidRPr="00255EC0" w:rsidRDefault="00DD4BD4" w:rsidP="00DD4BD4">
      <w:pPr>
        <w:pStyle w:val="Body"/>
      </w:pPr>
      <w:r>
        <w:rPr>
          <w:noProof/>
        </w:rPr>
        <w:drawing>
          <wp:inline distT="0" distB="0" distL="0" distR="0" wp14:anchorId="70561042" wp14:editId="3709412F">
            <wp:extent cx="1990725" cy="1323975"/>
            <wp:effectExtent l="0" t="0" r="9525" b="9525"/>
            <wp:docPr id="21" name="Graphic 21" descr="Figure 16: Visitor expenditure: internation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Figure 16: Visitor expenditure: international graph"/>
                    <pic:cNvPicPr/>
                  </pic:nvPicPr>
                  <pic:blipFill>
                    <a:blip r:embed="rId42">
                      <a:extLst>
                        <a:ext uri="{96DAC541-7B7A-43D3-8B79-37D633B846F1}">
                          <asvg:svgBlip xmlns:asvg="http://schemas.microsoft.com/office/drawing/2016/SVG/main" r:embed="rId43"/>
                        </a:ext>
                      </a:extLst>
                    </a:blip>
                    <a:stretch>
                      <a:fillRect/>
                    </a:stretch>
                  </pic:blipFill>
                  <pic:spPr>
                    <a:xfrm>
                      <a:off x="0" y="0"/>
                      <a:ext cx="1990725" cy="1323975"/>
                    </a:xfrm>
                    <a:prstGeom prst="rect">
                      <a:avLst/>
                    </a:prstGeom>
                  </pic:spPr>
                </pic:pic>
              </a:graphicData>
            </a:graphic>
          </wp:inline>
        </w:drawing>
      </w:r>
    </w:p>
    <w:p w14:paraId="21A097D5" w14:textId="2664043C" w:rsidR="00255EC0" w:rsidRPr="00255EC0" w:rsidRDefault="00255EC0" w:rsidP="00DD4BD4">
      <w:pPr>
        <w:pStyle w:val="Heading5"/>
      </w:pPr>
      <w:r w:rsidRPr="00255EC0">
        <w:t>Figure 17: Visitor expenditure:</w:t>
      </w:r>
      <w:r w:rsidR="00DD4BD4">
        <w:t xml:space="preserve"> </w:t>
      </w:r>
      <w:r w:rsidRPr="00255EC0">
        <w:t>regional Victoria (domestic)</w:t>
      </w:r>
    </w:p>
    <w:p w14:paraId="28ED804D" w14:textId="1D630C15" w:rsidR="00255EC0" w:rsidRPr="00255EC0" w:rsidRDefault="00DD4BD4" w:rsidP="00DD4BD4">
      <w:pPr>
        <w:pStyle w:val="Body"/>
      </w:pPr>
      <w:r>
        <w:rPr>
          <w:noProof/>
        </w:rPr>
        <w:drawing>
          <wp:inline distT="0" distB="0" distL="0" distR="0" wp14:anchorId="7BD33C38" wp14:editId="00B417BD">
            <wp:extent cx="1990725" cy="1323975"/>
            <wp:effectExtent l="0" t="0" r="9525" b="9525"/>
            <wp:docPr id="22" name="Graphic 22" descr="Figure 17: Visitor expenditure: regional Victoria (domestic)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Figure 17: Visitor expenditure: regional Victoria (domestic) graph"/>
                    <pic:cNvPicPr/>
                  </pic:nvPicPr>
                  <pic:blipFill>
                    <a:blip r:embed="rId44">
                      <a:extLst>
                        <a:ext uri="{96DAC541-7B7A-43D3-8B79-37D633B846F1}">
                          <asvg:svgBlip xmlns:asvg="http://schemas.microsoft.com/office/drawing/2016/SVG/main" r:embed="rId45"/>
                        </a:ext>
                      </a:extLst>
                    </a:blip>
                    <a:stretch>
                      <a:fillRect/>
                    </a:stretch>
                  </pic:blipFill>
                  <pic:spPr>
                    <a:xfrm>
                      <a:off x="0" y="0"/>
                      <a:ext cx="1990725" cy="1323975"/>
                    </a:xfrm>
                    <a:prstGeom prst="rect">
                      <a:avLst/>
                    </a:prstGeom>
                  </pic:spPr>
                </pic:pic>
              </a:graphicData>
            </a:graphic>
          </wp:inline>
        </w:drawing>
      </w:r>
    </w:p>
    <w:p w14:paraId="3A5FCD1C" w14:textId="25C7716B" w:rsidR="00255EC0" w:rsidRPr="00255EC0" w:rsidRDefault="00255EC0" w:rsidP="00DD4BD4">
      <w:pPr>
        <w:pStyle w:val="Heading5"/>
      </w:pPr>
      <w:r w:rsidRPr="00255EC0">
        <w:t>Figure 18: Visitor expenditure:</w:t>
      </w:r>
      <w:r w:rsidR="00DD4BD4">
        <w:t xml:space="preserve"> </w:t>
      </w:r>
      <w:r w:rsidRPr="00255EC0">
        <w:t>regional Victoria (international)</w:t>
      </w:r>
    </w:p>
    <w:p w14:paraId="084C7B6C" w14:textId="3FD870AB" w:rsidR="00255EC0" w:rsidRPr="00255EC0" w:rsidRDefault="00DD4BD4" w:rsidP="00DD4BD4">
      <w:pPr>
        <w:pStyle w:val="Body"/>
      </w:pPr>
      <w:r>
        <w:rPr>
          <w:noProof/>
        </w:rPr>
        <w:drawing>
          <wp:inline distT="0" distB="0" distL="0" distR="0" wp14:anchorId="6D671E0B" wp14:editId="7ED35365">
            <wp:extent cx="1990725" cy="1323975"/>
            <wp:effectExtent l="0" t="0" r="9525" b="9525"/>
            <wp:docPr id="23" name="Graphic 23" descr="Figure 18: Visitor expenditure: regional Victoria (internation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gure 18: Visitor expenditure: regional Victoria (international) graph"/>
                    <pic:cNvPicPr/>
                  </pic:nvPicPr>
                  <pic:blipFill>
                    <a:blip r:embed="rId46">
                      <a:extLst>
                        <a:ext uri="{96DAC541-7B7A-43D3-8B79-37D633B846F1}">
                          <asvg:svgBlip xmlns:asvg="http://schemas.microsoft.com/office/drawing/2016/SVG/main" r:embed="rId47"/>
                        </a:ext>
                      </a:extLst>
                    </a:blip>
                    <a:stretch>
                      <a:fillRect/>
                    </a:stretch>
                  </pic:blipFill>
                  <pic:spPr>
                    <a:xfrm>
                      <a:off x="0" y="0"/>
                      <a:ext cx="1990725" cy="1323975"/>
                    </a:xfrm>
                    <a:prstGeom prst="rect">
                      <a:avLst/>
                    </a:prstGeom>
                  </pic:spPr>
                </pic:pic>
              </a:graphicData>
            </a:graphic>
          </wp:inline>
        </w:drawing>
      </w:r>
    </w:p>
    <w:p w14:paraId="0124413B" w14:textId="604589C1" w:rsidR="00255EC0" w:rsidRPr="00255EC0" w:rsidRDefault="00255EC0" w:rsidP="00DD4BD4">
      <w:pPr>
        <w:pStyle w:val="Body"/>
      </w:pPr>
      <w:r w:rsidRPr="00255EC0">
        <w:t>As at year ending March 2020, according to</w:t>
      </w:r>
      <w:r w:rsidR="00DD4BD4">
        <w:t xml:space="preserve"> </w:t>
      </w:r>
      <w:r w:rsidRPr="00255EC0">
        <w:t>the latest available data from Tourism Research Australia, there were 95.5 million total visitors</w:t>
      </w:r>
      <w:r w:rsidR="00DD4BD4">
        <w:t xml:space="preserve"> </w:t>
      </w:r>
      <w:r w:rsidRPr="00255EC0">
        <w:t>to and within Victoria, and the total expenditure</w:t>
      </w:r>
      <w:r w:rsidR="00DD4BD4">
        <w:t xml:space="preserve"> </w:t>
      </w:r>
      <w:r w:rsidRPr="00255EC0">
        <w:t xml:space="preserve">was $31.3 billion. </w:t>
      </w:r>
    </w:p>
    <w:p w14:paraId="66E712C7" w14:textId="49249B3B" w:rsidR="00255EC0" w:rsidRPr="00255EC0" w:rsidRDefault="00255EC0" w:rsidP="00DD4BD4">
      <w:pPr>
        <w:pStyle w:val="Body"/>
      </w:pPr>
      <w:r w:rsidRPr="00255EC0">
        <w:t>Despite the effects of the summer bushfires</w:t>
      </w:r>
      <w:r w:rsidR="00DD4BD4">
        <w:t xml:space="preserve"> </w:t>
      </w:r>
      <w:r w:rsidRPr="00255EC0">
        <w:t>and the impact of coronavirus (COVID-19),</w:t>
      </w:r>
      <w:r w:rsidR="00DD4BD4">
        <w:t xml:space="preserve"> </w:t>
      </w:r>
      <w:r w:rsidRPr="00255EC0">
        <w:t>domestic overnight tourism in Victoria showed</w:t>
      </w:r>
      <w:r w:rsidR="00DD4BD4">
        <w:t xml:space="preserve"> </w:t>
      </w:r>
      <w:r w:rsidRPr="00255EC0">
        <w:t>solid growth for the year ending in March 2020,</w:t>
      </w:r>
      <w:r w:rsidR="00DD4BD4">
        <w:t xml:space="preserve"> </w:t>
      </w:r>
      <w:r w:rsidRPr="00255EC0">
        <w:t>following a strong 2019. This reflects the key</w:t>
      </w:r>
      <w:r w:rsidR="00DD4BD4">
        <w:t xml:space="preserve"> </w:t>
      </w:r>
      <w:r w:rsidRPr="00255EC0">
        <w:t>marketing activities by Visit Victoria over 2019</w:t>
      </w:r>
      <w:r w:rsidR="00DD4BD4">
        <w:t xml:space="preserve"> </w:t>
      </w:r>
      <w:r w:rsidRPr="00255EC0">
        <w:t>which included the successful roll out of the Your</w:t>
      </w:r>
      <w:r w:rsidR="00DD4BD4">
        <w:t xml:space="preserve"> </w:t>
      </w:r>
      <w:r w:rsidRPr="00255EC0">
        <w:t>Happy Space marketing campaign encouraging</w:t>
      </w:r>
      <w:r w:rsidR="00DD4BD4">
        <w:t xml:space="preserve"> </w:t>
      </w:r>
      <w:r w:rsidRPr="00255EC0">
        <w:t>Melbournians to visit regional Victoria.</w:t>
      </w:r>
    </w:p>
    <w:p w14:paraId="49C84BCA" w14:textId="6FCC5E61" w:rsidR="00255EC0" w:rsidRPr="00255EC0" w:rsidRDefault="00255EC0" w:rsidP="00DD4BD4">
      <w:pPr>
        <w:pStyle w:val="Body"/>
      </w:pPr>
      <w:r w:rsidRPr="00255EC0">
        <w:t>The department continued to work with Visit</w:t>
      </w:r>
      <w:r w:rsidR="00DD4BD4">
        <w:t xml:space="preserve"> </w:t>
      </w:r>
      <w:r w:rsidRPr="00255EC0">
        <w:t>Victoria to secure and deliver world-class major</w:t>
      </w:r>
      <w:r w:rsidR="00DD4BD4">
        <w:t xml:space="preserve"> </w:t>
      </w:r>
      <w:r w:rsidRPr="00255EC0">
        <w:t>events, business events and regional events,</w:t>
      </w:r>
      <w:r w:rsidR="00DD4BD4">
        <w:t xml:space="preserve"> </w:t>
      </w:r>
      <w:r w:rsidRPr="00255EC0">
        <w:t>including Come From Away, the ICC T20 Women’s World Cup Final, UFC243, The President’s Cup</w:t>
      </w:r>
      <w:r w:rsidR="00DD4BD4">
        <w:t xml:space="preserve"> </w:t>
      </w:r>
      <w:r w:rsidRPr="00255EC0">
        <w:t xml:space="preserve">and Boomers vs USA Basketball. </w:t>
      </w:r>
    </w:p>
    <w:p w14:paraId="20917E30" w14:textId="05745654" w:rsidR="00255EC0" w:rsidRPr="00255EC0" w:rsidRDefault="00255EC0" w:rsidP="00DD4BD4">
      <w:pPr>
        <w:pStyle w:val="Body"/>
      </w:pPr>
      <w:r w:rsidRPr="00255EC0">
        <w:t>Although, indicators for quarter three show</w:t>
      </w:r>
      <w:r w:rsidR="00DD4BD4">
        <w:t xml:space="preserve"> </w:t>
      </w:r>
      <w:r w:rsidRPr="00255EC0">
        <w:t>sharp declines across all key measures compared</w:t>
      </w:r>
      <w:r w:rsidR="009C32CC">
        <w:t xml:space="preserve"> </w:t>
      </w:r>
      <w:r w:rsidRPr="00255EC0">
        <w:t xml:space="preserve">to the same period last </w:t>
      </w:r>
      <w:proofErr w:type="gramStart"/>
      <w:r w:rsidRPr="00255EC0">
        <w:t>year;</w:t>
      </w:r>
      <w:proofErr w:type="gramEnd"/>
      <w:r w:rsidRPr="00255EC0">
        <w:t xml:space="preserve"> as the negative impacts of the dual crises started to take hold on travel movement across the country. This has impacted most parts of the tourism and major events industry with reduced visitation across the State and cancellation or postponement of events</w:t>
      </w:r>
      <w:r w:rsidR="009C32CC">
        <w:t xml:space="preserve"> </w:t>
      </w:r>
      <w:r w:rsidRPr="00255EC0">
        <w:t>such as the Formula One Australian Grand Prix.</w:t>
      </w:r>
    </w:p>
    <w:p w14:paraId="08A2AE24" w14:textId="61ABE216" w:rsidR="00255EC0" w:rsidRPr="00255EC0" w:rsidRDefault="00255EC0" w:rsidP="00DD4BD4">
      <w:pPr>
        <w:pStyle w:val="Body"/>
      </w:pPr>
      <w:r w:rsidRPr="00255EC0">
        <w:t>The coronavirus (COVID-19) outbreak had</w:t>
      </w:r>
      <w:r w:rsidR="009C32CC">
        <w:t xml:space="preserve"> </w:t>
      </w:r>
      <w:r w:rsidRPr="00255EC0">
        <w:t>a significant negative impact on key international measures in the latest year ending March 2020 results. International spend growth in Victoria</w:t>
      </w:r>
      <w:r w:rsidR="009C32CC">
        <w:t xml:space="preserve"> </w:t>
      </w:r>
      <w:r w:rsidRPr="00255EC0">
        <w:t>was at its lowest level on record since the year ending June 2006.</w:t>
      </w:r>
    </w:p>
    <w:p w14:paraId="63FF3F1E" w14:textId="77777777" w:rsidR="00255EC0" w:rsidRPr="00255EC0" w:rsidRDefault="00255EC0" w:rsidP="009C32CC">
      <w:pPr>
        <w:pStyle w:val="Body"/>
      </w:pPr>
      <w:r w:rsidRPr="00255EC0">
        <w:lastRenderedPageBreak/>
        <w:t xml:space="preserve">The department worked closely with Visit Victoria, the Victoria Tourism Industry Council, Regional Tourism Boards, portfolio entities and the tourism industry to provide advice and support during the January 2020 Victorian bushfires and the coronavirus (COVID-19) pandemic. </w:t>
      </w:r>
    </w:p>
    <w:p w14:paraId="7B90DAE3" w14:textId="77777777" w:rsidR="00255EC0" w:rsidRPr="00255EC0" w:rsidRDefault="00255EC0" w:rsidP="009C32CC">
      <w:pPr>
        <w:pStyle w:val="Heading4"/>
        <w:rPr>
          <w:rFonts w:ascii="VIC Medium" w:hAnsi="VIC Medium" w:cs="VIC Medium"/>
        </w:rPr>
      </w:pPr>
      <w:r w:rsidRPr="00255EC0">
        <w:t>Indicator: Increase rates of community engagement, including through participation in sport and recreation</w:t>
      </w:r>
    </w:p>
    <w:p w14:paraId="7F2A2A9A" w14:textId="7FA1E600" w:rsidR="00255EC0" w:rsidRPr="00255EC0" w:rsidRDefault="00255EC0" w:rsidP="009C32CC">
      <w:pPr>
        <w:pStyle w:val="Heading5"/>
        <w:rPr>
          <w:rFonts w:ascii="VIC Medium" w:hAnsi="VIC Medium" w:cs="VIC Medium"/>
        </w:rPr>
      </w:pPr>
      <w:r w:rsidRPr="00255EC0">
        <w:t>Table 17: Increase rates of community engagement, including through participation</w:t>
      </w:r>
      <w:r w:rsidR="009C32CC">
        <w:t xml:space="preserve"> </w:t>
      </w:r>
      <w:r w:rsidRPr="00255EC0">
        <w:t>in sport and recreation</w:t>
      </w:r>
    </w:p>
    <w:tbl>
      <w:tblPr>
        <w:tblStyle w:val="TableGrid"/>
        <w:tblW w:w="9638" w:type="dxa"/>
        <w:tblLayout w:type="fixed"/>
        <w:tblLook w:val="0020" w:firstRow="1" w:lastRow="0" w:firstColumn="0" w:lastColumn="0" w:noHBand="0" w:noVBand="0"/>
      </w:tblPr>
      <w:tblGrid>
        <w:gridCol w:w="4195"/>
        <w:gridCol w:w="1340"/>
        <w:gridCol w:w="1341"/>
        <w:gridCol w:w="1341"/>
        <w:gridCol w:w="1421"/>
      </w:tblGrid>
      <w:tr w:rsidR="00255EC0" w:rsidRPr="009C32CC" w14:paraId="3D94D342" w14:textId="77777777" w:rsidTr="00E8460A">
        <w:trPr>
          <w:trHeight w:val="113"/>
        </w:trPr>
        <w:tc>
          <w:tcPr>
            <w:tcW w:w="4195" w:type="dxa"/>
          </w:tcPr>
          <w:p w14:paraId="0FB144C4" w14:textId="77777777" w:rsidR="00255EC0" w:rsidRPr="009C32CC" w:rsidRDefault="00255EC0" w:rsidP="009C32CC">
            <w:pPr>
              <w:pStyle w:val="TableColumnheading"/>
              <w:rPr>
                <w:sz w:val="20"/>
                <w:szCs w:val="18"/>
              </w:rPr>
            </w:pPr>
            <w:r w:rsidRPr="009C32CC">
              <w:rPr>
                <w:sz w:val="20"/>
                <w:szCs w:val="18"/>
              </w:rPr>
              <w:t>Measure (unit of measure)</w:t>
            </w:r>
          </w:p>
        </w:tc>
        <w:tc>
          <w:tcPr>
            <w:tcW w:w="1340" w:type="dxa"/>
          </w:tcPr>
          <w:p w14:paraId="1EA7DF8F" w14:textId="77777777" w:rsidR="00255EC0" w:rsidRPr="009C32CC" w:rsidRDefault="00255EC0" w:rsidP="009C32CC">
            <w:pPr>
              <w:pStyle w:val="TableColumnheading"/>
              <w:jc w:val="right"/>
              <w:rPr>
                <w:sz w:val="20"/>
                <w:szCs w:val="18"/>
              </w:rPr>
            </w:pPr>
            <w:r w:rsidRPr="009C32CC">
              <w:rPr>
                <w:sz w:val="20"/>
                <w:szCs w:val="18"/>
              </w:rPr>
              <w:t>2016–17</w:t>
            </w:r>
          </w:p>
        </w:tc>
        <w:tc>
          <w:tcPr>
            <w:tcW w:w="1341" w:type="dxa"/>
          </w:tcPr>
          <w:p w14:paraId="293827F3" w14:textId="77777777" w:rsidR="00255EC0" w:rsidRPr="009C32CC" w:rsidRDefault="00255EC0" w:rsidP="009C32CC">
            <w:pPr>
              <w:pStyle w:val="TableColumnheading"/>
              <w:jc w:val="right"/>
              <w:rPr>
                <w:sz w:val="20"/>
                <w:szCs w:val="18"/>
              </w:rPr>
            </w:pPr>
            <w:r w:rsidRPr="009C32CC">
              <w:rPr>
                <w:sz w:val="20"/>
                <w:szCs w:val="18"/>
              </w:rPr>
              <w:t>2017–18</w:t>
            </w:r>
          </w:p>
        </w:tc>
        <w:tc>
          <w:tcPr>
            <w:tcW w:w="1341" w:type="dxa"/>
          </w:tcPr>
          <w:p w14:paraId="6A615530" w14:textId="77777777" w:rsidR="00255EC0" w:rsidRPr="009C32CC" w:rsidRDefault="00255EC0" w:rsidP="009C32CC">
            <w:pPr>
              <w:pStyle w:val="TableColumnheading"/>
              <w:jc w:val="right"/>
              <w:rPr>
                <w:sz w:val="20"/>
                <w:szCs w:val="18"/>
              </w:rPr>
            </w:pPr>
            <w:r w:rsidRPr="009C32CC">
              <w:rPr>
                <w:sz w:val="20"/>
                <w:szCs w:val="18"/>
              </w:rPr>
              <w:t>2018–19</w:t>
            </w:r>
          </w:p>
        </w:tc>
        <w:tc>
          <w:tcPr>
            <w:tcW w:w="1421" w:type="dxa"/>
          </w:tcPr>
          <w:p w14:paraId="330E1051" w14:textId="77777777" w:rsidR="00255EC0" w:rsidRPr="009C32CC" w:rsidRDefault="00255EC0" w:rsidP="009C32CC">
            <w:pPr>
              <w:pStyle w:val="TableColumnheading"/>
              <w:jc w:val="right"/>
              <w:rPr>
                <w:sz w:val="20"/>
                <w:szCs w:val="18"/>
              </w:rPr>
            </w:pPr>
            <w:r w:rsidRPr="009C32CC">
              <w:rPr>
                <w:sz w:val="20"/>
                <w:szCs w:val="18"/>
              </w:rPr>
              <w:t>2019–20</w:t>
            </w:r>
          </w:p>
        </w:tc>
      </w:tr>
      <w:tr w:rsidR="00255EC0" w:rsidRPr="009C32CC" w14:paraId="60F2603E" w14:textId="77777777" w:rsidTr="00E8460A">
        <w:trPr>
          <w:trHeight w:val="113"/>
        </w:trPr>
        <w:tc>
          <w:tcPr>
            <w:tcW w:w="4195" w:type="dxa"/>
          </w:tcPr>
          <w:p w14:paraId="11797108" w14:textId="3A7A690A" w:rsidR="00255EC0" w:rsidRPr="009C32CC" w:rsidRDefault="00255EC0" w:rsidP="009C32CC">
            <w:pPr>
              <w:pStyle w:val="Tabletextnospace"/>
              <w:rPr>
                <w:sz w:val="20"/>
              </w:rPr>
            </w:pPr>
            <w:r w:rsidRPr="009C32CC">
              <w:rPr>
                <w:sz w:val="20"/>
              </w:rPr>
              <w:t>Percentage of adult Victorians participating</w:t>
            </w:r>
            <w:r w:rsidR="009C32CC">
              <w:rPr>
                <w:sz w:val="20"/>
              </w:rPr>
              <w:t xml:space="preserve"> </w:t>
            </w:r>
            <w:r w:rsidRPr="009C32CC">
              <w:rPr>
                <w:sz w:val="20"/>
              </w:rPr>
              <w:t>in sport at least once per year (per cent)</w:t>
            </w:r>
          </w:p>
        </w:tc>
        <w:tc>
          <w:tcPr>
            <w:tcW w:w="1340" w:type="dxa"/>
          </w:tcPr>
          <w:p w14:paraId="7AF20284" w14:textId="77777777" w:rsidR="00255EC0" w:rsidRPr="009C32CC" w:rsidRDefault="00255EC0" w:rsidP="009C32CC">
            <w:pPr>
              <w:pStyle w:val="Tabletextnospace"/>
              <w:jc w:val="right"/>
              <w:rPr>
                <w:sz w:val="20"/>
              </w:rPr>
            </w:pPr>
            <w:r w:rsidRPr="009C32CC">
              <w:rPr>
                <w:sz w:val="20"/>
              </w:rPr>
              <w:t>89.2</w:t>
            </w:r>
          </w:p>
        </w:tc>
        <w:tc>
          <w:tcPr>
            <w:tcW w:w="1341" w:type="dxa"/>
          </w:tcPr>
          <w:p w14:paraId="31576E27" w14:textId="77777777" w:rsidR="00255EC0" w:rsidRPr="009C32CC" w:rsidRDefault="00255EC0" w:rsidP="009C32CC">
            <w:pPr>
              <w:pStyle w:val="Tabletextnospace"/>
              <w:jc w:val="right"/>
              <w:rPr>
                <w:sz w:val="20"/>
              </w:rPr>
            </w:pPr>
            <w:r w:rsidRPr="009C32CC">
              <w:rPr>
                <w:sz w:val="20"/>
              </w:rPr>
              <w:t>90.9</w:t>
            </w:r>
          </w:p>
        </w:tc>
        <w:tc>
          <w:tcPr>
            <w:tcW w:w="1341" w:type="dxa"/>
          </w:tcPr>
          <w:p w14:paraId="02298CBD" w14:textId="77777777" w:rsidR="00255EC0" w:rsidRPr="009C32CC" w:rsidRDefault="00255EC0" w:rsidP="009C32CC">
            <w:pPr>
              <w:pStyle w:val="Tabletextnospace"/>
              <w:jc w:val="right"/>
              <w:rPr>
                <w:sz w:val="20"/>
              </w:rPr>
            </w:pPr>
            <w:r w:rsidRPr="009C32CC">
              <w:rPr>
                <w:sz w:val="20"/>
              </w:rPr>
              <w:t>91.6</w:t>
            </w:r>
          </w:p>
        </w:tc>
        <w:tc>
          <w:tcPr>
            <w:tcW w:w="1421" w:type="dxa"/>
          </w:tcPr>
          <w:p w14:paraId="0F08D57A" w14:textId="34AAA7C6" w:rsidR="00255EC0" w:rsidRPr="009C32CC" w:rsidRDefault="00255EC0" w:rsidP="009C32CC">
            <w:pPr>
              <w:pStyle w:val="Tabletextnospace"/>
              <w:jc w:val="right"/>
              <w:rPr>
                <w:sz w:val="20"/>
              </w:rPr>
            </w:pPr>
            <w:r w:rsidRPr="009C32CC">
              <w:rPr>
                <w:sz w:val="20"/>
              </w:rPr>
              <w:t>Data available</w:t>
            </w:r>
            <w:r w:rsidR="009C32CC" w:rsidRPr="009C32CC">
              <w:rPr>
                <w:sz w:val="20"/>
              </w:rPr>
              <w:t xml:space="preserve"> </w:t>
            </w:r>
            <w:r w:rsidRPr="009C32CC">
              <w:rPr>
                <w:sz w:val="20"/>
              </w:rPr>
              <w:t>October 2020</w:t>
            </w:r>
          </w:p>
        </w:tc>
      </w:tr>
    </w:tbl>
    <w:p w14:paraId="4D6320D6" w14:textId="77777777" w:rsidR="00255EC0" w:rsidRPr="00255EC0" w:rsidRDefault="00255EC0" w:rsidP="009C32CC">
      <w:pPr>
        <w:pStyle w:val="Body"/>
      </w:pPr>
    </w:p>
    <w:p w14:paraId="6EEF8450" w14:textId="15A86DD4" w:rsidR="00255EC0" w:rsidRPr="00255EC0" w:rsidRDefault="00255EC0" w:rsidP="009C32CC">
      <w:pPr>
        <w:pStyle w:val="Heading5"/>
      </w:pPr>
      <w:r w:rsidRPr="00255EC0">
        <w:t>Figure 19: Percentage of adult Victorians</w:t>
      </w:r>
      <w:r w:rsidR="009C32CC">
        <w:t xml:space="preserve"> </w:t>
      </w:r>
      <w:r w:rsidRPr="00255EC0">
        <w:t>participating in sport at least once per year</w:t>
      </w:r>
    </w:p>
    <w:p w14:paraId="75B3D158" w14:textId="444B8928" w:rsidR="00255EC0" w:rsidRPr="00255EC0" w:rsidRDefault="009C32CC" w:rsidP="009C32CC">
      <w:pPr>
        <w:pStyle w:val="Body"/>
      </w:pPr>
      <w:r>
        <w:rPr>
          <w:noProof/>
        </w:rPr>
        <w:drawing>
          <wp:inline distT="0" distB="0" distL="0" distR="0" wp14:anchorId="20D99F3F" wp14:editId="49DA0BE5">
            <wp:extent cx="2047875" cy="1323975"/>
            <wp:effectExtent l="0" t="0" r="0" b="9525"/>
            <wp:docPr id="24" name="Graphic 24" descr="Figure 19: Percentage of adult Victorians participating in sport at least once per ye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Figure 19: Percentage of adult Victorians participating in sport at least once per year graph"/>
                    <pic:cNvPicPr/>
                  </pic:nvPicPr>
                  <pic:blipFill>
                    <a:blip r:embed="rId48">
                      <a:extLst>
                        <a:ext uri="{96DAC541-7B7A-43D3-8B79-37D633B846F1}">
                          <asvg:svgBlip xmlns:asvg="http://schemas.microsoft.com/office/drawing/2016/SVG/main" r:embed="rId49"/>
                        </a:ext>
                      </a:extLst>
                    </a:blip>
                    <a:stretch>
                      <a:fillRect/>
                    </a:stretch>
                  </pic:blipFill>
                  <pic:spPr>
                    <a:xfrm>
                      <a:off x="0" y="0"/>
                      <a:ext cx="2047875" cy="1323975"/>
                    </a:xfrm>
                    <a:prstGeom prst="rect">
                      <a:avLst/>
                    </a:prstGeom>
                  </pic:spPr>
                </pic:pic>
              </a:graphicData>
            </a:graphic>
          </wp:inline>
        </w:drawing>
      </w:r>
    </w:p>
    <w:p w14:paraId="6DCED9C9" w14:textId="4528C666" w:rsidR="00255EC0" w:rsidRPr="00255EC0" w:rsidRDefault="00255EC0" w:rsidP="009C32CC">
      <w:pPr>
        <w:pStyle w:val="Body"/>
        <w:rPr>
          <w:spacing w:val="-2"/>
        </w:rPr>
      </w:pPr>
      <w:r w:rsidRPr="00255EC0">
        <w:t>Victoria has seen an upward trend in participation</w:t>
      </w:r>
      <w:r w:rsidR="009C32CC">
        <w:t xml:space="preserve"> </w:t>
      </w:r>
      <w:r w:rsidRPr="00255EC0">
        <w:t>in sport since 2015–16, when 87.5 per cent of the</w:t>
      </w:r>
      <w:r w:rsidR="009C32CC">
        <w:t xml:space="preserve"> </w:t>
      </w:r>
      <w:r w:rsidRPr="00255EC0">
        <w:t>adult population reported participating in sport</w:t>
      </w:r>
      <w:r w:rsidR="009C32CC">
        <w:t xml:space="preserve"> </w:t>
      </w:r>
      <w:r w:rsidRPr="00255EC0">
        <w:t>at least once per year through to 91.6 per cent in 2018–19. The half year figure of 91.3 per cent, indicated a consistent upward trend for the first</w:t>
      </w:r>
      <w:r w:rsidR="009C32CC">
        <w:t xml:space="preserve"> </w:t>
      </w:r>
      <w:r w:rsidRPr="00255EC0">
        <w:t>half of 2019–20. Full year data is not available until October 2020, however, the restrictions imposed</w:t>
      </w:r>
      <w:r w:rsidR="009C32CC">
        <w:t xml:space="preserve"> </w:t>
      </w:r>
      <w:r w:rsidRPr="00255EC0">
        <w:t>on participation in sport and recreation due</w:t>
      </w:r>
      <w:r w:rsidR="009C32CC">
        <w:t xml:space="preserve"> </w:t>
      </w:r>
      <w:r w:rsidRPr="00255EC0">
        <w:t xml:space="preserve">to the coronavirus (COVID-19) outbreak will have impacted participation rates. </w:t>
      </w:r>
    </w:p>
    <w:p w14:paraId="3385E550" w14:textId="000967EE" w:rsidR="00255EC0" w:rsidRPr="00255EC0" w:rsidRDefault="00255EC0" w:rsidP="009C32CC">
      <w:pPr>
        <w:pStyle w:val="Body"/>
      </w:pPr>
      <w:r w:rsidRPr="00255EC0">
        <w:t>Annual increases in participation in sport</w:t>
      </w:r>
      <w:r w:rsidR="009C32CC">
        <w:t xml:space="preserve"> </w:t>
      </w:r>
      <w:r w:rsidRPr="00255EC0">
        <w:t>and recreation are integral to delivering whole of government outcomes, particularly to enable healthy Victorians, safe and just communities, quality infrastructure, as well as a strong</w:t>
      </w:r>
      <w:r w:rsidR="009C32CC">
        <w:t xml:space="preserve"> </w:t>
      </w:r>
      <w:r w:rsidRPr="00255EC0">
        <w:t>and thriving economy.</w:t>
      </w:r>
    </w:p>
    <w:p w14:paraId="32BAFA1E" w14:textId="77777777" w:rsidR="00255EC0" w:rsidRPr="00255EC0" w:rsidRDefault="00255EC0" w:rsidP="009C32CC">
      <w:pPr>
        <w:pStyle w:val="Body"/>
      </w:pPr>
      <w:r w:rsidRPr="00255EC0">
        <w:t xml:space="preserve">Increasing opportunities for participation in sport and active recreation would not be possible without the 580,000 volunteers who give their time to support local clubs, </w:t>
      </w:r>
      <w:proofErr w:type="gramStart"/>
      <w:r w:rsidRPr="00255EC0">
        <w:t>organisations</w:t>
      </w:r>
      <w:proofErr w:type="gramEnd"/>
      <w:r w:rsidRPr="00255EC0">
        <w:t xml:space="preserve"> and events.</w:t>
      </w:r>
    </w:p>
    <w:p w14:paraId="4A1A1263" w14:textId="77777777" w:rsidR="00255EC0" w:rsidRPr="00255EC0" w:rsidRDefault="00255EC0" w:rsidP="009C32CC">
      <w:pPr>
        <w:pStyle w:val="Body"/>
      </w:pPr>
      <w:r w:rsidRPr="00255EC0">
        <w:t>The sport and recreation sector provides $9.2 billion gross value-add annually and supports 71,000 equivalent full-time jobs. Every dollar spent on sport is estimated to return $7.80 to our community.</w:t>
      </w:r>
    </w:p>
    <w:p w14:paraId="6540305C" w14:textId="7ACF72ED" w:rsidR="00255EC0" w:rsidRPr="00255EC0" w:rsidRDefault="00255EC0" w:rsidP="009C32CC">
      <w:pPr>
        <w:pStyle w:val="Body"/>
      </w:pPr>
      <w:r w:rsidRPr="00255EC0">
        <w:t>The increase in participation in sport over the last four years has also been facilitated through the Supporting Victorian Sport and Recreation (</w:t>
      </w:r>
      <w:proofErr w:type="spellStart"/>
      <w:r w:rsidRPr="00255EC0">
        <w:t>SVSR</w:t>
      </w:r>
      <w:proofErr w:type="spellEnd"/>
      <w:r w:rsidRPr="00255EC0">
        <w:t>) Program, which had provided funding to 100 state sporting associations and recreation bodies when it concluded on 30 June 2019. The government continues to support a strong sport sector through the Together More Active program, launched</w:t>
      </w:r>
      <w:r w:rsidR="009C32CC">
        <w:t xml:space="preserve"> </w:t>
      </w:r>
      <w:r w:rsidRPr="00255EC0">
        <w:t xml:space="preserve">in April 2019, which succeeds the </w:t>
      </w:r>
      <w:proofErr w:type="spellStart"/>
      <w:r w:rsidRPr="00255EC0">
        <w:t>SVSR</w:t>
      </w:r>
      <w:proofErr w:type="spellEnd"/>
      <w:r w:rsidRPr="00255EC0">
        <w:t xml:space="preserve"> program.</w:t>
      </w:r>
    </w:p>
    <w:p w14:paraId="1FF8E765" w14:textId="18CA7CC1" w:rsidR="00255EC0" w:rsidRPr="00255EC0" w:rsidRDefault="00255EC0" w:rsidP="009C32CC">
      <w:pPr>
        <w:pStyle w:val="Body"/>
      </w:pPr>
      <w:r w:rsidRPr="00255EC0">
        <w:t>Opportunities for Victorians to participate</w:t>
      </w:r>
      <w:r w:rsidR="009C32CC">
        <w:t xml:space="preserve"> </w:t>
      </w:r>
      <w:r w:rsidRPr="00255EC0">
        <w:t>in professional or high-performance sport are supported by the number of national sporting organisations that call Victoria home. There are</w:t>
      </w:r>
      <w:r w:rsidR="009C32CC">
        <w:t xml:space="preserve"> </w:t>
      </w:r>
      <w:r w:rsidRPr="00255EC0">
        <w:t>98 recognised national sporting organisations</w:t>
      </w:r>
      <w:r w:rsidR="009C32CC">
        <w:t xml:space="preserve"> </w:t>
      </w:r>
      <w:r w:rsidRPr="00255EC0">
        <w:t>and 32 of those are based in Victoria. In addition, Victoria supports 45 professional sports teams competing at the highest level, nationally</w:t>
      </w:r>
      <w:r w:rsidR="009C32CC">
        <w:t xml:space="preserve"> </w:t>
      </w:r>
      <w:r w:rsidRPr="00255EC0">
        <w:t xml:space="preserve">or internationally, in their sport. </w:t>
      </w:r>
    </w:p>
    <w:p w14:paraId="2AD1D314" w14:textId="5A4E550A" w:rsidR="00255EC0" w:rsidRPr="00255EC0" w:rsidRDefault="00255EC0" w:rsidP="00C81008">
      <w:pPr>
        <w:pStyle w:val="Body"/>
      </w:pPr>
      <w:r w:rsidRPr="00255EC0">
        <w:lastRenderedPageBreak/>
        <w:t>The victorious ICC Women’s T20 World Cup squad, which beat India in the final at the MCG in March 2020 included six Victorians, who made up 40 per cent of the overall squad. The success of Victorian cricketers can be attributed to the investment</w:t>
      </w:r>
      <w:r w:rsidR="00C81008">
        <w:t xml:space="preserve"> </w:t>
      </w:r>
      <w:r w:rsidRPr="00255EC0">
        <w:t>into the Victorian Cricket and Community Centre</w:t>
      </w:r>
      <w:r w:rsidR="00C81008">
        <w:t xml:space="preserve"> </w:t>
      </w:r>
      <w:r w:rsidRPr="00255EC0">
        <w:t>at Junction Oval, which was completed in 2018.</w:t>
      </w:r>
    </w:p>
    <w:p w14:paraId="4E9B6162" w14:textId="396AF302" w:rsidR="00255EC0" w:rsidRPr="00255EC0" w:rsidRDefault="00255EC0" w:rsidP="00C81008">
      <w:pPr>
        <w:pStyle w:val="Body"/>
      </w:pPr>
      <w:r w:rsidRPr="00255EC0">
        <w:t>The addition of Richmond Football Club into the 2020 Australian Football League – Women (</w:t>
      </w:r>
      <w:proofErr w:type="spellStart"/>
      <w:r w:rsidRPr="00255EC0">
        <w:t>AFLW</w:t>
      </w:r>
      <w:proofErr w:type="spellEnd"/>
      <w:r w:rsidRPr="00255EC0">
        <w:t>) competition has resulted in eight out of the</w:t>
      </w:r>
      <w:r w:rsidR="00C81008">
        <w:t xml:space="preserve"> </w:t>
      </w:r>
      <w:r w:rsidRPr="00255EC0">
        <w:t>10 Victorian AFL teams supporting a women’s team in the national competition, creating even more opportunities for Victorian athletes, especially those that are traditionally under-represented.</w:t>
      </w:r>
    </w:p>
    <w:p w14:paraId="39F3D281" w14:textId="33C02EA2" w:rsidR="00255EC0" w:rsidRPr="00255EC0" w:rsidRDefault="00255EC0" w:rsidP="00C81008">
      <w:pPr>
        <w:pStyle w:val="Body"/>
      </w:pPr>
      <w:r w:rsidRPr="00255EC0">
        <w:t>Victoria has developed world class sporting</w:t>
      </w:r>
      <w:r w:rsidR="00C81008">
        <w:t xml:space="preserve"> </w:t>
      </w:r>
      <w:r w:rsidRPr="00255EC0">
        <w:t>infrastructure, including 44 state facilities</w:t>
      </w:r>
      <w:r w:rsidR="00C81008">
        <w:t xml:space="preserve"> </w:t>
      </w:r>
      <w:r w:rsidRPr="00255EC0">
        <w:t>supporting 45 professional teams and high-performance programs. The government’s</w:t>
      </w:r>
      <w:r w:rsidR="00C81008">
        <w:t xml:space="preserve"> </w:t>
      </w:r>
      <w:r w:rsidRPr="00255EC0">
        <w:t>investment has contributed toward the provision</w:t>
      </w:r>
      <w:r w:rsidR="00C81008">
        <w:t xml:space="preserve"> </w:t>
      </w:r>
      <w:r w:rsidRPr="00255EC0">
        <w:t>of 10,000 community sport facilities across</w:t>
      </w:r>
      <w:r w:rsidR="00C81008">
        <w:t xml:space="preserve"> </w:t>
      </w:r>
      <w:r w:rsidRPr="00255EC0">
        <w:t>Victoria, leisure and recreation centres, as well</w:t>
      </w:r>
      <w:r w:rsidR="00C81008">
        <w:t xml:space="preserve"> </w:t>
      </w:r>
      <w:r w:rsidRPr="00255EC0">
        <w:t>as an extensive network of over 2000 trails</w:t>
      </w:r>
      <w:r w:rsidR="00C81008">
        <w:t xml:space="preserve"> </w:t>
      </w:r>
      <w:r w:rsidRPr="00255EC0">
        <w:t>and thousands of playgrounds, parks and</w:t>
      </w:r>
      <w:r w:rsidR="00C81008">
        <w:t xml:space="preserve"> </w:t>
      </w:r>
      <w:r w:rsidRPr="00255EC0">
        <w:t>sport reserves, which further support sport</w:t>
      </w:r>
      <w:r w:rsidR="00C81008">
        <w:t xml:space="preserve"> </w:t>
      </w:r>
      <w:r w:rsidRPr="00255EC0">
        <w:t>and recreation participation.</w:t>
      </w:r>
    </w:p>
    <w:p w14:paraId="59DF79E6" w14:textId="27A719D9" w:rsidR="00255EC0" w:rsidRPr="00255EC0" w:rsidRDefault="00255EC0" w:rsidP="00C81008">
      <w:pPr>
        <w:pStyle w:val="Body"/>
      </w:pPr>
      <w:r w:rsidRPr="00255EC0">
        <w:t>Investment in major sports facilities was bolstered through the $15.3 million investment in the Home of Golf at Sandringham, $13.25 million to upgrade Melbourne Arena, and the commencement</w:t>
      </w:r>
      <w:r w:rsidR="00C81008">
        <w:t xml:space="preserve"> </w:t>
      </w:r>
      <w:r w:rsidRPr="00255EC0">
        <w:t>of detailed planning for the State Basketball</w:t>
      </w:r>
      <w:r w:rsidR="00C81008">
        <w:t xml:space="preserve"> </w:t>
      </w:r>
      <w:r w:rsidRPr="00255EC0">
        <w:t>Centre and Kardinia Park Stadium upgrade stage five. The $64.6 million upgrade of the State Netball</w:t>
      </w:r>
      <w:r w:rsidR="00C81008">
        <w:t xml:space="preserve"> </w:t>
      </w:r>
      <w:r w:rsidRPr="00255EC0">
        <w:t>Hockey Centre and $271.55 million investment</w:t>
      </w:r>
      <w:r w:rsidR="00C81008">
        <w:t xml:space="preserve"> </w:t>
      </w:r>
      <w:r w:rsidRPr="00255EC0">
        <w:t>in Melbourne Park redevelopment are progressing.</w:t>
      </w:r>
      <w:r w:rsidR="00C81008">
        <w:t xml:space="preserve"> </w:t>
      </w:r>
    </w:p>
    <w:p w14:paraId="6D5460FE" w14:textId="58411893" w:rsidR="00255EC0" w:rsidRPr="00255EC0" w:rsidRDefault="00255EC0" w:rsidP="00C81008">
      <w:pPr>
        <w:pStyle w:val="Body"/>
      </w:pPr>
      <w:r w:rsidRPr="00255EC0">
        <w:t>These investments have maintained community engagement in sport across the state. Investment in world class infrastructure has also supported the continued success of our athletes and professional sporting teams and enabled a calendar of major sporting events that added over $1.8</w:t>
      </w:r>
      <w:r w:rsidR="00C81008">
        <w:t> </w:t>
      </w:r>
      <w:r w:rsidRPr="00255EC0">
        <w:t>billion per year to the state’s economy in 2018–19. As an example, the Australian Open Tennis in 2020 saw a record 812,174 spectators visit Melbourne Park, which alone contributed $388 million to the Victorian economy.</w:t>
      </w:r>
    </w:p>
    <w:p w14:paraId="5919D474" w14:textId="3733B678" w:rsidR="00255EC0" w:rsidRPr="00255EC0" w:rsidRDefault="00255EC0" w:rsidP="00C81008">
      <w:pPr>
        <w:pStyle w:val="Body"/>
        <w:rPr>
          <w:spacing w:val="2"/>
        </w:rPr>
      </w:pPr>
      <w:r w:rsidRPr="00255EC0">
        <w:t xml:space="preserve">The government’s strong commitment to increase women’s participation and leadership in sport and recreation has been integral to lifting overall participation rates. The government has committed over $37 million to the Female-Friendly Facilities Fund over the past five years to upgrade </w:t>
      </w:r>
      <w:proofErr w:type="gramStart"/>
      <w:r w:rsidRPr="00255EC0">
        <w:t>existing, and</w:t>
      </w:r>
      <w:proofErr w:type="gramEnd"/>
      <w:r w:rsidRPr="00255EC0">
        <w:t xml:space="preserve"> develop new infrastructure to support female participation in sport and active recreation. There has been a significant increase in female participation across a range of non-traditional female sports, such as Australian Rules football, </w:t>
      </w:r>
      <w:proofErr w:type="gramStart"/>
      <w:r w:rsidRPr="00255EC0">
        <w:t>cricket</w:t>
      </w:r>
      <w:proofErr w:type="gramEnd"/>
      <w:r w:rsidRPr="00255EC0">
        <w:t xml:space="preserve"> and soccer. In the past decade, the</w:t>
      </w:r>
      <w:r w:rsidR="00C81008">
        <w:t xml:space="preserve"> </w:t>
      </w:r>
      <w:r w:rsidRPr="00255EC0">
        <w:t>number of female Australian Rules football</w:t>
      </w:r>
      <w:r w:rsidR="00C81008">
        <w:t xml:space="preserve"> </w:t>
      </w:r>
      <w:r w:rsidRPr="00255EC0">
        <w:t>teams has increased 20-fold, from 58 teams</w:t>
      </w:r>
      <w:r w:rsidR="00C81008">
        <w:t xml:space="preserve"> </w:t>
      </w:r>
      <w:r w:rsidRPr="00255EC0">
        <w:t>in 2010 to over 1000 teams in 2019, with more</w:t>
      </w:r>
      <w:r w:rsidR="00C81008">
        <w:t xml:space="preserve"> </w:t>
      </w:r>
      <w:r w:rsidRPr="00255EC0">
        <w:t>than 28,500 participants.</w:t>
      </w:r>
    </w:p>
    <w:p w14:paraId="23E69B6D" w14:textId="6D322082" w:rsidR="00255EC0" w:rsidRPr="00255EC0" w:rsidRDefault="00255EC0" w:rsidP="00C81008">
      <w:pPr>
        <w:pStyle w:val="Heading4"/>
      </w:pPr>
      <w:r w:rsidRPr="00255EC0">
        <w:t>Indicator: Wagering turnover on Victorian racing as a proportion</w:t>
      </w:r>
      <w:r w:rsidR="00C81008">
        <w:t xml:space="preserve"> </w:t>
      </w:r>
      <w:r w:rsidRPr="00255EC0">
        <w:t>of the national market</w:t>
      </w:r>
    </w:p>
    <w:p w14:paraId="60E57C0A" w14:textId="77777777" w:rsidR="00255EC0" w:rsidRPr="00255EC0" w:rsidRDefault="00255EC0" w:rsidP="00C81008">
      <w:pPr>
        <w:pStyle w:val="Heading5"/>
      </w:pPr>
      <w:r w:rsidRPr="00255EC0">
        <w:t>Table 18: Wagering turnover on Victorian racing as a proportion of the national market</w:t>
      </w:r>
    </w:p>
    <w:tbl>
      <w:tblPr>
        <w:tblStyle w:val="TableGrid"/>
        <w:tblW w:w="0" w:type="auto"/>
        <w:tblLayout w:type="fixed"/>
        <w:tblLook w:val="0020" w:firstRow="1" w:lastRow="0" w:firstColumn="0" w:lastColumn="0" w:noHBand="0" w:noVBand="0"/>
      </w:tblPr>
      <w:tblGrid>
        <w:gridCol w:w="4195"/>
        <w:gridCol w:w="1361"/>
        <w:gridCol w:w="1361"/>
        <w:gridCol w:w="1360"/>
        <w:gridCol w:w="1361"/>
      </w:tblGrid>
      <w:tr w:rsidR="00255EC0" w:rsidRPr="00C81008" w14:paraId="268F5C3E" w14:textId="77777777" w:rsidTr="00E8460A">
        <w:trPr>
          <w:trHeight w:val="113"/>
        </w:trPr>
        <w:tc>
          <w:tcPr>
            <w:tcW w:w="4195" w:type="dxa"/>
          </w:tcPr>
          <w:p w14:paraId="5ED4647F" w14:textId="77777777" w:rsidR="00255EC0" w:rsidRPr="00C81008" w:rsidRDefault="00255EC0" w:rsidP="00C81008">
            <w:pPr>
              <w:pStyle w:val="TableColumnheading"/>
              <w:rPr>
                <w:sz w:val="20"/>
                <w:szCs w:val="18"/>
              </w:rPr>
            </w:pPr>
            <w:r w:rsidRPr="00C81008">
              <w:rPr>
                <w:sz w:val="20"/>
                <w:szCs w:val="18"/>
              </w:rPr>
              <w:t>Measure (unit of measure)</w:t>
            </w:r>
          </w:p>
        </w:tc>
        <w:tc>
          <w:tcPr>
            <w:tcW w:w="1361" w:type="dxa"/>
          </w:tcPr>
          <w:p w14:paraId="15204650" w14:textId="77777777" w:rsidR="00255EC0" w:rsidRPr="00C81008" w:rsidRDefault="00255EC0" w:rsidP="00C81008">
            <w:pPr>
              <w:pStyle w:val="TableColumnheading"/>
              <w:jc w:val="right"/>
              <w:rPr>
                <w:sz w:val="20"/>
                <w:szCs w:val="18"/>
              </w:rPr>
            </w:pPr>
            <w:r w:rsidRPr="00C81008">
              <w:rPr>
                <w:sz w:val="20"/>
                <w:szCs w:val="18"/>
              </w:rPr>
              <w:t>2016–17</w:t>
            </w:r>
          </w:p>
        </w:tc>
        <w:tc>
          <w:tcPr>
            <w:tcW w:w="1361" w:type="dxa"/>
          </w:tcPr>
          <w:p w14:paraId="12362D4D" w14:textId="77777777" w:rsidR="00255EC0" w:rsidRPr="00C81008" w:rsidRDefault="00255EC0" w:rsidP="00C81008">
            <w:pPr>
              <w:pStyle w:val="TableColumnheading"/>
              <w:jc w:val="right"/>
              <w:rPr>
                <w:sz w:val="20"/>
                <w:szCs w:val="18"/>
              </w:rPr>
            </w:pPr>
            <w:r w:rsidRPr="00C81008">
              <w:rPr>
                <w:sz w:val="20"/>
                <w:szCs w:val="18"/>
              </w:rPr>
              <w:t>2017–18</w:t>
            </w:r>
          </w:p>
        </w:tc>
        <w:tc>
          <w:tcPr>
            <w:tcW w:w="1360" w:type="dxa"/>
          </w:tcPr>
          <w:p w14:paraId="4374AC54" w14:textId="77777777" w:rsidR="00255EC0" w:rsidRPr="00C81008" w:rsidRDefault="00255EC0" w:rsidP="00C81008">
            <w:pPr>
              <w:pStyle w:val="TableColumnheading"/>
              <w:jc w:val="right"/>
              <w:rPr>
                <w:sz w:val="20"/>
                <w:szCs w:val="18"/>
              </w:rPr>
            </w:pPr>
            <w:r w:rsidRPr="00C81008">
              <w:rPr>
                <w:sz w:val="20"/>
                <w:szCs w:val="18"/>
              </w:rPr>
              <w:t>2018–19</w:t>
            </w:r>
          </w:p>
        </w:tc>
        <w:tc>
          <w:tcPr>
            <w:tcW w:w="1361" w:type="dxa"/>
          </w:tcPr>
          <w:p w14:paraId="6E03E5AF" w14:textId="77777777" w:rsidR="00255EC0" w:rsidRPr="00C81008" w:rsidRDefault="00255EC0" w:rsidP="00C81008">
            <w:pPr>
              <w:pStyle w:val="TableColumnheading"/>
              <w:jc w:val="right"/>
              <w:rPr>
                <w:sz w:val="20"/>
                <w:szCs w:val="18"/>
              </w:rPr>
            </w:pPr>
            <w:r w:rsidRPr="00C81008">
              <w:rPr>
                <w:sz w:val="20"/>
                <w:szCs w:val="18"/>
              </w:rPr>
              <w:t>2019–20</w:t>
            </w:r>
          </w:p>
        </w:tc>
      </w:tr>
      <w:tr w:rsidR="00255EC0" w:rsidRPr="00C81008" w14:paraId="74EC3482" w14:textId="77777777" w:rsidTr="00E8460A">
        <w:trPr>
          <w:trHeight w:val="113"/>
        </w:trPr>
        <w:tc>
          <w:tcPr>
            <w:tcW w:w="4195" w:type="dxa"/>
          </w:tcPr>
          <w:p w14:paraId="64D27F21" w14:textId="63A059E1" w:rsidR="00255EC0" w:rsidRPr="00C81008" w:rsidRDefault="00255EC0" w:rsidP="00C81008">
            <w:pPr>
              <w:pStyle w:val="Tabletextnospace"/>
              <w:rPr>
                <w:sz w:val="20"/>
              </w:rPr>
            </w:pPr>
            <w:r w:rsidRPr="00C81008">
              <w:rPr>
                <w:sz w:val="20"/>
              </w:rPr>
              <w:t>Wagering turnover on Victorian racing</w:t>
            </w:r>
            <w:r w:rsidR="00C81008">
              <w:rPr>
                <w:sz w:val="20"/>
              </w:rPr>
              <w:t xml:space="preserve"> </w:t>
            </w:r>
            <w:r w:rsidRPr="00C81008">
              <w:rPr>
                <w:sz w:val="20"/>
              </w:rPr>
              <w:t>as a proportion of the national market (per cent)</w:t>
            </w:r>
          </w:p>
        </w:tc>
        <w:tc>
          <w:tcPr>
            <w:tcW w:w="1361" w:type="dxa"/>
          </w:tcPr>
          <w:p w14:paraId="7A63EF33" w14:textId="77777777" w:rsidR="00255EC0" w:rsidRPr="00C81008" w:rsidRDefault="00255EC0" w:rsidP="00C81008">
            <w:pPr>
              <w:pStyle w:val="Tabletextnospace"/>
              <w:jc w:val="right"/>
              <w:rPr>
                <w:sz w:val="20"/>
              </w:rPr>
            </w:pPr>
            <w:r w:rsidRPr="00C81008">
              <w:rPr>
                <w:sz w:val="20"/>
              </w:rPr>
              <w:t>39.1</w:t>
            </w:r>
          </w:p>
        </w:tc>
        <w:tc>
          <w:tcPr>
            <w:tcW w:w="1361" w:type="dxa"/>
          </w:tcPr>
          <w:p w14:paraId="66DC6C0A" w14:textId="77777777" w:rsidR="00255EC0" w:rsidRPr="00C81008" w:rsidRDefault="00255EC0" w:rsidP="00C81008">
            <w:pPr>
              <w:pStyle w:val="Tabletextnospace"/>
              <w:jc w:val="right"/>
              <w:rPr>
                <w:sz w:val="20"/>
              </w:rPr>
            </w:pPr>
            <w:r w:rsidRPr="00C81008">
              <w:rPr>
                <w:sz w:val="20"/>
              </w:rPr>
              <w:t>38.2</w:t>
            </w:r>
          </w:p>
        </w:tc>
        <w:tc>
          <w:tcPr>
            <w:tcW w:w="1360" w:type="dxa"/>
          </w:tcPr>
          <w:p w14:paraId="3129A6DB" w14:textId="77777777" w:rsidR="00255EC0" w:rsidRPr="00C81008" w:rsidRDefault="00255EC0" w:rsidP="00C81008">
            <w:pPr>
              <w:pStyle w:val="Tabletextnospace"/>
              <w:jc w:val="right"/>
              <w:rPr>
                <w:sz w:val="20"/>
              </w:rPr>
            </w:pPr>
            <w:r w:rsidRPr="00C81008">
              <w:rPr>
                <w:sz w:val="20"/>
              </w:rPr>
              <w:t>38.5</w:t>
            </w:r>
          </w:p>
        </w:tc>
        <w:tc>
          <w:tcPr>
            <w:tcW w:w="1361" w:type="dxa"/>
          </w:tcPr>
          <w:p w14:paraId="25F2F6A1" w14:textId="77777777" w:rsidR="00255EC0" w:rsidRPr="00C81008" w:rsidRDefault="00255EC0" w:rsidP="00C81008">
            <w:pPr>
              <w:pStyle w:val="Tabletextnospace"/>
              <w:jc w:val="right"/>
              <w:rPr>
                <w:sz w:val="20"/>
              </w:rPr>
            </w:pPr>
            <w:r w:rsidRPr="00C81008">
              <w:rPr>
                <w:sz w:val="20"/>
              </w:rPr>
              <w:t>37.5</w:t>
            </w:r>
          </w:p>
        </w:tc>
      </w:tr>
    </w:tbl>
    <w:p w14:paraId="24A75E02" w14:textId="77777777" w:rsidR="00255EC0" w:rsidRPr="00255EC0" w:rsidRDefault="00255EC0" w:rsidP="00C81008">
      <w:pPr>
        <w:pStyle w:val="Body"/>
      </w:pPr>
    </w:p>
    <w:p w14:paraId="43CE3317" w14:textId="692E0AE8" w:rsidR="00255EC0" w:rsidRPr="00255EC0" w:rsidRDefault="00255EC0" w:rsidP="00C81008">
      <w:pPr>
        <w:pStyle w:val="Heading5"/>
      </w:pPr>
      <w:r w:rsidRPr="00255EC0">
        <w:lastRenderedPageBreak/>
        <w:t>Figure 20: Wagering turnover on Victorian</w:t>
      </w:r>
      <w:r w:rsidR="00C81008">
        <w:t xml:space="preserve"> </w:t>
      </w:r>
      <w:r w:rsidRPr="00255EC0">
        <w:t>racing as a proportion of the national market</w:t>
      </w:r>
    </w:p>
    <w:p w14:paraId="588AD451" w14:textId="4E250DE0" w:rsidR="00255EC0" w:rsidRPr="00255EC0" w:rsidRDefault="00C81008" w:rsidP="00C81008">
      <w:pPr>
        <w:pStyle w:val="Body"/>
      </w:pPr>
      <w:r>
        <w:rPr>
          <w:noProof/>
        </w:rPr>
        <w:drawing>
          <wp:inline distT="0" distB="0" distL="0" distR="0" wp14:anchorId="7E922E2D" wp14:editId="0F711D26">
            <wp:extent cx="1990725" cy="1323975"/>
            <wp:effectExtent l="0" t="0" r="9525" b="9525"/>
            <wp:docPr id="25" name="Graphic 25" descr="Figure 20: Wagering turnover on Victorian racing as a proportion of the national marke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Figure 20: Wagering turnover on Victorian racing as a proportion of the national market graph"/>
                    <pic:cNvPicPr/>
                  </pic:nvPicPr>
                  <pic:blipFill>
                    <a:blip r:embed="rId50">
                      <a:extLst>
                        <a:ext uri="{96DAC541-7B7A-43D3-8B79-37D633B846F1}">
                          <asvg:svgBlip xmlns:asvg="http://schemas.microsoft.com/office/drawing/2016/SVG/main" r:embed="rId51"/>
                        </a:ext>
                      </a:extLst>
                    </a:blip>
                    <a:stretch>
                      <a:fillRect/>
                    </a:stretch>
                  </pic:blipFill>
                  <pic:spPr>
                    <a:xfrm>
                      <a:off x="0" y="0"/>
                      <a:ext cx="1990725" cy="1323975"/>
                    </a:xfrm>
                    <a:prstGeom prst="rect">
                      <a:avLst/>
                    </a:prstGeom>
                  </pic:spPr>
                </pic:pic>
              </a:graphicData>
            </a:graphic>
          </wp:inline>
        </w:drawing>
      </w:r>
    </w:p>
    <w:p w14:paraId="610014E5" w14:textId="00F7AAC2" w:rsidR="00255EC0" w:rsidRPr="00255EC0" w:rsidRDefault="00255EC0" w:rsidP="00C81008">
      <w:pPr>
        <w:pStyle w:val="Body"/>
      </w:pPr>
      <w:r w:rsidRPr="00255EC0">
        <w:t>Government support for racing is based on</w:t>
      </w:r>
      <w:r w:rsidR="00C81008">
        <w:t xml:space="preserve"> </w:t>
      </w:r>
      <w:r w:rsidRPr="00255EC0">
        <w:t xml:space="preserve">its economic, </w:t>
      </w:r>
      <w:proofErr w:type="gramStart"/>
      <w:r w:rsidRPr="00255EC0">
        <w:t>social</w:t>
      </w:r>
      <w:proofErr w:type="gramEnd"/>
      <w:r w:rsidRPr="00255EC0">
        <w:t xml:space="preserve"> and cultural contribution</w:t>
      </w:r>
      <w:r w:rsidR="00C81008">
        <w:t xml:space="preserve"> </w:t>
      </w:r>
      <w:r w:rsidRPr="00255EC0">
        <w:t>to communities across Victoria. The objective indicator of Tabcorp customers nationwide</w:t>
      </w:r>
      <w:r w:rsidR="00C81008">
        <w:t xml:space="preserve"> </w:t>
      </w:r>
      <w:r w:rsidRPr="00255EC0">
        <w:t>who bet on Victorian racing as a proportion</w:t>
      </w:r>
      <w:r w:rsidR="00C81008">
        <w:t xml:space="preserve"> </w:t>
      </w:r>
      <w:r w:rsidRPr="00255EC0">
        <w:t>of the national market is used to determine</w:t>
      </w:r>
      <w:r w:rsidR="00C81008">
        <w:t xml:space="preserve"> </w:t>
      </w:r>
      <w:r w:rsidRPr="00255EC0">
        <w:t>the health of the Victorian racing industry.</w:t>
      </w:r>
      <w:r w:rsidR="00C81008">
        <w:t xml:space="preserve"> </w:t>
      </w:r>
      <w:r w:rsidRPr="00255EC0">
        <w:t>The measure includes all racing turnover</w:t>
      </w:r>
      <w:r w:rsidR="00C81008">
        <w:t xml:space="preserve"> </w:t>
      </w:r>
      <w:r w:rsidRPr="00255EC0">
        <w:t>held by Tabcorp on Victorian racing events.</w:t>
      </w:r>
    </w:p>
    <w:p w14:paraId="5B2E7D7E" w14:textId="5488A566" w:rsidR="00255EC0" w:rsidRPr="00255EC0" w:rsidRDefault="00255EC0" w:rsidP="00C81008">
      <w:pPr>
        <w:pStyle w:val="Body"/>
      </w:pPr>
      <w:r w:rsidRPr="00255EC0">
        <w:t>While Victoria has approximately 25 per cent</w:t>
      </w:r>
      <w:r w:rsidR="00C81008">
        <w:t xml:space="preserve"> </w:t>
      </w:r>
      <w:r w:rsidRPr="00255EC0">
        <w:t>of the national population and hosts around</w:t>
      </w:r>
      <w:r w:rsidR="00C81008">
        <w:t xml:space="preserve"> </w:t>
      </w:r>
      <w:r w:rsidRPr="00255EC0">
        <w:t>25 per cent of the national racing program,</w:t>
      </w:r>
      <w:r w:rsidR="00C81008">
        <w:t xml:space="preserve"> </w:t>
      </w:r>
      <w:r w:rsidRPr="00255EC0">
        <w:t>it attracts almost 40 per cent of the national wagering pool. In 2019–20, 37.9 per cent of the national wagering pool was held by Victoria,</w:t>
      </w:r>
      <w:r w:rsidR="00C81008">
        <w:t xml:space="preserve"> </w:t>
      </w:r>
      <w:r w:rsidRPr="00255EC0">
        <w:t>slightly down from 38.5</w:t>
      </w:r>
      <w:r w:rsidR="00C81008">
        <w:t> </w:t>
      </w:r>
      <w:r w:rsidRPr="00255EC0">
        <w:t>per cent in 2018–19</w:t>
      </w:r>
      <w:r w:rsidR="00C81008">
        <w:t xml:space="preserve"> </w:t>
      </w:r>
      <w:r w:rsidRPr="00255EC0">
        <w:t>and 38.2 per cent in 2017–18. This significant</w:t>
      </w:r>
      <w:r w:rsidR="00C81008">
        <w:t xml:space="preserve"> </w:t>
      </w:r>
      <w:r w:rsidRPr="00255EC0">
        <w:t>market share reflects confidence in the racing product and in the integrity of Victorian racing.</w:t>
      </w:r>
    </w:p>
    <w:p w14:paraId="21911E9F" w14:textId="77777777" w:rsidR="00255EC0" w:rsidRPr="00255EC0" w:rsidRDefault="00255EC0" w:rsidP="00C81008">
      <w:pPr>
        <w:pStyle w:val="Body"/>
      </w:pPr>
      <w:r w:rsidRPr="00255EC0">
        <w:t xml:space="preserve">The variance may partly reflect the diversification of the wagering market and the Victorian racing industry’s broadcast and wagering strategies which target growth across all sectors of the market, including non-TAB wagering providers. Wagering service providers other than Tabcorp have increased their market share in recent years as the popularity of fixed odds and online wagering has grown. The Victorian racing industry has sought to maximise revenue from all wagering sources which may have contributed to a decline in national share with Tabcorp. It may also be the result of increased interstate competition from both New South Wales and Queensland. New South Wales has made significant increases to prizemoney and programmed new feature races in direct competition with established Victorian events, while Queensland has included </w:t>
      </w:r>
      <w:proofErr w:type="gramStart"/>
      <w:r w:rsidRPr="00255EC0">
        <w:t>a large number of</w:t>
      </w:r>
      <w:proofErr w:type="gramEnd"/>
      <w:r w:rsidRPr="00255EC0">
        <w:t xml:space="preserve"> former non-TAB race meetings in its broadcast and wagering schedule.</w:t>
      </w:r>
    </w:p>
    <w:p w14:paraId="5750770D" w14:textId="0FD9632A" w:rsidR="00255EC0" w:rsidRPr="00255EC0" w:rsidRDefault="00255EC0" w:rsidP="00C81008">
      <w:pPr>
        <w:pStyle w:val="Body"/>
      </w:pPr>
      <w:r w:rsidRPr="00255EC0">
        <w:t>Strong wagering levels are reliant on maintaining premium racing and strong field sizes, particularly</w:t>
      </w:r>
      <w:r w:rsidR="00C81008">
        <w:t xml:space="preserve"> </w:t>
      </w:r>
      <w:r w:rsidRPr="00255EC0">
        <w:t>in the face of rapidly increasing competition from New South Wales. A key lever for attracting participants is the level of prizemoney on offer</w:t>
      </w:r>
      <w:r w:rsidR="00C81008">
        <w:t xml:space="preserve"> </w:t>
      </w:r>
      <w:r w:rsidRPr="00255EC0">
        <w:t>and in 2019–20 the Victorian Government</w:t>
      </w:r>
      <w:r w:rsidR="00C81008">
        <w:t xml:space="preserve"> </w:t>
      </w:r>
      <w:r w:rsidRPr="00255EC0">
        <w:t>delivered the second phase of its commitment</w:t>
      </w:r>
      <w:r w:rsidR="00C81008">
        <w:t xml:space="preserve"> </w:t>
      </w:r>
      <w:r w:rsidRPr="00255EC0">
        <w:t>to provide $40 million over two years to increase</w:t>
      </w:r>
      <w:r w:rsidR="00C81008">
        <w:t xml:space="preserve"> </w:t>
      </w:r>
      <w:r w:rsidRPr="00255EC0">
        <w:t xml:space="preserve">the prizemoney on offer across the three racing codes in Victoria. </w:t>
      </w:r>
    </w:p>
    <w:p w14:paraId="28181424" w14:textId="77777777" w:rsidR="007A6E29" w:rsidRDefault="007A6E29">
      <w:pPr>
        <w:rPr>
          <w:rFonts w:ascii="Arial" w:hAnsi="Arial" w:cs="Arial"/>
          <w:spacing w:val="-1"/>
          <w:sz w:val="28"/>
          <w:szCs w:val="28"/>
          <w:lang w:val="en-GB"/>
        </w:rPr>
      </w:pPr>
      <w:r>
        <w:br w:type="page"/>
      </w:r>
    </w:p>
    <w:p w14:paraId="642B8A71" w14:textId="18E519B6" w:rsidR="00255EC0" w:rsidRPr="00255EC0" w:rsidRDefault="00255EC0" w:rsidP="00C81008">
      <w:pPr>
        <w:pStyle w:val="Heading3"/>
      </w:pPr>
      <w:r w:rsidRPr="00255EC0">
        <w:lastRenderedPageBreak/>
        <w:t>Performance against output performance measures</w:t>
      </w:r>
    </w:p>
    <w:p w14:paraId="756B105A" w14:textId="77777777" w:rsidR="00255EC0" w:rsidRPr="00255EC0" w:rsidRDefault="00255EC0" w:rsidP="00C81008">
      <w:pPr>
        <w:pStyle w:val="Body"/>
      </w:pPr>
      <w:r w:rsidRPr="00255EC0">
        <w:t xml:space="preserve">Table 19 represents performance against the Creative Industries Access, </w:t>
      </w:r>
      <w:proofErr w:type="gramStart"/>
      <w:r w:rsidRPr="00255EC0">
        <w:t>Development</w:t>
      </w:r>
      <w:proofErr w:type="gramEnd"/>
      <w:r w:rsidRPr="00255EC0">
        <w:t xml:space="preserve"> and Innovation output. This output supports the creative industries to deliver economic, </w:t>
      </w:r>
      <w:proofErr w:type="gramStart"/>
      <w:r w:rsidRPr="00255EC0">
        <w:t>social</w:t>
      </w:r>
      <w:proofErr w:type="gramEnd"/>
      <w:r w:rsidRPr="00255EC0">
        <w:t xml:space="preserve"> and cultural benefit through talent and leadership; the creative and business ecology; innovation and social impact; participation and place making; and international engagement.</w:t>
      </w:r>
    </w:p>
    <w:p w14:paraId="275F3DD7" w14:textId="77777777" w:rsidR="00255EC0" w:rsidRPr="00255EC0" w:rsidRDefault="00255EC0" w:rsidP="00C81008">
      <w:pPr>
        <w:pStyle w:val="Heading5"/>
        <w:rPr>
          <w:rFonts w:ascii="VIC Medium" w:hAnsi="VIC Medium" w:cs="VIC Medium"/>
        </w:rPr>
      </w:pPr>
      <w:r w:rsidRPr="00255EC0">
        <w:t xml:space="preserve">Table 19: Output – Creative Industries Access, </w:t>
      </w:r>
      <w:proofErr w:type="gramStart"/>
      <w:r w:rsidRPr="00255EC0">
        <w:t>Development</w:t>
      </w:r>
      <w:proofErr w:type="gramEnd"/>
      <w:r w:rsidRPr="00255EC0">
        <w:t xml:space="preserve"> and Innovation</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F41508" w14:paraId="4D57310A" w14:textId="77777777" w:rsidTr="00E8460A">
        <w:trPr>
          <w:trHeight w:val="113"/>
          <w:tblHeader/>
        </w:trPr>
        <w:tc>
          <w:tcPr>
            <w:tcW w:w="4660" w:type="dxa"/>
          </w:tcPr>
          <w:p w14:paraId="0BD41F60" w14:textId="77777777" w:rsidR="00255EC0" w:rsidRPr="00F41508" w:rsidRDefault="00255EC0" w:rsidP="007A6E29">
            <w:pPr>
              <w:pStyle w:val="TableColumnheading"/>
              <w:spacing w:before="40" w:after="40" w:line="240" w:lineRule="auto"/>
              <w:rPr>
                <w:sz w:val="19"/>
                <w:szCs w:val="19"/>
              </w:rPr>
            </w:pPr>
            <w:r w:rsidRPr="00F41508">
              <w:rPr>
                <w:sz w:val="19"/>
                <w:szCs w:val="19"/>
              </w:rPr>
              <w:t xml:space="preserve">Performance measures </w:t>
            </w:r>
          </w:p>
        </w:tc>
        <w:tc>
          <w:tcPr>
            <w:tcW w:w="964" w:type="dxa"/>
          </w:tcPr>
          <w:p w14:paraId="63C4572D" w14:textId="77777777" w:rsidR="00255EC0" w:rsidRPr="00F41508" w:rsidRDefault="00255EC0" w:rsidP="007A6E29">
            <w:pPr>
              <w:pStyle w:val="TableColumnheading"/>
              <w:spacing w:before="40" w:after="40" w:line="240" w:lineRule="auto"/>
              <w:jc w:val="right"/>
              <w:rPr>
                <w:sz w:val="19"/>
                <w:szCs w:val="19"/>
              </w:rPr>
            </w:pPr>
            <w:r w:rsidRPr="00F41508">
              <w:rPr>
                <w:sz w:val="19"/>
                <w:szCs w:val="19"/>
              </w:rPr>
              <w:t>Unit of measure</w:t>
            </w:r>
          </w:p>
        </w:tc>
        <w:tc>
          <w:tcPr>
            <w:tcW w:w="964" w:type="dxa"/>
          </w:tcPr>
          <w:p w14:paraId="7E51471D" w14:textId="77777777" w:rsidR="00255EC0" w:rsidRPr="00F41508" w:rsidRDefault="00255EC0" w:rsidP="007A6E29">
            <w:pPr>
              <w:pStyle w:val="TableColumnheading"/>
              <w:spacing w:before="40" w:after="40" w:line="240" w:lineRule="auto"/>
              <w:jc w:val="right"/>
              <w:rPr>
                <w:sz w:val="19"/>
                <w:szCs w:val="19"/>
              </w:rPr>
            </w:pPr>
            <w:r w:rsidRPr="00F41508">
              <w:rPr>
                <w:sz w:val="19"/>
                <w:szCs w:val="19"/>
              </w:rPr>
              <w:t>2019–20 actual</w:t>
            </w:r>
          </w:p>
        </w:tc>
        <w:tc>
          <w:tcPr>
            <w:tcW w:w="963" w:type="dxa"/>
          </w:tcPr>
          <w:p w14:paraId="0F2227B6" w14:textId="77777777" w:rsidR="00255EC0" w:rsidRPr="00F41508" w:rsidRDefault="00255EC0" w:rsidP="007A6E29">
            <w:pPr>
              <w:pStyle w:val="TableColumnheading"/>
              <w:spacing w:before="40" w:after="40" w:line="240" w:lineRule="auto"/>
              <w:jc w:val="right"/>
              <w:rPr>
                <w:sz w:val="19"/>
                <w:szCs w:val="19"/>
              </w:rPr>
            </w:pPr>
            <w:r w:rsidRPr="00F41508">
              <w:rPr>
                <w:sz w:val="19"/>
                <w:szCs w:val="19"/>
              </w:rPr>
              <w:t>2019–20 target</w:t>
            </w:r>
          </w:p>
        </w:tc>
        <w:tc>
          <w:tcPr>
            <w:tcW w:w="1375" w:type="dxa"/>
          </w:tcPr>
          <w:p w14:paraId="2C5A347B" w14:textId="77777777" w:rsidR="00255EC0" w:rsidRPr="00F41508" w:rsidRDefault="00255EC0" w:rsidP="007A6E29">
            <w:pPr>
              <w:pStyle w:val="TableColumnheading"/>
              <w:spacing w:before="40" w:after="40" w:line="240" w:lineRule="auto"/>
              <w:jc w:val="right"/>
              <w:rPr>
                <w:sz w:val="19"/>
                <w:szCs w:val="19"/>
              </w:rPr>
            </w:pPr>
            <w:r w:rsidRPr="00F41508">
              <w:rPr>
                <w:sz w:val="19"/>
                <w:szCs w:val="19"/>
              </w:rPr>
              <w:t xml:space="preserve">Performance variation (%) </w:t>
            </w:r>
          </w:p>
        </w:tc>
        <w:tc>
          <w:tcPr>
            <w:tcW w:w="850" w:type="dxa"/>
          </w:tcPr>
          <w:p w14:paraId="1B9C117A" w14:textId="77777777" w:rsidR="00255EC0" w:rsidRPr="00F41508" w:rsidRDefault="00255EC0" w:rsidP="007A6E29">
            <w:pPr>
              <w:pStyle w:val="TableColumnheading"/>
              <w:spacing w:before="40" w:after="40" w:line="240" w:lineRule="auto"/>
              <w:jc w:val="right"/>
              <w:rPr>
                <w:sz w:val="19"/>
                <w:szCs w:val="19"/>
              </w:rPr>
            </w:pPr>
            <w:r w:rsidRPr="00F41508">
              <w:rPr>
                <w:sz w:val="19"/>
                <w:szCs w:val="19"/>
              </w:rPr>
              <w:t xml:space="preserve">Result </w:t>
            </w:r>
          </w:p>
        </w:tc>
      </w:tr>
      <w:tr w:rsidR="00255EC0" w:rsidRPr="00F41508" w14:paraId="36D7B105" w14:textId="77777777" w:rsidTr="00E8460A">
        <w:trPr>
          <w:trHeight w:val="113"/>
        </w:trPr>
        <w:tc>
          <w:tcPr>
            <w:tcW w:w="9776" w:type="dxa"/>
            <w:gridSpan w:val="6"/>
          </w:tcPr>
          <w:p w14:paraId="25011D8F" w14:textId="77777777" w:rsidR="00255EC0" w:rsidRPr="00F41508" w:rsidRDefault="00255EC0" w:rsidP="007A6E29">
            <w:pPr>
              <w:pStyle w:val="Tabletextnospace"/>
              <w:spacing w:line="240" w:lineRule="auto"/>
              <w:rPr>
                <w:b/>
                <w:bCs/>
                <w:sz w:val="19"/>
                <w:szCs w:val="19"/>
              </w:rPr>
            </w:pPr>
            <w:r w:rsidRPr="00F41508">
              <w:rPr>
                <w:b/>
                <w:bCs/>
                <w:sz w:val="19"/>
                <w:szCs w:val="19"/>
              </w:rPr>
              <w:t>Quantity</w:t>
            </w:r>
          </w:p>
        </w:tc>
      </w:tr>
      <w:tr w:rsidR="00255EC0" w:rsidRPr="00F41508" w14:paraId="601C3C94" w14:textId="77777777" w:rsidTr="00E8460A">
        <w:trPr>
          <w:trHeight w:val="113"/>
        </w:trPr>
        <w:tc>
          <w:tcPr>
            <w:tcW w:w="4660" w:type="dxa"/>
          </w:tcPr>
          <w:p w14:paraId="0BAEDDE4" w14:textId="77777777" w:rsidR="00255EC0" w:rsidRPr="00F41508" w:rsidRDefault="00255EC0" w:rsidP="007A6E29">
            <w:pPr>
              <w:pStyle w:val="Tabletextnospace"/>
              <w:spacing w:line="240" w:lineRule="auto"/>
              <w:rPr>
                <w:sz w:val="19"/>
                <w:szCs w:val="19"/>
              </w:rPr>
            </w:pPr>
            <w:r w:rsidRPr="00F41508">
              <w:rPr>
                <w:sz w:val="19"/>
                <w:szCs w:val="19"/>
              </w:rPr>
              <w:t>Attendances at major performing arts organisations</w:t>
            </w:r>
          </w:p>
        </w:tc>
        <w:tc>
          <w:tcPr>
            <w:tcW w:w="964" w:type="dxa"/>
          </w:tcPr>
          <w:p w14:paraId="4E833BD5" w14:textId="77777777" w:rsidR="00255EC0" w:rsidRPr="00F41508" w:rsidRDefault="00255EC0" w:rsidP="007A6E29">
            <w:pPr>
              <w:pStyle w:val="Tabletextnospace"/>
              <w:spacing w:line="240" w:lineRule="auto"/>
              <w:jc w:val="right"/>
              <w:rPr>
                <w:sz w:val="19"/>
                <w:szCs w:val="19"/>
              </w:rPr>
            </w:pPr>
            <w:r w:rsidRPr="00F41508">
              <w:rPr>
                <w:sz w:val="19"/>
                <w:szCs w:val="19"/>
              </w:rPr>
              <w:t>number (000)</w:t>
            </w:r>
          </w:p>
        </w:tc>
        <w:tc>
          <w:tcPr>
            <w:tcW w:w="964" w:type="dxa"/>
          </w:tcPr>
          <w:p w14:paraId="1B9B4993" w14:textId="77777777" w:rsidR="00255EC0" w:rsidRPr="00F41508" w:rsidRDefault="00255EC0" w:rsidP="007A6E29">
            <w:pPr>
              <w:pStyle w:val="Tabletextnospace"/>
              <w:spacing w:line="240" w:lineRule="auto"/>
              <w:jc w:val="right"/>
              <w:rPr>
                <w:sz w:val="19"/>
                <w:szCs w:val="19"/>
              </w:rPr>
            </w:pPr>
            <w:r w:rsidRPr="00F41508">
              <w:rPr>
                <w:sz w:val="19"/>
                <w:szCs w:val="19"/>
              </w:rPr>
              <w:t>1169</w:t>
            </w:r>
          </w:p>
        </w:tc>
        <w:tc>
          <w:tcPr>
            <w:tcW w:w="963" w:type="dxa"/>
          </w:tcPr>
          <w:p w14:paraId="2F625529" w14:textId="77777777" w:rsidR="00255EC0" w:rsidRPr="00F41508" w:rsidRDefault="00255EC0" w:rsidP="007A6E29">
            <w:pPr>
              <w:pStyle w:val="Tabletextnospace"/>
              <w:spacing w:line="240" w:lineRule="auto"/>
              <w:jc w:val="right"/>
              <w:rPr>
                <w:sz w:val="19"/>
                <w:szCs w:val="19"/>
              </w:rPr>
            </w:pPr>
            <w:r w:rsidRPr="00F41508">
              <w:rPr>
                <w:sz w:val="19"/>
                <w:szCs w:val="19"/>
              </w:rPr>
              <w:t>1000</w:t>
            </w:r>
          </w:p>
        </w:tc>
        <w:tc>
          <w:tcPr>
            <w:tcW w:w="1375" w:type="dxa"/>
          </w:tcPr>
          <w:p w14:paraId="6A69C7AE" w14:textId="77777777" w:rsidR="00255EC0" w:rsidRPr="00F41508" w:rsidRDefault="00255EC0" w:rsidP="007A6E29">
            <w:pPr>
              <w:pStyle w:val="Tabletextnospace"/>
              <w:spacing w:line="240" w:lineRule="auto"/>
              <w:jc w:val="right"/>
              <w:rPr>
                <w:sz w:val="19"/>
                <w:szCs w:val="19"/>
              </w:rPr>
            </w:pPr>
            <w:r w:rsidRPr="00F41508">
              <w:rPr>
                <w:sz w:val="19"/>
                <w:szCs w:val="19"/>
              </w:rPr>
              <w:t>16.9%</w:t>
            </w:r>
          </w:p>
        </w:tc>
        <w:tc>
          <w:tcPr>
            <w:tcW w:w="850" w:type="dxa"/>
          </w:tcPr>
          <w:p w14:paraId="771E4A7B"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3F9A8DBC" w14:textId="77777777" w:rsidTr="00E8460A">
        <w:trPr>
          <w:trHeight w:val="113"/>
        </w:trPr>
        <w:tc>
          <w:tcPr>
            <w:tcW w:w="9776" w:type="dxa"/>
            <w:gridSpan w:val="6"/>
          </w:tcPr>
          <w:p w14:paraId="364CE92F" w14:textId="77777777" w:rsidR="00255EC0" w:rsidRPr="00F41508" w:rsidRDefault="00255EC0" w:rsidP="007A6E29">
            <w:pPr>
              <w:pStyle w:val="Tabletextnospace"/>
              <w:spacing w:line="240" w:lineRule="auto"/>
              <w:rPr>
                <w:i/>
                <w:iCs/>
                <w:sz w:val="19"/>
                <w:szCs w:val="19"/>
              </w:rPr>
            </w:pPr>
            <w:r w:rsidRPr="00F41508">
              <w:rPr>
                <w:i/>
                <w:iCs/>
                <w:sz w:val="19"/>
                <w:szCs w:val="19"/>
              </w:rPr>
              <w:t>Higher result due to an unexpected higher attendance at performances.</w:t>
            </w:r>
          </w:p>
        </w:tc>
      </w:tr>
      <w:tr w:rsidR="00255EC0" w:rsidRPr="00F41508" w14:paraId="254C26AE" w14:textId="77777777" w:rsidTr="00E8460A">
        <w:trPr>
          <w:trHeight w:val="113"/>
        </w:trPr>
        <w:tc>
          <w:tcPr>
            <w:tcW w:w="4660" w:type="dxa"/>
          </w:tcPr>
          <w:p w14:paraId="273C4116" w14:textId="77777777" w:rsidR="00255EC0" w:rsidRPr="00F41508" w:rsidRDefault="00255EC0" w:rsidP="007A6E29">
            <w:pPr>
              <w:pStyle w:val="Tabletextnospace"/>
              <w:spacing w:line="240" w:lineRule="auto"/>
              <w:rPr>
                <w:sz w:val="19"/>
                <w:szCs w:val="19"/>
              </w:rPr>
            </w:pPr>
            <w:r w:rsidRPr="00F41508">
              <w:rPr>
                <w:sz w:val="19"/>
                <w:szCs w:val="19"/>
              </w:rPr>
              <w:t>Creative Learning Partnerships</w:t>
            </w:r>
          </w:p>
        </w:tc>
        <w:tc>
          <w:tcPr>
            <w:tcW w:w="964" w:type="dxa"/>
          </w:tcPr>
          <w:p w14:paraId="4D99B006"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1C02B784" w14:textId="77777777" w:rsidR="00255EC0" w:rsidRPr="00F41508" w:rsidRDefault="00255EC0" w:rsidP="007A6E29">
            <w:pPr>
              <w:pStyle w:val="Tabletextnospace"/>
              <w:spacing w:line="240" w:lineRule="auto"/>
              <w:jc w:val="right"/>
              <w:rPr>
                <w:sz w:val="19"/>
                <w:szCs w:val="19"/>
              </w:rPr>
            </w:pPr>
            <w:r w:rsidRPr="00F41508">
              <w:rPr>
                <w:sz w:val="19"/>
                <w:szCs w:val="19"/>
              </w:rPr>
              <w:t>14</w:t>
            </w:r>
          </w:p>
        </w:tc>
        <w:tc>
          <w:tcPr>
            <w:tcW w:w="963" w:type="dxa"/>
          </w:tcPr>
          <w:p w14:paraId="2F46F48F" w14:textId="77777777" w:rsidR="00255EC0" w:rsidRPr="00F41508" w:rsidRDefault="00255EC0" w:rsidP="007A6E29">
            <w:pPr>
              <w:pStyle w:val="Tabletextnospace"/>
              <w:spacing w:line="240" w:lineRule="auto"/>
              <w:jc w:val="right"/>
              <w:rPr>
                <w:sz w:val="19"/>
                <w:szCs w:val="19"/>
              </w:rPr>
            </w:pPr>
            <w:r w:rsidRPr="00F41508">
              <w:rPr>
                <w:sz w:val="19"/>
                <w:szCs w:val="19"/>
              </w:rPr>
              <w:t>14</w:t>
            </w:r>
          </w:p>
        </w:tc>
        <w:tc>
          <w:tcPr>
            <w:tcW w:w="1375" w:type="dxa"/>
          </w:tcPr>
          <w:p w14:paraId="5020CEDE" w14:textId="77777777" w:rsidR="00255EC0" w:rsidRPr="00F41508" w:rsidRDefault="00255EC0" w:rsidP="007A6E29">
            <w:pPr>
              <w:pStyle w:val="Tabletextnospace"/>
              <w:spacing w:line="240" w:lineRule="auto"/>
              <w:jc w:val="right"/>
              <w:rPr>
                <w:sz w:val="19"/>
                <w:szCs w:val="19"/>
              </w:rPr>
            </w:pPr>
            <w:r w:rsidRPr="00F41508">
              <w:rPr>
                <w:sz w:val="19"/>
                <w:szCs w:val="19"/>
              </w:rPr>
              <w:t>0.0%</w:t>
            </w:r>
          </w:p>
        </w:tc>
        <w:tc>
          <w:tcPr>
            <w:tcW w:w="850" w:type="dxa"/>
          </w:tcPr>
          <w:p w14:paraId="15ACE7FA"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4295EE2B" w14:textId="77777777" w:rsidTr="00E8460A">
        <w:trPr>
          <w:trHeight w:val="113"/>
        </w:trPr>
        <w:tc>
          <w:tcPr>
            <w:tcW w:w="4660" w:type="dxa"/>
          </w:tcPr>
          <w:p w14:paraId="7574B846" w14:textId="77777777" w:rsidR="00255EC0" w:rsidRPr="00F41508" w:rsidRDefault="00255EC0" w:rsidP="007A6E29">
            <w:pPr>
              <w:pStyle w:val="Tabletextnospace"/>
              <w:spacing w:line="240" w:lineRule="auto"/>
              <w:rPr>
                <w:sz w:val="19"/>
                <w:szCs w:val="19"/>
              </w:rPr>
            </w:pPr>
            <w:r w:rsidRPr="00F41508">
              <w:rPr>
                <w:sz w:val="19"/>
                <w:szCs w:val="19"/>
              </w:rPr>
              <w:t>Design organisations supported</w:t>
            </w:r>
          </w:p>
        </w:tc>
        <w:tc>
          <w:tcPr>
            <w:tcW w:w="964" w:type="dxa"/>
          </w:tcPr>
          <w:p w14:paraId="19CE582F"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1C19B534" w14:textId="77777777" w:rsidR="00255EC0" w:rsidRPr="00F41508" w:rsidRDefault="00255EC0" w:rsidP="007A6E29">
            <w:pPr>
              <w:pStyle w:val="Tabletextnospace"/>
              <w:spacing w:line="240" w:lineRule="auto"/>
              <w:jc w:val="right"/>
              <w:rPr>
                <w:sz w:val="19"/>
                <w:szCs w:val="19"/>
              </w:rPr>
            </w:pPr>
            <w:r w:rsidRPr="00F41508">
              <w:rPr>
                <w:sz w:val="19"/>
                <w:szCs w:val="19"/>
              </w:rPr>
              <w:t>18</w:t>
            </w:r>
          </w:p>
        </w:tc>
        <w:tc>
          <w:tcPr>
            <w:tcW w:w="963" w:type="dxa"/>
          </w:tcPr>
          <w:p w14:paraId="21495339" w14:textId="77777777" w:rsidR="00255EC0" w:rsidRPr="00F41508" w:rsidRDefault="00255EC0" w:rsidP="007A6E29">
            <w:pPr>
              <w:pStyle w:val="Tabletextnospace"/>
              <w:spacing w:line="240" w:lineRule="auto"/>
              <w:jc w:val="right"/>
              <w:rPr>
                <w:sz w:val="19"/>
                <w:szCs w:val="19"/>
              </w:rPr>
            </w:pPr>
            <w:r w:rsidRPr="00F41508">
              <w:rPr>
                <w:sz w:val="19"/>
                <w:szCs w:val="19"/>
              </w:rPr>
              <w:t>22</w:t>
            </w:r>
          </w:p>
        </w:tc>
        <w:tc>
          <w:tcPr>
            <w:tcW w:w="1375" w:type="dxa"/>
          </w:tcPr>
          <w:p w14:paraId="150A888D" w14:textId="77777777" w:rsidR="00255EC0" w:rsidRPr="00F41508" w:rsidRDefault="00255EC0" w:rsidP="007A6E29">
            <w:pPr>
              <w:pStyle w:val="Tabletextnospace"/>
              <w:spacing w:line="240" w:lineRule="auto"/>
              <w:jc w:val="right"/>
              <w:rPr>
                <w:sz w:val="19"/>
                <w:szCs w:val="19"/>
              </w:rPr>
            </w:pPr>
            <w:r w:rsidRPr="00F41508">
              <w:rPr>
                <w:sz w:val="19"/>
                <w:szCs w:val="19"/>
              </w:rPr>
              <w:t>-18.2%</w:t>
            </w:r>
          </w:p>
        </w:tc>
        <w:tc>
          <w:tcPr>
            <w:tcW w:w="850" w:type="dxa"/>
          </w:tcPr>
          <w:p w14:paraId="502550B4"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5A73E93C" w14:textId="77777777" w:rsidTr="00E8460A">
        <w:trPr>
          <w:trHeight w:val="113"/>
        </w:trPr>
        <w:tc>
          <w:tcPr>
            <w:tcW w:w="9776" w:type="dxa"/>
            <w:gridSpan w:val="6"/>
          </w:tcPr>
          <w:p w14:paraId="0CDECD3A" w14:textId="77777777" w:rsidR="00255EC0" w:rsidRPr="00F41508" w:rsidRDefault="00255EC0" w:rsidP="007A6E29">
            <w:pPr>
              <w:pStyle w:val="Tabletextnospace"/>
              <w:spacing w:line="240" w:lineRule="auto"/>
              <w:rPr>
                <w:i/>
                <w:iCs/>
                <w:sz w:val="19"/>
                <w:szCs w:val="19"/>
              </w:rPr>
            </w:pPr>
            <w:r w:rsidRPr="00F41508">
              <w:rPr>
                <w:i/>
                <w:iCs/>
                <w:sz w:val="19"/>
                <w:szCs w:val="19"/>
              </w:rPr>
              <w:t xml:space="preserve">Lower result due to the economic impacts and physical distancing measures in place for coronavirus (COVID-19). The Melbourne Design Week event scheduled for March 2020 was cancelled and the Design to Thrive program had lower participation by small and medium enterprises and not for profit companies. </w:t>
            </w:r>
          </w:p>
        </w:tc>
      </w:tr>
      <w:tr w:rsidR="00255EC0" w:rsidRPr="00F41508" w14:paraId="765CEDF7" w14:textId="77777777" w:rsidTr="00E8460A">
        <w:trPr>
          <w:trHeight w:val="113"/>
        </w:trPr>
        <w:tc>
          <w:tcPr>
            <w:tcW w:w="4660" w:type="dxa"/>
          </w:tcPr>
          <w:p w14:paraId="2BC7815C" w14:textId="6AFF8084" w:rsidR="00255EC0" w:rsidRPr="00F41508" w:rsidRDefault="00255EC0" w:rsidP="007A6E29">
            <w:pPr>
              <w:pStyle w:val="Tabletextnospace"/>
              <w:tabs>
                <w:tab w:val="left" w:pos="3530"/>
              </w:tabs>
              <w:spacing w:line="240" w:lineRule="auto"/>
              <w:rPr>
                <w:sz w:val="19"/>
                <w:szCs w:val="19"/>
              </w:rPr>
            </w:pPr>
            <w:r w:rsidRPr="00F41508">
              <w:rPr>
                <w:sz w:val="19"/>
                <w:szCs w:val="19"/>
              </w:rPr>
              <w:t>International market development</w:t>
            </w:r>
            <w:r w:rsidR="007A6E29" w:rsidRPr="00F41508">
              <w:rPr>
                <w:sz w:val="19"/>
                <w:szCs w:val="19"/>
              </w:rPr>
              <w:t xml:space="preserve"> </w:t>
            </w:r>
            <w:r w:rsidRPr="00F41508">
              <w:rPr>
                <w:sz w:val="19"/>
                <w:szCs w:val="19"/>
              </w:rPr>
              <w:t>and exchange initiatives</w:t>
            </w:r>
          </w:p>
        </w:tc>
        <w:tc>
          <w:tcPr>
            <w:tcW w:w="964" w:type="dxa"/>
          </w:tcPr>
          <w:p w14:paraId="1FBA62BE"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4C6ACEF7" w14:textId="77777777" w:rsidR="00255EC0" w:rsidRPr="00F41508" w:rsidRDefault="00255EC0" w:rsidP="007A6E29">
            <w:pPr>
              <w:pStyle w:val="Tabletextnospace"/>
              <w:spacing w:line="240" w:lineRule="auto"/>
              <w:jc w:val="right"/>
              <w:rPr>
                <w:sz w:val="19"/>
                <w:szCs w:val="19"/>
              </w:rPr>
            </w:pPr>
            <w:r w:rsidRPr="00F41508">
              <w:rPr>
                <w:sz w:val="19"/>
                <w:szCs w:val="19"/>
              </w:rPr>
              <w:t>10</w:t>
            </w:r>
          </w:p>
        </w:tc>
        <w:tc>
          <w:tcPr>
            <w:tcW w:w="963" w:type="dxa"/>
          </w:tcPr>
          <w:p w14:paraId="3892BF8F" w14:textId="77777777" w:rsidR="00255EC0" w:rsidRPr="00F41508" w:rsidRDefault="00255EC0" w:rsidP="007A6E29">
            <w:pPr>
              <w:pStyle w:val="Tabletextnospace"/>
              <w:spacing w:line="240" w:lineRule="auto"/>
              <w:jc w:val="right"/>
              <w:rPr>
                <w:sz w:val="19"/>
                <w:szCs w:val="19"/>
              </w:rPr>
            </w:pPr>
            <w:r w:rsidRPr="00F41508">
              <w:rPr>
                <w:sz w:val="19"/>
                <w:szCs w:val="19"/>
              </w:rPr>
              <w:t>12</w:t>
            </w:r>
          </w:p>
        </w:tc>
        <w:tc>
          <w:tcPr>
            <w:tcW w:w="1375" w:type="dxa"/>
          </w:tcPr>
          <w:p w14:paraId="70CBA504" w14:textId="77777777" w:rsidR="00255EC0" w:rsidRPr="00F41508" w:rsidRDefault="00255EC0" w:rsidP="007A6E29">
            <w:pPr>
              <w:pStyle w:val="Tabletextnospace"/>
              <w:spacing w:line="240" w:lineRule="auto"/>
              <w:jc w:val="right"/>
              <w:rPr>
                <w:sz w:val="19"/>
                <w:szCs w:val="19"/>
              </w:rPr>
            </w:pPr>
            <w:r w:rsidRPr="00F41508">
              <w:rPr>
                <w:sz w:val="19"/>
                <w:szCs w:val="19"/>
              </w:rPr>
              <w:t>-16.7%</w:t>
            </w:r>
          </w:p>
        </w:tc>
        <w:tc>
          <w:tcPr>
            <w:tcW w:w="850" w:type="dxa"/>
          </w:tcPr>
          <w:p w14:paraId="4F868303"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4677A617" w14:textId="77777777" w:rsidTr="00E8460A">
        <w:trPr>
          <w:trHeight w:val="113"/>
        </w:trPr>
        <w:tc>
          <w:tcPr>
            <w:tcW w:w="9776" w:type="dxa"/>
            <w:gridSpan w:val="6"/>
          </w:tcPr>
          <w:p w14:paraId="662221CD" w14:textId="77777777" w:rsidR="00255EC0" w:rsidRPr="00F41508" w:rsidRDefault="00255EC0" w:rsidP="007A6E29">
            <w:pPr>
              <w:pStyle w:val="Tabletextnospace"/>
              <w:spacing w:line="240" w:lineRule="auto"/>
              <w:rPr>
                <w:i/>
                <w:iCs/>
                <w:sz w:val="19"/>
                <w:szCs w:val="19"/>
              </w:rPr>
            </w:pPr>
            <w:r w:rsidRPr="00F41508">
              <w:rPr>
                <w:i/>
                <w:iCs/>
                <w:sz w:val="19"/>
                <w:szCs w:val="19"/>
              </w:rPr>
              <w:t xml:space="preserve">Lower result due to the economic impacts and physical distancing measures </w:t>
            </w:r>
            <w:proofErr w:type="gramStart"/>
            <w:r w:rsidRPr="00F41508">
              <w:rPr>
                <w:i/>
                <w:iCs/>
                <w:sz w:val="19"/>
                <w:szCs w:val="19"/>
              </w:rPr>
              <w:t>as a result of</w:t>
            </w:r>
            <w:proofErr w:type="gramEnd"/>
            <w:r w:rsidRPr="00F41508">
              <w:rPr>
                <w:i/>
                <w:iCs/>
                <w:sz w:val="19"/>
                <w:szCs w:val="19"/>
              </w:rPr>
              <w:t xml:space="preserve"> coronavirus (COVID-19). The Game Developers Conference was cancelled in March and one International Engagement Funding was postponed. </w:t>
            </w:r>
          </w:p>
        </w:tc>
      </w:tr>
      <w:tr w:rsidR="00255EC0" w:rsidRPr="00F41508" w14:paraId="2836CEF6" w14:textId="77777777" w:rsidTr="00E8460A">
        <w:trPr>
          <w:trHeight w:val="113"/>
        </w:trPr>
        <w:tc>
          <w:tcPr>
            <w:tcW w:w="4660" w:type="dxa"/>
          </w:tcPr>
          <w:p w14:paraId="772B9A6B" w14:textId="77777777" w:rsidR="00255EC0" w:rsidRPr="00F41508" w:rsidRDefault="00255EC0" w:rsidP="007A6E29">
            <w:pPr>
              <w:pStyle w:val="Tabletextnospace"/>
              <w:spacing w:line="240" w:lineRule="auto"/>
              <w:rPr>
                <w:sz w:val="19"/>
                <w:szCs w:val="19"/>
              </w:rPr>
            </w:pPr>
            <w:r w:rsidRPr="00F41508">
              <w:rPr>
                <w:sz w:val="19"/>
                <w:szCs w:val="19"/>
              </w:rPr>
              <w:t>Organisations recurrently funded</w:t>
            </w:r>
          </w:p>
        </w:tc>
        <w:tc>
          <w:tcPr>
            <w:tcW w:w="964" w:type="dxa"/>
          </w:tcPr>
          <w:p w14:paraId="5ECFE172"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6808C5E0" w14:textId="77777777" w:rsidR="00255EC0" w:rsidRPr="00F41508" w:rsidRDefault="00255EC0" w:rsidP="007A6E29">
            <w:pPr>
              <w:pStyle w:val="Tabletextnospace"/>
              <w:spacing w:line="240" w:lineRule="auto"/>
              <w:jc w:val="right"/>
              <w:rPr>
                <w:sz w:val="19"/>
                <w:szCs w:val="19"/>
              </w:rPr>
            </w:pPr>
            <w:r w:rsidRPr="00F41508">
              <w:rPr>
                <w:sz w:val="19"/>
                <w:szCs w:val="19"/>
              </w:rPr>
              <w:t>140</w:t>
            </w:r>
          </w:p>
        </w:tc>
        <w:tc>
          <w:tcPr>
            <w:tcW w:w="963" w:type="dxa"/>
          </w:tcPr>
          <w:p w14:paraId="339C1F0F" w14:textId="77777777" w:rsidR="00255EC0" w:rsidRPr="00F41508" w:rsidRDefault="00255EC0" w:rsidP="007A6E29">
            <w:pPr>
              <w:pStyle w:val="Tabletextnospace"/>
              <w:spacing w:line="240" w:lineRule="auto"/>
              <w:jc w:val="right"/>
              <w:rPr>
                <w:sz w:val="19"/>
                <w:szCs w:val="19"/>
              </w:rPr>
            </w:pPr>
            <w:r w:rsidRPr="00F41508">
              <w:rPr>
                <w:sz w:val="19"/>
                <w:szCs w:val="19"/>
              </w:rPr>
              <w:t>142</w:t>
            </w:r>
          </w:p>
        </w:tc>
        <w:tc>
          <w:tcPr>
            <w:tcW w:w="1375" w:type="dxa"/>
          </w:tcPr>
          <w:p w14:paraId="07603F85" w14:textId="77777777" w:rsidR="00255EC0" w:rsidRPr="00F41508" w:rsidRDefault="00255EC0" w:rsidP="007A6E29">
            <w:pPr>
              <w:pStyle w:val="Tabletextnospace"/>
              <w:spacing w:line="240" w:lineRule="auto"/>
              <w:jc w:val="right"/>
              <w:rPr>
                <w:sz w:val="19"/>
                <w:szCs w:val="19"/>
              </w:rPr>
            </w:pPr>
            <w:r w:rsidRPr="00F41508">
              <w:rPr>
                <w:sz w:val="19"/>
                <w:szCs w:val="19"/>
              </w:rPr>
              <w:t>-1.4%</w:t>
            </w:r>
          </w:p>
        </w:tc>
        <w:tc>
          <w:tcPr>
            <w:tcW w:w="850" w:type="dxa"/>
          </w:tcPr>
          <w:p w14:paraId="12718638" w14:textId="77777777" w:rsidR="00255EC0" w:rsidRPr="00F41508" w:rsidRDefault="00255EC0" w:rsidP="007A6E2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240" w:lineRule="auto"/>
              <w:jc w:val="right"/>
              <w:textAlignment w:val="center"/>
              <w:rPr>
                <w:rFonts w:ascii="VIC Light Italic" w:hAnsi="VIC Light Italic" w:cs="VIC Light Italic"/>
                <w:i/>
                <w:iCs/>
                <w:sz w:val="19"/>
                <w:szCs w:val="19"/>
                <w:lang w:val="en-GB"/>
              </w:rPr>
            </w:pPr>
            <w:r w:rsidRPr="00F41508">
              <w:rPr>
                <w:rFonts w:ascii="Wingdings 2" w:hAnsi="Wingdings 2" w:cs="Wingdings 2"/>
                <w:sz w:val="19"/>
                <w:szCs w:val="19"/>
                <w:lang w:val="en-GB"/>
              </w:rPr>
              <w:t>™</w:t>
            </w:r>
          </w:p>
        </w:tc>
      </w:tr>
      <w:tr w:rsidR="00255EC0" w:rsidRPr="00F41508" w14:paraId="5DF29E40" w14:textId="77777777" w:rsidTr="00E8460A">
        <w:trPr>
          <w:trHeight w:val="113"/>
        </w:trPr>
        <w:tc>
          <w:tcPr>
            <w:tcW w:w="4660" w:type="dxa"/>
          </w:tcPr>
          <w:p w14:paraId="59AE8B2F" w14:textId="77777777" w:rsidR="00255EC0" w:rsidRPr="00F41508" w:rsidRDefault="00255EC0" w:rsidP="007A6E29">
            <w:pPr>
              <w:pStyle w:val="Tabletextnospace"/>
              <w:spacing w:line="240" w:lineRule="auto"/>
              <w:rPr>
                <w:sz w:val="19"/>
                <w:szCs w:val="19"/>
              </w:rPr>
            </w:pPr>
            <w:r w:rsidRPr="00F41508">
              <w:rPr>
                <w:sz w:val="19"/>
                <w:szCs w:val="19"/>
              </w:rPr>
              <w:t>Project companies and artists funded</w:t>
            </w:r>
          </w:p>
        </w:tc>
        <w:tc>
          <w:tcPr>
            <w:tcW w:w="964" w:type="dxa"/>
          </w:tcPr>
          <w:p w14:paraId="181E5F6C"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603F6170" w14:textId="77777777" w:rsidR="00255EC0" w:rsidRPr="00F41508" w:rsidRDefault="00255EC0" w:rsidP="007A6E29">
            <w:pPr>
              <w:pStyle w:val="Tabletextnospace"/>
              <w:spacing w:line="240" w:lineRule="auto"/>
              <w:jc w:val="right"/>
              <w:rPr>
                <w:sz w:val="19"/>
                <w:szCs w:val="19"/>
              </w:rPr>
            </w:pPr>
            <w:r w:rsidRPr="00F41508">
              <w:rPr>
                <w:sz w:val="19"/>
                <w:szCs w:val="19"/>
              </w:rPr>
              <w:t>981</w:t>
            </w:r>
          </w:p>
        </w:tc>
        <w:tc>
          <w:tcPr>
            <w:tcW w:w="963" w:type="dxa"/>
          </w:tcPr>
          <w:p w14:paraId="7A89F028" w14:textId="77777777" w:rsidR="00255EC0" w:rsidRPr="00F41508" w:rsidRDefault="00255EC0" w:rsidP="007A6E29">
            <w:pPr>
              <w:pStyle w:val="Tabletextnospace"/>
              <w:spacing w:line="240" w:lineRule="auto"/>
              <w:jc w:val="right"/>
              <w:rPr>
                <w:sz w:val="19"/>
                <w:szCs w:val="19"/>
              </w:rPr>
            </w:pPr>
            <w:r w:rsidRPr="00F41508">
              <w:rPr>
                <w:sz w:val="19"/>
                <w:szCs w:val="19"/>
              </w:rPr>
              <w:t>450</w:t>
            </w:r>
          </w:p>
        </w:tc>
        <w:tc>
          <w:tcPr>
            <w:tcW w:w="1375" w:type="dxa"/>
          </w:tcPr>
          <w:p w14:paraId="18CF3302" w14:textId="77777777" w:rsidR="00255EC0" w:rsidRPr="00F41508" w:rsidRDefault="00255EC0" w:rsidP="007A6E29">
            <w:pPr>
              <w:pStyle w:val="Tabletextnospace"/>
              <w:spacing w:line="240" w:lineRule="auto"/>
              <w:jc w:val="right"/>
              <w:rPr>
                <w:sz w:val="19"/>
                <w:szCs w:val="19"/>
              </w:rPr>
            </w:pPr>
            <w:r w:rsidRPr="00F41508">
              <w:rPr>
                <w:sz w:val="19"/>
                <w:szCs w:val="19"/>
              </w:rPr>
              <w:t>118.0%</w:t>
            </w:r>
          </w:p>
        </w:tc>
        <w:tc>
          <w:tcPr>
            <w:tcW w:w="850" w:type="dxa"/>
          </w:tcPr>
          <w:p w14:paraId="5FE48C98"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0C970E38" w14:textId="77777777" w:rsidTr="00E8460A">
        <w:trPr>
          <w:trHeight w:val="113"/>
        </w:trPr>
        <w:tc>
          <w:tcPr>
            <w:tcW w:w="9776" w:type="dxa"/>
            <w:gridSpan w:val="6"/>
          </w:tcPr>
          <w:p w14:paraId="3FADE0D4" w14:textId="77777777" w:rsidR="00255EC0" w:rsidRPr="00F41508" w:rsidRDefault="00255EC0" w:rsidP="007A6E29">
            <w:pPr>
              <w:pStyle w:val="Tabletextnospace"/>
              <w:spacing w:line="240" w:lineRule="auto"/>
              <w:rPr>
                <w:i/>
                <w:iCs/>
                <w:sz w:val="19"/>
                <w:szCs w:val="19"/>
              </w:rPr>
            </w:pPr>
            <w:r w:rsidRPr="00F41508">
              <w:rPr>
                <w:i/>
                <w:iCs/>
                <w:sz w:val="19"/>
                <w:szCs w:val="19"/>
              </w:rPr>
              <w:t xml:space="preserve">Higher result due to the coronavirus (COVID-19) response program Sustaining Creative Workers, which resulted in over 600 grants being paid in May and June 2020. </w:t>
            </w:r>
          </w:p>
        </w:tc>
      </w:tr>
      <w:tr w:rsidR="00255EC0" w:rsidRPr="00F41508" w14:paraId="1DC4EC1C" w14:textId="77777777" w:rsidTr="00E8460A">
        <w:trPr>
          <w:trHeight w:val="113"/>
        </w:trPr>
        <w:tc>
          <w:tcPr>
            <w:tcW w:w="4660" w:type="dxa"/>
          </w:tcPr>
          <w:p w14:paraId="1A092EB9" w14:textId="4F0E6521" w:rsidR="00255EC0" w:rsidRPr="00F41508" w:rsidRDefault="00255EC0" w:rsidP="007A6E29">
            <w:pPr>
              <w:pStyle w:val="Tabletextnospace"/>
              <w:spacing w:line="240" w:lineRule="auto"/>
              <w:rPr>
                <w:sz w:val="19"/>
                <w:szCs w:val="19"/>
              </w:rPr>
            </w:pPr>
            <w:r w:rsidRPr="00F41508">
              <w:rPr>
                <w:sz w:val="19"/>
                <w:szCs w:val="19"/>
              </w:rPr>
              <w:t>Project companies and artists funded</w:t>
            </w:r>
            <w:r w:rsidR="007A6E29" w:rsidRPr="00F41508">
              <w:rPr>
                <w:sz w:val="19"/>
                <w:szCs w:val="19"/>
              </w:rPr>
              <w:t xml:space="preserve"> </w:t>
            </w:r>
            <w:r w:rsidRPr="00F41508">
              <w:rPr>
                <w:sz w:val="19"/>
                <w:szCs w:val="19"/>
              </w:rPr>
              <w:t>which are regionally based</w:t>
            </w:r>
          </w:p>
        </w:tc>
        <w:tc>
          <w:tcPr>
            <w:tcW w:w="964" w:type="dxa"/>
          </w:tcPr>
          <w:p w14:paraId="6D522168" w14:textId="77777777" w:rsidR="00255EC0" w:rsidRPr="00F41508" w:rsidRDefault="00255EC0" w:rsidP="007A6E29">
            <w:pPr>
              <w:pStyle w:val="Tabletextnospace"/>
              <w:spacing w:line="240" w:lineRule="auto"/>
              <w:jc w:val="right"/>
              <w:rPr>
                <w:sz w:val="19"/>
                <w:szCs w:val="19"/>
              </w:rPr>
            </w:pPr>
            <w:r w:rsidRPr="00F41508">
              <w:rPr>
                <w:sz w:val="19"/>
                <w:szCs w:val="19"/>
              </w:rPr>
              <w:t>per cent</w:t>
            </w:r>
          </w:p>
        </w:tc>
        <w:tc>
          <w:tcPr>
            <w:tcW w:w="964" w:type="dxa"/>
          </w:tcPr>
          <w:p w14:paraId="02D88773" w14:textId="77777777" w:rsidR="00255EC0" w:rsidRPr="00F41508" w:rsidRDefault="00255EC0" w:rsidP="007A6E29">
            <w:pPr>
              <w:pStyle w:val="Tabletextnospace"/>
              <w:spacing w:line="240" w:lineRule="auto"/>
              <w:jc w:val="right"/>
              <w:rPr>
                <w:sz w:val="19"/>
                <w:szCs w:val="19"/>
              </w:rPr>
            </w:pPr>
            <w:r w:rsidRPr="00F41508">
              <w:rPr>
                <w:sz w:val="19"/>
                <w:szCs w:val="19"/>
              </w:rPr>
              <w:t>25</w:t>
            </w:r>
          </w:p>
        </w:tc>
        <w:tc>
          <w:tcPr>
            <w:tcW w:w="963" w:type="dxa"/>
          </w:tcPr>
          <w:p w14:paraId="47D0F336" w14:textId="77777777" w:rsidR="00255EC0" w:rsidRPr="00F41508" w:rsidRDefault="00255EC0" w:rsidP="007A6E29">
            <w:pPr>
              <w:pStyle w:val="Tabletextnospace"/>
              <w:spacing w:line="240" w:lineRule="auto"/>
              <w:jc w:val="right"/>
              <w:rPr>
                <w:sz w:val="19"/>
                <w:szCs w:val="19"/>
              </w:rPr>
            </w:pPr>
            <w:r w:rsidRPr="00F41508">
              <w:rPr>
                <w:sz w:val="19"/>
                <w:szCs w:val="19"/>
              </w:rPr>
              <w:t>23</w:t>
            </w:r>
          </w:p>
        </w:tc>
        <w:tc>
          <w:tcPr>
            <w:tcW w:w="1375" w:type="dxa"/>
          </w:tcPr>
          <w:p w14:paraId="360F2D72" w14:textId="77777777" w:rsidR="00255EC0" w:rsidRPr="00F41508" w:rsidRDefault="00255EC0" w:rsidP="007A6E29">
            <w:pPr>
              <w:pStyle w:val="Tabletextnospace"/>
              <w:spacing w:line="240" w:lineRule="auto"/>
              <w:jc w:val="right"/>
              <w:rPr>
                <w:sz w:val="19"/>
                <w:szCs w:val="19"/>
              </w:rPr>
            </w:pPr>
            <w:r w:rsidRPr="00F41508">
              <w:rPr>
                <w:sz w:val="19"/>
                <w:szCs w:val="19"/>
              </w:rPr>
              <w:t>8.7%</w:t>
            </w:r>
          </w:p>
        </w:tc>
        <w:tc>
          <w:tcPr>
            <w:tcW w:w="850" w:type="dxa"/>
          </w:tcPr>
          <w:p w14:paraId="7F4F3C30"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49C3DC18" w14:textId="77777777" w:rsidTr="00E8460A">
        <w:trPr>
          <w:trHeight w:val="113"/>
        </w:trPr>
        <w:tc>
          <w:tcPr>
            <w:tcW w:w="9776" w:type="dxa"/>
            <w:gridSpan w:val="6"/>
          </w:tcPr>
          <w:p w14:paraId="26A2AC97" w14:textId="772E9F34" w:rsidR="00255EC0" w:rsidRPr="00F41508" w:rsidRDefault="00255EC0" w:rsidP="007A6E29">
            <w:pPr>
              <w:pStyle w:val="Tabletextnospace"/>
              <w:spacing w:line="240" w:lineRule="auto"/>
              <w:rPr>
                <w:i/>
                <w:iCs/>
                <w:sz w:val="19"/>
                <w:szCs w:val="19"/>
              </w:rPr>
            </w:pPr>
            <w:r w:rsidRPr="00F41508">
              <w:rPr>
                <w:i/>
                <w:iCs/>
                <w:sz w:val="19"/>
                <w:szCs w:val="19"/>
              </w:rPr>
              <w:t>Higher result due to the coronavirus (COVID-19) response program Sustaining Creative Workers. Grant recipients were spread across</w:t>
            </w:r>
            <w:r w:rsidR="007A6E29" w:rsidRPr="00F41508">
              <w:rPr>
                <w:i/>
                <w:iCs/>
                <w:sz w:val="19"/>
                <w:szCs w:val="19"/>
              </w:rPr>
              <w:t xml:space="preserve"> </w:t>
            </w:r>
            <w:r w:rsidRPr="00F41508">
              <w:rPr>
                <w:i/>
                <w:iCs/>
                <w:sz w:val="19"/>
                <w:szCs w:val="19"/>
              </w:rPr>
              <w:t>the State, with a dedicated stream to affected creative professionals in regional Victoria.</w:t>
            </w:r>
          </w:p>
        </w:tc>
      </w:tr>
      <w:tr w:rsidR="00255EC0" w:rsidRPr="00F41508" w14:paraId="0E360ED4" w14:textId="77777777" w:rsidTr="00E8460A">
        <w:trPr>
          <w:trHeight w:val="113"/>
        </w:trPr>
        <w:tc>
          <w:tcPr>
            <w:tcW w:w="4660" w:type="dxa"/>
          </w:tcPr>
          <w:p w14:paraId="79DF6A3E" w14:textId="77777777" w:rsidR="00255EC0" w:rsidRPr="00F41508" w:rsidRDefault="00255EC0" w:rsidP="007A6E29">
            <w:pPr>
              <w:pStyle w:val="Tabletextnospace"/>
              <w:spacing w:line="240" w:lineRule="auto"/>
              <w:rPr>
                <w:sz w:val="19"/>
                <w:szCs w:val="19"/>
              </w:rPr>
            </w:pPr>
            <w:r w:rsidRPr="00F41508">
              <w:rPr>
                <w:sz w:val="19"/>
                <w:szCs w:val="19"/>
              </w:rPr>
              <w:t>Regional Touring Victoria destinations</w:t>
            </w:r>
          </w:p>
        </w:tc>
        <w:tc>
          <w:tcPr>
            <w:tcW w:w="964" w:type="dxa"/>
          </w:tcPr>
          <w:p w14:paraId="0AFBD173"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799EE53E" w14:textId="77777777" w:rsidR="00255EC0" w:rsidRPr="00F41508" w:rsidRDefault="00255EC0" w:rsidP="007A6E29">
            <w:pPr>
              <w:pStyle w:val="Tabletextnospace"/>
              <w:spacing w:line="240" w:lineRule="auto"/>
              <w:jc w:val="right"/>
              <w:rPr>
                <w:sz w:val="19"/>
                <w:szCs w:val="19"/>
              </w:rPr>
            </w:pPr>
            <w:r w:rsidRPr="00F41508">
              <w:rPr>
                <w:sz w:val="19"/>
                <w:szCs w:val="19"/>
              </w:rPr>
              <w:t>17</w:t>
            </w:r>
          </w:p>
        </w:tc>
        <w:tc>
          <w:tcPr>
            <w:tcW w:w="963" w:type="dxa"/>
          </w:tcPr>
          <w:p w14:paraId="5FCD6BC4" w14:textId="77777777" w:rsidR="00255EC0" w:rsidRPr="00F41508" w:rsidRDefault="00255EC0" w:rsidP="007A6E29">
            <w:pPr>
              <w:pStyle w:val="Tabletextnospace"/>
              <w:spacing w:line="240" w:lineRule="auto"/>
              <w:jc w:val="right"/>
              <w:rPr>
                <w:sz w:val="19"/>
                <w:szCs w:val="19"/>
              </w:rPr>
            </w:pPr>
            <w:r w:rsidRPr="00F41508">
              <w:rPr>
                <w:sz w:val="19"/>
                <w:szCs w:val="19"/>
              </w:rPr>
              <w:t>70</w:t>
            </w:r>
          </w:p>
        </w:tc>
        <w:tc>
          <w:tcPr>
            <w:tcW w:w="1375" w:type="dxa"/>
          </w:tcPr>
          <w:p w14:paraId="66AC1BF0" w14:textId="77777777" w:rsidR="00255EC0" w:rsidRPr="00F41508" w:rsidRDefault="00255EC0" w:rsidP="007A6E29">
            <w:pPr>
              <w:pStyle w:val="Tabletextnospace"/>
              <w:spacing w:line="240" w:lineRule="auto"/>
              <w:jc w:val="right"/>
              <w:rPr>
                <w:sz w:val="19"/>
                <w:szCs w:val="19"/>
              </w:rPr>
            </w:pPr>
            <w:r w:rsidRPr="00F41508">
              <w:rPr>
                <w:sz w:val="19"/>
                <w:szCs w:val="19"/>
              </w:rPr>
              <w:t>-75.7%</w:t>
            </w:r>
          </w:p>
        </w:tc>
        <w:tc>
          <w:tcPr>
            <w:tcW w:w="850" w:type="dxa"/>
          </w:tcPr>
          <w:p w14:paraId="73B8A8F1"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180EFBBD" w14:textId="77777777" w:rsidTr="00E8460A">
        <w:trPr>
          <w:trHeight w:val="113"/>
        </w:trPr>
        <w:tc>
          <w:tcPr>
            <w:tcW w:w="9776" w:type="dxa"/>
            <w:gridSpan w:val="6"/>
          </w:tcPr>
          <w:p w14:paraId="4AE3966F" w14:textId="77777777" w:rsidR="00255EC0" w:rsidRPr="00F41508" w:rsidRDefault="00255EC0" w:rsidP="007A6E29">
            <w:pPr>
              <w:pStyle w:val="Tabletextnospace"/>
              <w:spacing w:line="240" w:lineRule="auto"/>
              <w:rPr>
                <w:i/>
                <w:iCs/>
                <w:sz w:val="19"/>
                <w:szCs w:val="19"/>
              </w:rPr>
            </w:pPr>
            <w:r w:rsidRPr="00F41508">
              <w:rPr>
                <w:i/>
                <w:iCs/>
                <w:sz w:val="19"/>
                <w:szCs w:val="19"/>
              </w:rPr>
              <w:t xml:space="preserve">Lower result due to the impact of coronavirus (COVID-19) restricting travel. </w:t>
            </w:r>
          </w:p>
        </w:tc>
      </w:tr>
      <w:tr w:rsidR="00255EC0" w:rsidRPr="00F41508" w14:paraId="69A6D83C" w14:textId="77777777" w:rsidTr="00E8460A">
        <w:trPr>
          <w:trHeight w:val="113"/>
        </w:trPr>
        <w:tc>
          <w:tcPr>
            <w:tcW w:w="4660" w:type="dxa"/>
          </w:tcPr>
          <w:p w14:paraId="11DC4C38" w14:textId="77777777" w:rsidR="00255EC0" w:rsidRPr="00F41508" w:rsidRDefault="00255EC0" w:rsidP="007A6E29">
            <w:pPr>
              <w:pStyle w:val="Tabletextnospace"/>
              <w:spacing w:line="240" w:lineRule="auto"/>
              <w:rPr>
                <w:sz w:val="19"/>
                <w:szCs w:val="19"/>
              </w:rPr>
            </w:pPr>
            <w:r w:rsidRPr="00F41508">
              <w:rPr>
                <w:sz w:val="19"/>
                <w:szCs w:val="19"/>
              </w:rPr>
              <w:t>Regionally based organisations recurrently funded</w:t>
            </w:r>
          </w:p>
        </w:tc>
        <w:tc>
          <w:tcPr>
            <w:tcW w:w="964" w:type="dxa"/>
          </w:tcPr>
          <w:p w14:paraId="4B64A98E" w14:textId="77777777" w:rsidR="00255EC0" w:rsidRPr="00F41508" w:rsidRDefault="00255EC0" w:rsidP="007A6E29">
            <w:pPr>
              <w:pStyle w:val="Tabletextnospace"/>
              <w:spacing w:line="240" w:lineRule="auto"/>
              <w:jc w:val="right"/>
              <w:rPr>
                <w:sz w:val="19"/>
                <w:szCs w:val="19"/>
              </w:rPr>
            </w:pPr>
            <w:r w:rsidRPr="00F41508">
              <w:rPr>
                <w:sz w:val="19"/>
                <w:szCs w:val="19"/>
              </w:rPr>
              <w:t>number</w:t>
            </w:r>
          </w:p>
        </w:tc>
        <w:tc>
          <w:tcPr>
            <w:tcW w:w="964" w:type="dxa"/>
          </w:tcPr>
          <w:p w14:paraId="6FC982AD" w14:textId="77777777" w:rsidR="00255EC0" w:rsidRPr="00F41508" w:rsidRDefault="00255EC0" w:rsidP="007A6E29">
            <w:pPr>
              <w:pStyle w:val="Tabletextnospace"/>
              <w:spacing w:line="240" w:lineRule="auto"/>
              <w:jc w:val="right"/>
              <w:rPr>
                <w:sz w:val="19"/>
                <w:szCs w:val="19"/>
              </w:rPr>
            </w:pPr>
            <w:r w:rsidRPr="00F41508">
              <w:rPr>
                <w:sz w:val="19"/>
                <w:szCs w:val="19"/>
              </w:rPr>
              <w:t>54</w:t>
            </w:r>
          </w:p>
        </w:tc>
        <w:tc>
          <w:tcPr>
            <w:tcW w:w="963" w:type="dxa"/>
          </w:tcPr>
          <w:p w14:paraId="20A71BBD" w14:textId="77777777" w:rsidR="00255EC0" w:rsidRPr="00F41508" w:rsidRDefault="00255EC0" w:rsidP="007A6E29">
            <w:pPr>
              <w:pStyle w:val="Tabletextnospace"/>
              <w:spacing w:line="240" w:lineRule="auto"/>
              <w:jc w:val="right"/>
              <w:rPr>
                <w:sz w:val="19"/>
                <w:szCs w:val="19"/>
              </w:rPr>
            </w:pPr>
            <w:r w:rsidRPr="00F41508">
              <w:rPr>
                <w:sz w:val="19"/>
                <w:szCs w:val="19"/>
              </w:rPr>
              <w:t>54</w:t>
            </w:r>
          </w:p>
        </w:tc>
        <w:tc>
          <w:tcPr>
            <w:tcW w:w="1375" w:type="dxa"/>
          </w:tcPr>
          <w:p w14:paraId="45DFE2EC" w14:textId="77777777" w:rsidR="00255EC0" w:rsidRPr="00F41508" w:rsidRDefault="00255EC0" w:rsidP="007A6E29">
            <w:pPr>
              <w:pStyle w:val="Tabletextnospace"/>
              <w:spacing w:line="240" w:lineRule="auto"/>
              <w:jc w:val="right"/>
              <w:rPr>
                <w:sz w:val="19"/>
                <w:szCs w:val="19"/>
              </w:rPr>
            </w:pPr>
            <w:r w:rsidRPr="00F41508">
              <w:rPr>
                <w:sz w:val="19"/>
                <w:szCs w:val="19"/>
              </w:rPr>
              <w:t>0.0%</w:t>
            </w:r>
          </w:p>
        </w:tc>
        <w:tc>
          <w:tcPr>
            <w:tcW w:w="850" w:type="dxa"/>
          </w:tcPr>
          <w:p w14:paraId="39115997"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7C4D312A" w14:textId="77777777" w:rsidTr="00E8460A">
        <w:trPr>
          <w:trHeight w:val="113"/>
        </w:trPr>
        <w:tc>
          <w:tcPr>
            <w:tcW w:w="9776" w:type="dxa"/>
            <w:gridSpan w:val="6"/>
          </w:tcPr>
          <w:p w14:paraId="40C26298" w14:textId="77777777" w:rsidR="00255EC0" w:rsidRPr="00F41508" w:rsidRDefault="00255EC0" w:rsidP="007A6E29">
            <w:pPr>
              <w:pStyle w:val="Tabletextnospace"/>
              <w:spacing w:line="240" w:lineRule="auto"/>
              <w:rPr>
                <w:b/>
                <w:bCs/>
                <w:sz w:val="19"/>
                <w:szCs w:val="19"/>
              </w:rPr>
            </w:pPr>
            <w:r w:rsidRPr="00F41508">
              <w:rPr>
                <w:b/>
                <w:bCs/>
                <w:sz w:val="19"/>
                <w:szCs w:val="19"/>
              </w:rPr>
              <w:t>Quality</w:t>
            </w:r>
          </w:p>
        </w:tc>
      </w:tr>
      <w:tr w:rsidR="00255EC0" w:rsidRPr="00F41508" w14:paraId="335562BF" w14:textId="77777777" w:rsidTr="00E8460A">
        <w:trPr>
          <w:trHeight w:val="113"/>
        </w:trPr>
        <w:tc>
          <w:tcPr>
            <w:tcW w:w="4660" w:type="dxa"/>
          </w:tcPr>
          <w:p w14:paraId="38641131" w14:textId="77777777" w:rsidR="00255EC0" w:rsidRPr="00F41508" w:rsidRDefault="00255EC0" w:rsidP="007A6E29">
            <w:pPr>
              <w:pStyle w:val="Tabletextnospace"/>
              <w:spacing w:line="240" w:lineRule="auto"/>
              <w:rPr>
                <w:sz w:val="19"/>
                <w:szCs w:val="19"/>
              </w:rPr>
            </w:pPr>
            <w:r w:rsidRPr="00F41508">
              <w:rPr>
                <w:sz w:val="19"/>
                <w:szCs w:val="19"/>
              </w:rPr>
              <w:t>Grant recipients who met or exceeded agreed outcomes</w:t>
            </w:r>
          </w:p>
        </w:tc>
        <w:tc>
          <w:tcPr>
            <w:tcW w:w="964" w:type="dxa"/>
          </w:tcPr>
          <w:p w14:paraId="71F4653B" w14:textId="77777777" w:rsidR="00255EC0" w:rsidRPr="00F41508" w:rsidRDefault="00255EC0" w:rsidP="007A6E29">
            <w:pPr>
              <w:pStyle w:val="Tabletextnospace"/>
              <w:spacing w:line="240" w:lineRule="auto"/>
              <w:jc w:val="right"/>
              <w:rPr>
                <w:sz w:val="19"/>
                <w:szCs w:val="19"/>
              </w:rPr>
            </w:pPr>
            <w:r w:rsidRPr="00F41508">
              <w:rPr>
                <w:sz w:val="19"/>
                <w:szCs w:val="19"/>
              </w:rPr>
              <w:t>per cent</w:t>
            </w:r>
          </w:p>
        </w:tc>
        <w:tc>
          <w:tcPr>
            <w:tcW w:w="964" w:type="dxa"/>
          </w:tcPr>
          <w:p w14:paraId="47DC7FDF" w14:textId="77777777" w:rsidR="00255EC0" w:rsidRPr="00F41508" w:rsidRDefault="00255EC0" w:rsidP="007A6E29">
            <w:pPr>
              <w:pStyle w:val="Tabletextnospace"/>
              <w:spacing w:line="240" w:lineRule="auto"/>
              <w:jc w:val="right"/>
              <w:rPr>
                <w:sz w:val="19"/>
                <w:szCs w:val="19"/>
              </w:rPr>
            </w:pPr>
            <w:r w:rsidRPr="00F41508">
              <w:rPr>
                <w:sz w:val="19"/>
                <w:szCs w:val="19"/>
              </w:rPr>
              <w:t>74</w:t>
            </w:r>
          </w:p>
        </w:tc>
        <w:tc>
          <w:tcPr>
            <w:tcW w:w="963" w:type="dxa"/>
          </w:tcPr>
          <w:p w14:paraId="7122562A" w14:textId="77777777" w:rsidR="00255EC0" w:rsidRPr="00F41508" w:rsidRDefault="00255EC0" w:rsidP="007A6E29">
            <w:pPr>
              <w:pStyle w:val="Tabletextnospace"/>
              <w:spacing w:line="240" w:lineRule="auto"/>
              <w:jc w:val="right"/>
              <w:rPr>
                <w:sz w:val="19"/>
                <w:szCs w:val="19"/>
              </w:rPr>
            </w:pPr>
            <w:r w:rsidRPr="00F41508">
              <w:rPr>
                <w:sz w:val="19"/>
                <w:szCs w:val="19"/>
              </w:rPr>
              <w:t>85</w:t>
            </w:r>
          </w:p>
        </w:tc>
        <w:tc>
          <w:tcPr>
            <w:tcW w:w="1375" w:type="dxa"/>
          </w:tcPr>
          <w:p w14:paraId="4D508663" w14:textId="77777777" w:rsidR="00255EC0" w:rsidRPr="00F41508" w:rsidRDefault="00255EC0" w:rsidP="007A6E29">
            <w:pPr>
              <w:pStyle w:val="Tabletextnospace"/>
              <w:spacing w:line="240" w:lineRule="auto"/>
              <w:jc w:val="right"/>
              <w:rPr>
                <w:sz w:val="19"/>
                <w:szCs w:val="19"/>
              </w:rPr>
            </w:pPr>
            <w:r w:rsidRPr="00F41508">
              <w:rPr>
                <w:sz w:val="19"/>
                <w:szCs w:val="19"/>
              </w:rPr>
              <w:t>-12.9%</w:t>
            </w:r>
          </w:p>
        </w:tc>
        <w:tc>
          <w:tcPr>
            <w:tcW w:w="850" w:type="dxa"/>
          </w:tcPr>
          <w:p w14:paraId="25406AFE"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16F92450" w14:textId="77777777" w:rsidTr="00E8460A">
        <w:trPr>
          <w:trHeight w:val="113"/>
        </w:trPr>
        <w:tc>
          <w:tcPr>
            <w:tcW w:w="9776" w:type="dxa"/>
            <w:gridSpan w:val="6"/>
          </w:tcPr>
          <w:p w14:paraId="6DBA165F" w14:textId="28001D91" w:rsidR="00255EC0" w:rsidRPr="00F41508" w:rsidRDefault="00255EC0" w:rsidP="007A6E29">
            <w:pPr>
              <w:pStyle w:val="Tabletextnospace"/>
              <w:spacing w:line="240" w:lineRule="auto"/>
              <w:rPr>
                <w:i/>
                <w:iCs/>
                <w:sz w:val="19"/>
                <w:szCs w:val="19"/>
              </w:rPr>
            </w:pPr>
            <w:r w:rsidRPr="00F41508">
              <w:rPr>
                <w:i/>
                <w:iCs/>
                <w:sz w:val="19"/>
                <w:szCs w:val="19"/>
              </w:rPr>
              <w:t>Lower result due to coronavirus (COVID-19) which impacted the ability of grant recipients to meet the outcomes agreed to prior</w:t>
            </w:r>
            <w:r w:rsidR="007A6E29" w:rsidRPr="00F41508">
              <w:rPr>
                <w:i/>
                <w:iCs/>
                <w:sz w:val="19"/>
                <w:szCs w:val="19"/>
              </w:rPr>
              <w:t xml:space="preserve"> </w:t>
            </w:r>
            <w:r w:rsidRPr="00F41508">
              <w:rPr>
                <w:i/>
                <w:iCs/>
                <w:sz w:val="19"/>
                <w:szCs w:val="19"/>
              </w:rPr>
              <w:t>to the pandemic.</w:t>
            </w:r>
          </w:p>
        </w:tc>
      </w:tr>
      <w:tr w:rsidR="00255EC0" w:rsidRPr="00F41508" w14:paraId="353F7E5A" w14:textId="77777777" w:rsidTr="00E8460A">
        <w:trPr>
          <w:trHeight w:val="113"/>
        </w:trPr>
        <w:tc>
          <w:tcPr>
            <w:tcW w:w="4660" w:type="dxa"/>
          </w:tcPr>
          <w:p w14:paraId="6EF2D6D1" w14:textId="77777777" w:rsidR="00255EC0" w:rsidRPr="00F41508" w:rsidRDefault="00255EC0" w:rsidP="007A6E29">
            <w:pPr>
              <w:pStyle w:val="Tabletextnospace"/>
              <w:spacing w:line="240" w:lineRule="auto"/>
              <w:rPr>
                <w:sz w:val="19"/>
                <w:szCs w:val="19"/>
              </w:rPr>
            </w:pPr>
            <w:r w:rsidRPr="00F41508">
              <w:rPr>
                <w:sz w:val="19"/>
                <w:szCs w:val="19"/>
              </w:rPr>
              <w:t>Public information rated ‘informative’ or ‘</w:t>
            </w:r>
            <w:proofErr w:type="gramStart"/>
            <w:r w:rsidRPr="00F41508">
              <w:rPr>
                <w:sz w:val="19"/>
                <w:szCs w:val="19"/>
              </w:rPr>
              <w:t>very informative</w:t>
            </w:r>
            <w:proofErr w:type="gramEnd"/>
            <w:r w:rsidRPr="00F41508">
              <w:rPr>
                <w:sz w:val="19"/>
                <w:szCs w:val="19"/>
              </w:rPr>
              <w:t>’ by grant applicants</w:t>
            </w:r>
          </w:p>
        </w:tc>
        <w:tc>
          <w:tcPr>
            <w:tcW w:w="964" w:type="dxa"/>
          </w:tcPr>
          <w:p w14:paraId="7528143F" w14:textId="77777777" w:rsidR="00255EC0" w:rsidRPr="00F41508" w:rsidRDefault="00255EC0" w:rsidP="007A6E29">
            <w:pPr>
              <w:pStyle w:val="Tabletextnospace"/>
              <w:spacing w:line="240" w:lineRule="auto"/>
              <w:jc w:val="right"/>
              <w:rPr>
                <w:sz w:val="19"/>
                <w:szCs w:val="19"/>
              </w:rPr>
            </w:pPr>
            <w:r w:rsidRPr="00F41508">
              <w:rPr>
                <w:sz w:val="19"/>
                <w:szCs w:val="19"/>
              </w:rPr>
              <w:t>per cent</w:t>
            </w:r>
          </w:p>
        </w:tc>
        <w:tc>
          <w:tcPr>
            <w:tcW w:w="964" w:type="dxa"/>
          </w:tcPr>
          <w:p w14:paraId="1D9DACB3" w14:textId="77777777" w:rsidR="00255EC0" w:rsidRPr="00F41508" w:rsidRDefault="00255EC0" w:rsidP="007A6E29">
            <w:pPr>
              <w:pStyle w:val="Tabletextnospace"/>
              <w:spacing w:line="240" w:lineRule="auto"/>
              <w:jc w:val="right"/>
              <w:rPr>
                <w:sz w:val="19"/>
                <w:szCs w:val="19"/>
              </w:rPr>
            </w:pPr>
            <w:r w:rsidRPr="00F41508">
              <w:rPr>
                <w:sz w:val="19"/>
                <w:szCs w:val="19"/>
              </w:rPr>
              <w:t>90</w:t>
            </w:r>
          </w:p>
        </w:tc>
        <w:tc>
          <w:tcPr>
            <w:tcW w:w="963" w:type="dxa"/>
          </w:tcPr>
          <w:p w14:paraId="44F71396" w14:textId="77777777" w:rsidR="00255EC0" w:rsidRPr="00F41508" w:rsidRDefault="00255EC0" w:rsidP="007A6E29">
            <w:pPr>
              <w:pStyle w:val="Tabletextnospace"/>
              <w:spacing w:line="240" w:lineRule="auto"/>
              <w:jc w:val="right"/>
              <w:rPr>
                <w:sz w:val="19"/>
                <w:szCs w:val="19"/>
              </w:rPr>
            </w:pPr>
            <w:r w:rsidRPr="00F41508">
              <w:rPr>
                <w:sz w:val="19"/>
                <w:szCs w:val="19"/>
              </w:rPr>
              <w:t>90</w:t>
            </w:r>
          </w:p>
        </w:tc>
        <w:tc>
          <w:tcPr>
            <w:tcW w:w="1375" w:type="dxa"/>
          </w:tcPr>
          <w:p w14:paraId="55B7430C" w14:textId="77777777" w:rsidR="00255EC0" w:rsidRPr="00F41508" w:rsidRDefault="00255EC0" w:rsidP="007A6E29">
            <w:pPr>
              <w:pStyle w:val="Tabletextnospace"/>
              <w:spacing w:line="240" w:lineRule="auto"/>
              <w:jc w:val="right"/>
              <w:rPr>
                <w:sz w:val="19"/>
                <w:szCs w:val="19"/>
              </w:rPr>
            </w:pPr>
            <w:r w:rsidRPr="00F41508">
              <w:rPr>
                <w:sz w:val="19"/>
                <w:szCs w:val="19"/>
              </w:rPr>
              <w:t>0.0%</w:t>
            </w:r>
          </w:p>
        </w:tc>
        <w:tc>
          <w:tcPr>
            <w:tcW w:w="850" w:type="dxa"/>
          </w:tcPr>
          <w:p w14:paraId="7294103A"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0BA1991A" w14:textId="77777777" w:rsidTr="00E8460A">
        <w:trPr>
          <w:trHeight w:val="113"/>
        </w:trPr>
        <w:tc>
          <w:tcPr>
            <w:tcW w:w="9776" w:type="dxa"/>
            <w:gridSpan w:val="6"/>
          </w:tcPr>
          <w:p w14:paraId="5FDF1125" w14:textId="77777777" w:rsidR="00255EC0" w:rsidRPr="00F41508" w:rsidRDefault="00255EC0" w:rsidP="0072291D">
            <w:pPr>
              <w:pStyle w:val="Tabletextnospace"/>
              <w:keepNext/>
              <w:spacing w:line="240" w:lineRule="auto"/>
              <w:rPr>
                <w:b/>
                <w:bCs/>
                <w:sz w:val="19"/>
                <w:szCs w:val="19"/>
              </w:rPr>
            </w:pPr>
            <w:r w:rsidRPr="00F41508">
              <w:rPr>
                <w:b/>
                <w:bCs/>
                <w:sz w:val="19"/>
                <w:szCs w:val="19"/>
              </w:rPr>
              <w:t>Timeliness</w:t>
            </w:r>
          </w:p>
        </w:tc>
      </w:tr>
      <w:tr w:rsidR="00255EC0" w:rsidRPr="00F41508" w14:paraId="08342D85" w14:textId="77777777" w:rsidTr="00E8460A">
        <w:trPr>
          <w:trHeight w:val="113"/>
        </w:trPr>
        <w:tc>
          <w:tcPr>
            <w:tcW w:w="4660" w:type="dxa"/>
          </w:tcPr>
          <w:p w14:paraId="517B3A0F" w14:textId="77777777" w:rsidR="00255EC0" w:rsidRPr="00F41508" w:rsidRDefault="00255EC0" w:rsidP="0072291D">
            <w:pPr>
              <w:pStyle w:val="Tabletextnospace"/>
              <w:keepNext/>
              <w:spacing w:line="240" w:lineRule="auto"/>
              <w:rPr>
                <w:sz w:val="19"/>
                <w:szCs w:val="19"/>
              </w:rPr>
            </w:pPr>
            <w:r w:rsidRPr="00F41508">
              <w:rPr>
                <w:sz w:val="19"/>
                <w:szCs w:val="19"/>
              </w:rPr>
              <w:t>Performance and grant agreements acquitted within timeframes specified in the funding agreement</w:t>
            </w:r>
          </w:p>
        </w:tc>
        <w:tc>
          <w:tcPr>
            <w:tcW w:w="964" w:type="dxa"/>
          </w:tcPr>
          <w:p w14:paraId="7F6F3374" w14:textId="77777777" w:rsidR="00255EC0" w:rsidRPr="00F41508" w:rsidRDefault="00255EC0" w:rsidP="0072291D">
            <w:pPr>
              <w:pStyle w:val="Tabletextnospace"/>
              <w:keepNext/>
              <w:spacing w:line="240" w:lineRule="auto"/>
              <w:jc w:val="right"/>
              <w:rPr>
                <w:sz w:val="19"/>
                <w:szCs w:val="19"/>
              </w:rPr>
            </w:pPr>
            <w:r w:rsidRPr="00F41508">
              <w:rPr>
                <w:sz w:val="19"/>
                <w:szCs w:val="19"/>
              </w:rPr>
              <w:t>per cent</w:t>
            </w:r>
          </w:p>
        </w:tc>
        <w:tc>
          <w:tcPr>
            <w:tcW w:w="964" w:type="dxa"/>
          </w:tcPr>
          <w:p w14:paraId="6815D975" w14:textId="77777777" w:rsidR="00255EC0" w:rsidRPr="00F41508" w:rsidRDefault="00255EC0" w:rsidP="0072291D">
            <w:pPr>
              <w:pStyle w:val="Tabletextnospace"/>
              <w:keepNext/>
              <w:spacing w:line="240" w:lineRule="auto"/>
              <w:jc w:val="right"/>
              <w:rPr>
                <w:sz w:val="19"/>
                <w:szCs w:val="19"/>
              </w:rPr>
            </w:pPr>
            <w:r w:rsidRPr="00F41508">
              <w:rPr>
                <w:sz w:val="19"/>
                <w:szCs w:val="19"/>
              </w:rPr>
              <w:t>52</w:t>
            </w:r>
          </w:p>
        </w:tc>
        <w:tc>
          <w:tcPr>
            <w:tcW w:w="963" w:type="dxa"/>
          </w:tcPr>
          <w:p w14:paraId="29444222" w14:textId="77777777" w:rsidR="00255EC0" w:rsidRPr="00F41508" w:rsidRDefault="00255EC0" w:rsidP="0072291D">
            <w:pPr>
              <w:pStyle w:val="Tabletextnospace"/>
              <w:keepNext/>
              <w:spacing w:line="240" w:lineRule="auto"/>
              <w:jc w:val="right"/>
              <w:rPr>
                <w:sz w:val="19"/>
                <w:szCs w:val="19"/>
              </w:rPr>
            </w:pPr>
            <w:r w:rsidRPr="00F41508">
              <w:rPr>
                <w:sz w:val="19"/>
                <w:szCs w:val="19"/>
              </w:rPr>
              <w:t>83</w:t>
            </w:r>
          </w:p>
        </w:tc>
        <w:tc>
          <w:tcPr>
            <w:tcW w:w="1375" w:type="dxa"/>
          </w:tcPr>
          <w:p w14:paraId="3AA9EA05" w14:textId="77777777" w:rsidR="00255EC0" w:rsidRPr="00F41508" w:rsidRDefault="00255EC0" w:rsidP="0072291D">
            <w:pPr>
              <w:pStyle w:val="Tabletextnospace"/>
              <w:keepNext/>
              <w:spacing w:line="240" w:lineRule="auto"/>
              <w:jc w:val="right"/>
              <w:rPr>
                <w:sz w:val="19"/>
                <w:szCs w:val="19"/>
              </w:rPr>
            </w:pPr>
            <w:r w:rsidRPr="00F41508">
              <w:rPr>
                <w:sz w:val="19"/>
                <w:szCs w:val="19"/>
              </w:rPr>
              <w:t>-37.3%</w:t>
            </w:r>
          </w:p>
        </w:tc>
        <w:tc>
          <w:tcPr>
            <w:tcW w:w="850" w:type="dxa"/>
          </w:tcPr>
          <w:p w14:paraId="2383893A" w14:textId="77777777" w:rsidR="00255EC0" w:rsidRPr="00F41508" w:rsidRDefault="00255EC0" w:rsidP="0072291D">
            <w:pPr>
              <w:keepNext/>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597D7400" w14:textId="77777777" w:rsidTr="00E8460A">
        <w:trPr>
          <w:trHeight w:val="113"/>
        </w:trPr>
        <w:tc>
          <w:tcPr>
            <w:tcW w:w="9776" w:type="dxa"/>
            <w:gridSpan w:val="6"/>
          </w:tcPr>
          <w:p w14:paraId="54C30AAD" w14:textId="77777777" w:rsidR="00255EC0" w:rsidRPr="00F41508" w:rsidRDefault="00255EC0" w:rsidP="007A6E29">
            <w:pPr>
              <w:pStyle w:val="Tabletextnospace"/>
              <w:spacing w:line="240" w:lineRule="auto"/>
              <w:rPr>
                <w:i/>
                <w:iCs/>
                <w:sz w:val="19"/>
                <w:szCs w:val="19"/>
              </w:rPr>
            </w:pPr>
            <w:r w:rsidRPr="00F41508">
              <w:rPr>
                <w:i/>
                <w:iCs/>
                <w:sz w:val="19"/>
                <w:szCs w:val="19"/>
              </w:rPr>
              <w:t>Lower result due to the impact of coronavirus (COVID-19) which impacted the performance and grant agreement timeframes.</w:t>
            </w:r>
          </w:p>
        </w:tc>
      </w:tr>
      <w:tr w:rsidR="00255EC0" w:rsidRPr="00F41508" w14:paraId="32C9F31B" w14:textId="77777777" w:rsidTr="00E8460A">
        <w:trPr>
          <w:trHeight w:val="113"/>
        </w:trPr>
        <w:tc>
          <w:tcPr>
            <w:tcW w:w="4660" w:type="dxa"/>
          </w:tcPr>
          <w:p w14:paraId="3CD80615" w14:textId="3878CA84" w:rsidR="00255EC0" w:rsidRPr="00F41508" w:rsidRDefault="00255EC0" w:rsidP="007A6E29">
            <w:pPr>
              <w:pStyle w:val="Tabletextnospace"/>
              <w:spacing w:line="240" w:lineRule="auto"/>
              <w:rPr>
                <w:sz w:val="19"/>
                <w:szCs w:val="19"/>
              </w:rPr>
            </w:pPr>
            <w:proofErr w:type="spellStart"/>
            <w:r w:rsidRPr="00F41508">
              <w:rPr>
                <w:sz w:val="19"/>
                <w:szCs w:val="19"/>
              </w:rPr>
              <w:lastRenderedPageBreak/>
              <w:t>VicArts</w:t>
            </w:r>
            <w:proofErr w:type="spellEnd"/>
            <w:r w:rsidRPr="00F41508">
              <w:rPr>
                <w:sz w:val="19"/>
                <w:szCs w:val="19"/>
              </w:rPr>
              <w:t xml:space="preserve"> Grant acquittals assessed within 30 days</w:t>
            </w:r>
            <w:r w:rsidR="007A6E29" w:rsidRPr="00F41508">
              <w:rPr>
                <w:sz w:val="19"/>
                <w:szCs w:val="19"/>
              </w:rPr>
              <w:t xml:space="preserve"> </w:t>
            </w:r>
            <w:r w:rsidRPr="00F41508">
              <w:rPr>
                <w:sz w:val="19"/>
                <w:szCs w:val="19"/>
              </w:rPr>
              <w:t>of submission date</w:t>
            </w:r>
          </w:p>
        </w:tc>
        <w:tc>
          <w:tcPr>
            <w:tcW w:w="964" w:type="dxa"/>
          </w:tcPr>
          <w:p w14:paraId="466E248D" w14:textId="77777777" w:rsidR="00255EC0" w:rsidRPr="00F41508" w:rsidRDefault="00255EC0" w:rsidP="007A6E29">
            <w:pPr>
              <w:pStyle w:val="Tabletextnospace"/>
              <w:spacing w:line="240" w:lineRule="auto"/>
              <w:jc w:val="right"/>
              <w:rPr>
                <w:sz w:val="19"/>
                <w:szCs w:val="19"/>
              </w:rPr>
            </w:pPr>
            <w:r w:rsidRPr="00F41508">
              <w:rPr>
                <w:sz w:val="19"/>
                <w:szCs w:val="19"/>
              </w:rPr>
              <w:t>per cent</w:t>
            </w:r>
          </w:p>
        </w:tc>
        <w:tc>
          <w:tcPr>
            <w:tcW w:w="964" w:type="dxa"/>
          </w:tcPr>
          <w:p w14:paraId="0A7D15A9" w14:textId="77777777" w:rsidR="00255EC0" w:rsidRPr="00F41508" w:rsidRDefault="00255EC0" w:rsidP="007A6E29">
            <w:pPr>
              <w:pStyle w:val="Tabletextnospace"/>
              <w:spacing w:line="240" w:lineRule="auto"/>
              <w:jc w:val="right"/>
              <w:rPr>
                <w:sz w:val="19"/>
                <w:szCs w:val="19"/>
              </w:rPr>
            </w:pPr>
            <w:r w:rsidRPr="00F41508">
              <w:rPr>
                <w:sz w:val="19"/>
                <w:szCs w:val="19"/>
              </w:rPr>
              <w:t>98</w:t>
            </w:r>
          </w:p>
        </w:tc>
        <w:tc>
          <w:tcPr>
            <w:tcW w:w="963" w:type="dxa"/>
          </w:tcPr>
          <w:p w14:paraId="7BB49F1A" w14:textId="77777777" w:rsidR="00255EC0" w:rsidRPr="00F41508" w:rsidRDefault="00255EC0" w:rsidP="007A6E29">
            <w:pPr>
              <w:pStyle w:val="Tabletextnospace"/>
              <w:spacing w:line="240" w:lineRule="auto"/>
              <w:jc w:val="right"/>
              <w:rPr>
                <w:sz w:val="19"/>
                <w:szCs w:val="19"/>
              </w:rPr>
            </w:pPr>
            <w:r w:rsidRPr="00F41508">
              <w:rPr>
                <w:sz w:val="19"/>
                <w:szCs w:val="19"/>
              </w:rPr>
              <w:t>95</w:t>
            </w:r>
          </w:p>
        </w:tc>
        <w:tc>
          <w:tcPr>
            <w:tcW w:w="1375" w:type="dxa"/>
          </w:tcPr>
          <w:p w14:paraId="5B4896D0" w14:textId="77777777" w:rsidR="00255EC0" w:rsidRPr="00F41508" w:rsidRDefault="00255EC0" w:rsidP="007A6E29">
            <w:pPr>
              <w:pStyle w:val="Tabletextnospace"/>
              <w:spacing w:line="240" w:lineRule="auto"/>
              <w:jc w:val="right"/>
              <w:rPr>
                <w:sz w:val="19"/>
                <w:szCs w:val="19"/>
              </w:rPr>
            </w:pPr>
            <w:r w:rsidRPr="00F41508">
              <w:rPr>
                <w:sz w:val="19"/>
                <w:szCs w:val="19"/>
              </w:rPr>
              <w:t>3.2%</w:t>
            </w:r>
          </w:p>
        </w:tc>
        <w:tc>
          <w:tcPr>
            <w:tcW w:w="850" w:type="dxa"/>
          </w:tcPr>
          <w:p w14:paraId="0ACE98D6"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58620A61" w14:textId="77777777" w:rsidTr="00E8460A">
        <w:trPr>
          <w:trHeight w:val="113"/>
        </w:trPr>
        <w:tc>
          <w:tcPr>
            <w:tcW w:w="4660" w:type="dxa"/>
          </w:tcPr>
          <w:p w14:paraId="0880107A" w14:textId="0540D2D0" w:rsidR="00255EC0" w:rsidRPr="00F41508" w:rsidRDefault="00255EC0" w:rsidP="007A6E29">
            <w:pPr>
              <w:pStyle w:val="Tabletextnospace"/>
              <w:spacing w:line="240" w:lineRule="auto"/>
              <w:rPr>
                <w:sz w:val="19"/>
                <w:szCs w:val="19"/>
              </w:rPr>
            </w:pPr>
            <w:proofErr w:type="spellStart"/>
            <w:r w:rsidRPr="00F41508">
              <w:rPr>
                <w:sz w:val="19"/>
                <w:szCs w:val="19"/>
              </w:rPr>
              <w:t>VicArts</w:t>
            </w:r>
            <w:proofErr w:type="spellEnd"/>
            <w:r w:rsidRPr="00F41508">
              <w:rPr>
                <w:sz w:val="19"/>
                <w:szCs w:val="19"/>
              </w:rPr>
              <w:t xml:space="preserve"> Grant applications processed within 45 days</w:t>
            </w:r>
            <w:r w:rsidR="007A6E29" w:rsidRPr="00F41508">
              <w:rPr>
                <w:sz w:val="19"/>
                <w:szCs w:val="19"/>
              </w:rPr>
              <w:t xml:space="preserve"> </w:t>
            </w:r>
            <w:r w:rsidRPr="00F41508">
              <w:rPr>
                <w:sz w:val="19"/>
                <w:szCs w:val="19"/>
              </w:rPr>
              <w:t xml:space="preserve">for Ministerial consideration </w:t>
            </w:r>
          </w:p>
        </w:tc>
        <w:tc>
          <w:tcPr>
            <w:tcW w:w="964" w:type="dxa"/>
          </w:tcPr>
          <w:p w14:paraId="3404DE9B" w14:textId="77777777" w:rsidR="00255EC0" w:rsidRPr="00F41508" w:rsidRDefault="00255EC0" w:rsidP="007A6E29">
            <w:pPr>
              <w:pStyle w:val="Tabletextnospace"/>
              <w:spacing w:line="240" w:lineRule="auto"/>
              <w:jc w:val="right"/>
              <w:rPr>
                <w:sz w:val="19"/>
                <w:szCs w:val="19"/>
              </w:rPr>
            </w:pPr>
            <w:r w:rsidRPr="00F41508">
              <w:rPr>
                <w:sz w:val="19"/>
                <w:szCs w:val="19"/>
              </w:rPr>
              <w:t>per cent</w:t>
            </w:r>
          </w:p>
        </w:tc>
        <w:tc>
          <w:tcPr>
            <w:tcW w:w="964" w:type="dxa"/>
          </w:tcPr>
          <w:p w14:paraId="39DCA252" w14:textId="77777777" w:rsidR="00255EC0" w:rsidRPr="00F41508" w:rsidRDefault="00255EC0" w:rsidP="007A6E29">
            <w:pPr>
              <w:pStyle w:val="Tabletextnospace"/>
              <w:spacing w:line="240" w:lineRule="auto"/>
              <w:jc w:val="right"/>
              <w:rPr>
                <w:sz w:val="19"/>
                <w:szCs w:val="19"/>
              </w:rPr>
            </w:pPr>
            <w:r w:rsidRPr="00F41508">
              <w:rPr>
                <w:sz w:val="19"/>
                <w:szCs w:val="19"/>
              </w:rPr>
              <w:t>100</w:t>
            </w:r>
          </w:p>
        </w:tc>
        <w:tc>
          <w:tcPr>
            <w:tcW w:w="963" w:type="dxa"/>
          </w:tcPr>
          <w:p w14:paraId="604BFE9A" w14:textId="77777777" w:rsidR="00255EC0" w:rsidRPr="00F41508" w:rsidRDefault="00255EC0" w:rsidP="007A6E29">
            <w:pPr>
              <w:pStyle w:val="Tabletextnospace"/>
              <w:spacing w:line="240" w:lineRule="auto"/>
              <w:jc w:val="right"/>
              <w:rPr>
                <w:sz w:val="19"/>
                <w:szCs w:val="19"/>
              </w:rPr>
            </w:pPr>
            <w:r w:rsidRPr="00F41508">
              <w:rPr>
                <w:sz w:val="19"/>
                <w:szCs w:val="19"/>
              </w:rPr>
              <w:t>100</w:t>
            </w:r>
          </w:p>
        </w:tc>
        <w:tc>
          <w:tcPr>
            <w:tcW w:w="1375" w:type="dxa"/>
          </w:tcPr>
          <w:p w14:paraId="5E73397A" w14:textId="77777777" w:rsidR="00255EC0" w:rsidRPr="00F41508" w:rsidRDefault="00255EC0" w:rsidP="007A6E29">
            <w:pPr>
              <w:pStyle w:val="Tabletextnospace"/>
              <w:spacing w:line="240" w:lineRule="auto"/>
              <w:jc w:val="right"/>
              <w:rPr>
                <w:sz w:val="19"/>
                <w:szCs w:val="19"/>
              </w:rPr>
            </w:pPr>
            <w:r w:rsidRPr="00F41508">
              <w:rPr>
                <w:sz w:val="19"/>
                <w:szCs w:val="19"/>
              </w:rPr>
              <w:t>0.0%</w:t>
            </w:r>
          </w:p>
        </w:tc>
        <w:tc>
          <w:tcPr>
            <w:tcW w:w="850" w:type="dxa"/>
          </w:tcPr>
          <w:p w14:paraId="0570EDDE"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439764D7" w14:textId="77777777" w:rsidTr="00E8460A">
        <w:trPr>
          <w:trHeight w:val="113"/>
        </w:trPr>
        <w:tc>
          <w:tcPr>
            <w:tcW w:w="9776" w:type="dxa"/>
            <w:gridSpan w:val="6"/>
          </w:tcPr>
          <w:p w14:paraId="443515F0" w14:textId="77777777" w:rsidR="00255EC0" w:rsidRPr="00F41508" w:rsidRDefault="00255EC0" w:rsidP="007A6E29">
            <w:pPr>
              <w:pStyle w:val="Tabletextnospace"/>
              <w:spacing w:line="240" w:lineRule="auto"/>
              <w:rPr>
                <w:b/>
                <w:bCs/>
                <w:sz w:val="19"/>
                <w:szCs w:val="19"/>
              </w:rPr>
            </w:pPr>
            <w:r w:rsidRPr="00F41508">
              <w:rPr>
                <w:b/>
                <w:bCs/>
                <w:sz w:val="19"/>
                <w:szCs w:val="19"/>
              </w:rPr>
              <w:t>Cost</w:t>
            </w:r>
          </w:p>
        </w:tc>
      </w:tr>
      <w:tr w:rsidR="00255EC0" w:rsidRPr="00F41508" w14:paraId="2945CE84" w14:textId="77777777" w:rsidTr="00E8460A">
        <w:trPr>
          <w:trHeight w:val="113"/>
        </w:trPr>
        <w:tc>
          <w:tcPr>
            <w:tcW w:w="4660" w:type="dxa"/>
          </w:tcPr>
          <w:p w14:paraId="22045EFA" w14:textId="77777777" w:rsidR="00255EC0" w:rsidRPr="00F41508" w:rsidRDefault="00255EC0" w:rsidP="007A6E29">
            <w:pPr>
              <w:pStyle w:val="Tabletextnospace"/>
              <w:spacing w:line="240" w:lineRule="auto"/>
              <w:rPr>
                <w:b/>
                <w:bCs/>
                <w:sz w:val="19"/>
                <w:szCs w:val="19"/>
              </w:rPr>
            </w:pPr>
            <w:r w:rsidRPr="00F41508">
              <w:rPr>
                <w:b/>
                <w:bCs/>
                <w:sz w:val="19"/>
                <w:szCs w:val="19"/>
              </w:rPr>
              <w:t>Total output cost</w:t>
            </w:r>
          </w:p>
        </w:tc>
        <w:tc>
          <w:tcPr>
            <w:tcW w:w="964" w:type="dxa"/>
          </w:tcPr>
          <w:p w14:paraId="1CBC729E" w14:textId="77777777" w:rsidR="00255EC0" w:rsidRPr="00F41508" w:rsidRDefault="00255EC0" w:rsidP="007A6E29">
            <w:pPr>
              <w:pStyle w:val="Tabletextnospace"/>
              <w:spacing w:line="240" w:lineRule="auto"/>
              <w:jc w:val="right"/>
              <w:rPr>
                <w:b/>
                <w:bCs/>
                <w:sz w:val="19"/>
                <w:szCs w:val="19"/>
              </w:rPr>
            </w:pPr>
            <w:r w:rsidRPr="00F41508">
              <w:rPr>
                <w:b/>
                <w:bCs/>
                <w:sz w:val="19"/>
                <w:szCs w:val="19"/>
              </w:rPr>
              <w:t>$ million</w:t>
            </w:r>
          </w:p>
        </w:tc>
        <w:tc>
          <w:tcPr>
            <w:tcW w:w="964" w:type="dxa"/>
          </w:tcPr>
          <w:p w14:paraId="0485CA0E" w14:textId="77777777" w:rsidR="00255EC0" w:rsidRPr="00F41508" w:rsidRDefault="00255EC0" w:rsidP="007A6E29">
            <w:pPr>
              <w:pStyle w:val="Tabletextnospace"/>
              <w:spacing w:line="240" w:lineRule="auto"/>
              <w:jc w:val="right"/>
              <w:rPr>
                <w:b/>
                <w:bCs/>
                <w:sz w:val="19"/>
                <w:szCs w:val="19"/>
              </w:rPr>
            </w:pPr>
            <w:r w:rsidRPr="00F41508">
              <w:rPr>
                <w:b/>
                <w:bCs/>
                <w:sz w:val="19"/>
                <w:szCs w:val="19"/>
              </w:rPr>
              <w:t>73.9</w:t>
            </w:r>
          </w:p>
        </w:tc>
        <w:tc>
          <w:tcPr>
            <w:tcW w:w="963" w:type="dxa"/>
          </w:tcPr>
          <w:p w14:paraId="1BA52679" w14:textId="77777777" w:rsidR="00255EC0" w:rsidRPr="00F41508" w:rsidRDefault="00255EC0" w:rsidP="007A6E29">
            <w:pPr>
              <w:pStyle w:val="Tabletextnospace"/>
              <w:spacing w:line="240" w:lineRule="auto"/>
              <w:jc w:val="right"/>
              <w:rPr>
                <w:b/>
                <w:bCs/>
                <w:sz w:val="19"/>
                <w:szCs w:val="19"/>
              </w:rPr>
            </w:pPr>
            <w:r w:rsidRPr="00F41508">
              <w:rPr>
                <w:b/>
                <w:bCs/>
                <w:sz w:val="19"/>
                <w:szCs w:val="19"/>
              </w:rPr>
              <w:t>72.6</w:t>
            </w:r>
          </w:p>
        </w:tc>
        <w:tc>
          <w:tcPr>
            <w:tcW w:w="1375" w:type="dxa"/>
          </w:tcPr>
          <w:p w14:paraId="29C1A9F4" w14:textId="77777777" w:rsidR="00255EC0" w:rsidRPr="00F41508" w:rsidRDefault="00255EC0" w:rsidP="007A6E29">
            <w:pPr>
              <w:pStyle w:val="Tabletextnospace"/>
              <w:spacing w:line="240" w:lineRule="auto"/>
              <w:jc w:val="right"/>
              <w:rPr>
                <w:b/>
                <w:bCs/>
                <w:sz w:val="19"/>
                <w:szCs w:val="19"/>
              </w:rPr>
            </w:pPr>
            <w:r w:rsidRPr="00F41508">
              <w:rPr>
                <w:b/>
                <w:bCs/>
                <w:sz w:val="19"/>
                <w:szCs w:val="19"/>
              </w:rPr>
              <w:t>2.0%</w:t>
            </w:r>
          </w:p>
        </w:tc>
        <w:tc>
          <w:tcPr>
            <w:tcW w:w="850" w:type="dxa"/>
          </w:tcPr>
          <w:p w14:paraId="05A1BFC0" w14:textId="77777777" w:rsidR="00255EC0" w:rsidRPr="00F41508" w:rsidRDefault="00255EC0" w:rsidP="007A6E29">
            <w:pPr>
              <w:suppressAutoHyphens/>
              <w:autoSpaceDE w:val="0"/>
              <w:autoSpaceDN w:val="0"/>
              <w:adjustRightInd w:val="0"/>
              <w:spacing w:after="113" w:line="240" w:lineRule="auto"/>
              <w:jc w:val="right"/>
              <w:textAlignment w:val="center"/>
              <w:rPr>
                <w:rFonts w:ascii="VIC Light" w:hAnsi="VIC Light" w:cs="VIC Light"/>
                <w:b/>
                <w:bCs/>
                <w:sz w:val="19"/>
                <w:szCs w:val="19"/>
                <w:lang w:val="en-GB"/>
              </w:rPr>
            </w:pPr>
            <w:r w:rsidRPr="00F41508">
              <w:rPr>
                <w:rFonts w:ascii="Wingdings 2" w:hAnsi="Wingdings 2" w:cs="Wingdings 2"/>
                <w:b/>
                <w:bCs/>
                <w:sz w:val="19"/>
                <w:szCs w:val="19"/>
                <w:lang w:val="en-GB"/>
              </w:rPr>
              <w:t>™</w:t>
            </w:r>
          </w:p>
        </w:tc>
      </w:tr>
      <w:tr w:rsidR="00255EC0" w:rsidRPr="00F41508" w14:paraId="6E35966B" w14:textId="77777777" w:rsidTr="00E8460A">
        <w:trPr>
          <w:trHeight w:val="113"/>
        </w:trPr>
        <w:tc>
          <w:tcPr>
            <w:tcW w:w="9776" w:type="dxa"/>
            <w:gridSpan w:val="6"/>
          </w:tcPr>
          <w:p w14:paraId="76106668" w14:textId="77777777" w:rsidR="00255EC0" w:rsidRPr="00F41508" w:rsidRDefault="00255EC0" w:rsidP="007A6E29">
            <w:pPr>
              <w:pStyle w:val="Tablefootnote"/>
              <w:spacing w:line="240" w:lineRule="auto"/>
              <w:rPr>
                <w:sz w:val="17"/>
                <w:szCs w:val="17"/>
              </w:rPr>
            </w:pPr>
            <w:r w:rsidRPr="00F41508">
              <w:rPr>
                <w:sz w:val="17"/>
                <w:szCs w:val="17"/>
              </w:rPr>
              <w:t>Note:</w:t>
            </w:r>
            <w:r w:rsidRPr="00F41508">
              <w:rPr>
                <w:sz w:val="17"/>
                <w:szCs w:val="17"/>
              </w:rPr>
              <w:t> </w:t>
            </w:r>
            <w:r w:rsidRPr="00F41508">
              <w:rPr>
                <w:sz w:val="17"/>
                <w:szCs w:val="17"/>
              </w:rPr>
              <w:br/>
            </w:r>
            <w:r w:rsidRPr="00F41508">
              <w:rPr>
                <w:rFonts w:ascii="Wingdings" w:hAnsi="Wingdings" w:cs="Wingdings"/>
                <w:sz w:val="17"/>
                <w:szCs w:val="17"/>
              </w:rPr>
              <w:t>ü</w:t>
            </w:r>
            <w:r w:rsidRPr="00F41508">
              <w:rPr>
                <w:rFonts w:ascii="VIC" w:hAnsi="VIC" w:cs="VIC"/>
                <w:sz w:val="17"/>
                <w:szCs w:val="17"/>
              </w:rPr>
              <w:t xml:space="preserve"> </w:t>
            </w:r>
            <w:r w:rsidRPr="00F41508">
              <w:rPr>
                <w:sz w:val="17"/>
                <w:szCs w:val="17"/>
              </w:rPr>
              <w:t>Performance target achieved or exceeded</w:t>
            </w:r>
            <w:r w:rsidRPr="00F41508">
              <w:rPr>
                <w:sz w:val="17"/>
                <w:szCs w:val="17"/>
              </w:rPr>
              <w:br/>
            </w:r>
            <w:r w:rsidRPr="00F41508">
              <w:rPr>
                <w:rFonts w:ascii="Wingdings 2" w:hAnsi="Wingdings 2" w:cs="Wingdings 2"/>
                <w:sz w:val="17"/>
                <w:szCs w:val="17"/>
              </w:rPr>
              <w:t>™</w:t>
            </w:r>
            <w:r w:rsidRPr="00F41508">
              <w:rPr>
                <w:rFonts w:ascii="VIC" w:hAnsi="VIC" w:cs="VIC"/>
                <w:sz w:val="17"/>
                <w:szCs w:val="17"/>
              </w:rPr>
              <w:t xml:space="preserve"> </w:t>
            </w:r>
            <w:r w:rsidRPr="00F41508">
              <w:rPr>
                <w:sz w:val="17"/>
                <w:szCs w:val="17"/>
              </w:rPr>
              <w:t>Performance target not achieved – within 5 per cent variance</w:t>
            </w:r>
            <w:r w:rsidRPr="00F41508">
              <w:rPr>
                <w:sz w:val="17"/>
                <w:szCs w:val="17"/>
              </w:rPr>
              <w:br/>
            </w:r>
            <w:r w:rsidRPr="00F41508">
              <w:rPr>
                <w:rFonts w:ascii="Wingdings" w:hAnsi="Wingdings" w:cs="Wingdings"/>
                <w:sz w:val="17"/>
                <w:szCs w:val="17"/>
              </w:rPr>
              <w:t>n</w:t>
            </w:r>
            <w:r w:rsidRPr="00F41508">
              <w:rPr>
                <w:sz w:val="17"/>
                <w:szCs w:val="17"/>
              </w:rPr>
              <w:t xml:space="preserve"> Performance target not achieved – exceeds 5 per cent variance</w:t>
            </w:r>
          </w:p>
        </w:tc>
      </w:tr>
    </w:tbl>
    <w:p w14:paraId="18D883C7" w14:textId="77777777" w:rsidR="00255EC0" w:rsidRPr="00255EC0" w:rsidRDefault="00255EC0" w:rsidP="0072291D">
      <w:pPr>
        <w:pStyle w:val="Body"/>
      </w:pPr>
    </w:p>
    <w:p w14:paraId="65A54E79" w14:textId="77777777" w:rsidR="00255EC0" w:rsidRPr="00255EC0" w:rsidRDefault="00255EC0" w:rsidP="0072291D">
      <w:pPr>
        <w:pStyle w:val="Body"/>
      </w:pPr>
      <w:r w:rsidRPr="00255EC0">
        <w:t xml:space="preserve">Table 20 represents performance against the Creative Industries Portfolio Agencies output. This output promotes, presents and preserves the state’s heritage and the creative industries through Victoria’s creative industries agencies: Arts Centre Melbourne, </w:t>
      </w:r>
      <w:proofErr w:type="spellStart"/>
      <w:r w:rsidRPr="00255EC0">
        <w:t>ACMI</w:t>
      </w:r>
      <w:proofErr w:type="spellEnd"/>
      <w:r w:rsidRPr="00255EC0">
        <w:t xml:space="preserve">, Docklands Studios Melbourne, Film Victoria, Geelong Arts Centre, Melbourne Recital Centre, Museums Victoria, </w:t>
      </w:r>
      <w:proofErr w:type="spellStart"/>
      <w:r w:rsidRPr="00255EC0">
        <w:t>NGV</w:t>
      </w:r>
      <w:proofErr w:type="spellEnd"/>
      <w:r w:rsidRPr="00255EC0">
        <w:t xml:space="preserve"> and the State Library Victoria.</w:t>
      </w:r>
    </w:p>
    <w:p w14:paraId="11C057F1" w14:textId="77777777" w:rsidR="00255EC0" w:rsidRPr="00255EC0" w:rsidRDefault="00255EC0" w:rsidP="0072291D">
      <w:pPr>
        <w:pStyle w:val="Heading5"/>
      </w:pPr>
      <w:r w:rsidRPr="00255EC0">
        <w:t>Table 20: Output – Creative Industries Portfolio Agencies</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F41508" w14:paraId="3340A4BA" w14:textId="77777777" w:rsidTr="00E8460A">
        <w:trPr>
          <w:trHeight w:val="113"/>
          <w:tblHeader/>
        </w:trPr>
        <w:tc>
          <w:tcPr>
            <w:tcW w:w="4660" w:type="dxa"/>
          </w:tcPr>
          <w:p w14:paraId="1AFA862E" w14:textId="77777777" w:rsidR="00255EC0" w:rsidRPr="00F41508" w:rsidRDefault="00255EC0" w:rsidP="00F41508">
            <w:pPr>
              <w:pStyle w:val="TableColumnheading"/>
              <w:spacing w:before="40" w:after="40"/>
              <w:rPr>
                <w:sz w:val="19"/>
                <w:szCs w:val="19"/>
              </w:rPr>
            </w:pPr>
            <w:r w:rsidRPr="00F41508">
              <w:rPr>
                <w:sz w:val="19"/>
                <w:szCs w:val="19"/>
              </w:rPr>
              <w:t xml:space="preserve">Performance measures </w:t>
            </w:r>
          </w:p>
        </w:tc>
        <w:tc>
          <w:tcPr>
            <w:tcW w:w="964" w:type="dxa"/>
          </w:tcPr>
          <w:p w14:paraId="17FA4D15" w14:textId="77777777" w:rsidR="00255EC0" w:rsidRPr="00F41508" w:rsidRDefault="00255EC0" w:rsidP="00F41508">
            <w:pPr>
              <w:pStyle w:val="TableColumnheading"/>
              <w:spacing w:before="40" w:after="40"/>
              <w:jc w:val="right"/>
              <w:rPr>
                <w:sz w:val="19"/>
                <w:szCs w:val="19"/>
              </w:rPr>
            </w:pPr>
            <w:r w:rsidRPr="00F41508">
              <w:rPr>
                <w:sz w:val="19"/>
                <w:szCs w:val="19"/>
              </w:rPr>
              <w:t>Unit of measure</w:t>
            </w:r>
          </w:p>
        </w:tc>
        <w:tc>
          <w:tcPr>
            <w:tcW w:w="964" w:type="dxa"/>
          </w:tcPr>
          <w:p w14:paraId="786BE535" w14:textId="77777777" w:rsidR="00255EC0" w:rsidRPr="00F41508" w:rsidRDefault="00255EC0" w:rsidP="00F41508">
            <w:pPr>
              <w:pStyle w:val="TableColumnheading"/>
              <w:spacing w:before="40" w:after="40"/>
              <w:jc w:val="right"/>
              <w:rPr>
                <w:sz w:val="19"/>
                <w:szCs w:val="19"/>
              </w:rPr>
            </w:pPr>
            <w:r w:rsidRPr="00F41508">
              <w:rPr>
                <w:sz w:val="19"/>
                <w:szCs w:val="19"/>
              </w:rPr>
              <w:t>2019–20 actual</w:t>
            </w:r>
          </w:p>
        </w:tc>
        <w:tc>
          <w:tcPr>
            <w:tcW w:w="963" w:type="dxa"/>
          </w:tcPr>
          <w:p w14:paraId="5E452680" w14:textId="77777777" w:rsidR="00255EC0" w:rsidRPr="00F41508" w:rsidRDefault="00255EC0" w:rsidP="00F41508">
            <w:pPr>
              <w:pStyle w:val="TableColumnheading"/>
              <w:spacing w:before="40" w:after="40"/>
              <w:jc w:val="right"/>
              <w:rPr>
                <w:sz w:val="19"/>
                <w:szCs w:val="19"/>
              </w:rPr>
            </w:pPr>
            <w:r w:rsidRPr="00F41508">
              <w:rPr>
                <w:sz w:val="19"/>
                <w:szCs w:val="19"/>
              </w:rPr>
              <w:t>2019–20 target</w:t>
            </w:r>
          </w:p>
        </w:tc>
        <w:tc>
          <w:tcPr>
            <w:tcW w:w="1375" w:type="dxa"/>
          </w:tcPr>
          <w:p w14:paraId="1DE2ED45" w14:textId="77777777" w:rsidR="00255EC0" w:rsidRPr="00F41508" w:rsidRDefault="00255EC0" w:rsidP="00F41508">
            <w:pPr>
              <w:pStyle w:val="TableColumnheading"/>
              <w:spacing w:before="40" w:after="40"/>
              <w:jc w:val="right"/>
              <w:rPr>
                <w:sz w:val="19"/>
                <w:szCs w:val="19"/>
              </w:rPr>
            </w:pPr>
            <w:r w:rsidRPr="00F41508">
              <w:rPr>
                <w:sz w:val="19"/>
                <w:szCs w:val="19"/>
              </w:rPr>
              <w:t xml:space="preserve">Performance variation (%) </w:t>
            </w:r>
          </w:p>
        </w:tc>
        <w:tc>
          <w:tcPr>
            <w:tcW w:w="850" w:type="dxa"/>
          </w:tcPr>
          <w:p w14:paraId="25B531B5" w14:textId="77777777" w:rsidR="00255EC0" w:rsidRPr="00F41508" w:rsidRDefault="00255EC0" w:rsidP="00F41508">
            <w:pPr>
              <w:pStyle w:val="TableColumnheading"/>
              <w:spacing w:before="40" w:after="40"/>
              <w:jc w:val="right"/>
              <w:rPr>
                <w:sz w:val="19"/>
                <w:szCs w:val="19"/>
              </w:rPr>
            </w:pPr>
            <w:r w:rsidRPr="00F41508">
              <w:rPr>
                <w:sz w:val="19"/>
                <w:szCs w:val="19"/>
              </w:rPr>
              <w:t xml:space="preserve">Result </w:t>
            </w:r>
          </w:p>
        </w:tc>
      </w:tr>
      <w:tr w:rsidR="00255EC0" w:rsidRPr="00F41508" w14:paraId="5563BBA3" w14:textId="77777777" w:rsidTr="00E8460A">
        <w:trPr>
          <w:trHeight w:val="113"/>
        </w:trPr>
        <w:tc>
          <w:tcPr>
            <w:tcW w:w="9776" w:type="dxa"/>
            <w:gridSpan w:val="6"/>
          </w:tcPr>
          <w:p w14:paraId="51FC4158" w14:textId="77777777" w:rsidR="00255EC0" w:rsidRPr="00F41508" w:rsidRDefault="00255EC0" w:rsidP="0072291D">
            <w:pPr>
              <w:pStyle w:val="Tabletextnospace"/>
              <w:rPr>
                <w:b/>
                <w:bCs/>
                <w:sz w:val="19"/>
                <w:szCs w:val="19"/>
              </w:rPr>
            </w:pPr>
            <w:r w:rsidRPr="00F41508">
              <w:rPr>
                <w:b/>
                <w:bCs/>
                <w:sz w:val="19"/>
                <w:szCs w:val="19"/>
              </w:rPr>
              <w:t>Quantity</w:t>
            </w:r>
          </w:p>
        </w:tc>
      </w:tr>
      <w:tr w:rsidR="00255EC0" w:rsidRPr="00F41508" w14:paraId="33BD5D61" w14:textId="77777777" w:rsidTr="00E8460A">
        <w:trPr>
          <w:trHeight w:val="113"/>
        </w:trPr>
        <w:tc>
          <w:tcPr>
            <w:tcW w:w="4660" w:type="dxa"/>
          </w:tcPr>
          <w:p w14:paraId="6E2240EA" w14:textId="66D69A96" w:rsidR="00255EC0" w:rsidRPr="00F41508" w:rsidRDefault="00255EC0" w:rsidP="0072291D">
            <w:pPr>
              <w:pStyle w:val="Tabletextnospace"/>
              <w:rPr>
                <w:sz w:val="19"/>
                <w:szCs w:val="19"/>
              </w:rPr>
            </w:pPr>
            <w:r w:rsidRPr="00F41508">
              <w:rPr>
                <w:sz w:val="19"/>
                <w:szCs w:val="19"/>
              </w:rPr>
              <w:t>Additional employment from production supported</w:t>
            </w:r>
            <w:r w:rsidR="00F41508" w:rsidRPr="00F41508">
              <w:rPr>
                <w:sz w:val="19"/>
                <w:szCs w:val="19"/>
              </w:rPr>
              <w:t xml:space="preserve"> </w:t>
            </w:r>
            <w:r w:rsidRPr="00F41508">
              <w:rPr>
                <w:sz w:val="19"/>
                <w:szCs w:val="19"/>
              </w:rPr>
              <w:t>by Film Victoria</w:t>
            </w:r>
          </w:p>
        </w:tc>
        <w:tc>
          <w:tcPr>
            <w:tcW w:w="964" w:type="dxa"/>
          </w:tcPr>
          <w:p w14:paraId="33215602" w14:textId="77777777" w:rsidR="00255EC0" w:rsidRPr="00F41508" w:rsidRDefault="00255EC0" w:rsidP="0072291D">
            <w:pPr>
              <w:pStyle w:val="Tabletextnospace"/>
              <w:jc w:val="right"/>
              <w:rPr>
                <w:sz w:val="19"/>
                <w:szCs w:val="19"/>
              </w:rPr>
            </w:pPr>
            <w:r w:rsidRPr="00F41508">
              <w:rPr>
                <w:sz w:val="19"/>
                <w:szCs w:val="19"/>
              </w:rPr>
              <w:t>number</w:t>
            </w:r>
          </w:p>
        </w:tc>
        <w:tc>
          <w:tcPr>
            <w:tcW w:w="964" w:type="dxa"/>
          </w:tcPr>
          <w:p w14:paraId="20ED4E17" w14:textId="77777777" w:rsidR="00255EC0" w:rsidRPr="00F41508" w:rsidRDefault="00255EC0" w:rsidP="0072291D">
            <w:pPr>
              <w:pStyle w:val="Tabletextnospace"/>
              <w:jc w:val="right"/>
              <w:rPr>
                <w:sz w:val="19"/>
                <w:szCs w:val="19"/>
              </w:rPr>
            </w:pPr>
            <w:r w:rsidRPr="00F41508">
              <w:rPr>
                <w:sz w:val="19"/>
                <w:szCs w:val="19"/>
              </w:rPr>
              <w:t>4140</w:t>
            </w:r>
          </w:p>
        </w:tc>
        <w:tc>
          <w:tcPr>
            <w:tcW w:w="963" w:type="dxa"/>
          </w:tcPr>
          <w:p w14:paraId="4AD98725" w14:textId="77777777" w:rsidR="00255EC0" w:rsidRPr="00F41508" w:rsidRDefault="00255EC0" w:rsidP="0072291D">
            <w:pPr>
              <w:pStyle w:val="Tabletextnospace"/>
              <w:jc w:val="right"/>
              <w:rPr>
                <w:sz w:val="19"/>
                <w:szCs w:val="19"/>
              </w:rPr>
            </w:pPr>
            <w:r w:rsidRPr="00F41508">
              <w:rPr>
                <w:sz w:val="19"/>
                <w:szCs w:val="19"/>
              </w:rPr>
              <w:t>6740</w:t>
            </w:r>
          </w:p>
        </w:tc>
        <w:tc>
          <w:tcPr>
            <w:tcW w:w="1375" w:type="dxa"/>
          </w:tcPr>
          <w:p w14:paraId="16227887" w14:textId="77777777" w:rsidR="00255EC0" w:rsidRPr="00F41508" w:rsidRDefault="00255EC0" w:rsidP="0072291D">
            <w:pPr>
              <w:pStyle w:val="Tabletextnospace"/>
              <w:jc w:val="right"/>
              <w:rPr>
                <w:sz w:val="19"/>
                <w:szCs w:val="19"/>
              </w:rPr>
            </w:pPr>
            <w:r w:rsidRPr="00F41508">
              <w:rPr>
                <w:sz w:val="19"/>
                <w:szCs w:val="19"/>
              </w:rPr>
              <w:t>-38.6%</w:t>
            </w:r>
          </w:p>
        </w:tc>
        <w:tc>
          <w:tcPr>
            <w:tcW w:w="850" w:type="dxa"/>
          </w:tcPr>
          <w:p w14:paraId="43767D9A"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53BB7C11" w14:textId="77777777" w:rsidTr="00E8460A">
        <w:trPr>
          <w:trHeight w:val="113"/>
        </w:trPr>
        <w:tc>
          <w:tcPr>
            <w:tcW w:w="9776" w:type="dxa"/>
            <w:gridSpan w:val="6"/>
          </w:tcPr>
          <w:p w14:paraId="02B42351" w14:textId="77777777" w:rsidR="00255EC0" w:rsidRPr="00F41508" w:rsidRDefault="00255EC0" w:rsidP="0072291D">
            <w:pPr>
              <w:pStyle w:val="Tabletextnospace"/>
              <w:rPr>
                <w:i/>
                <w:iCs/>
                <w:sz w:val="19"/>
                <w:szCs w:val="19"/>
              </w:rPr>
            </w:pPr>
            <w:r w:rsidRPr="00F41508">
              <w:rPr>
                <w:i/>
                <w:iCs/>
                <w:sz w:val="19"/>
                <w:szCs w:val="19"/>
              </w:rPr>
              <w:t xml:space="preserve">Lower result due to the impact of coronavirus (COVID-19) with many productions unable to commence. </w:t>
            </w:r>
          </w:p>
        </w:tc>
      </w:tr>
      <w:tr w:rsidR="00255EC0" w:rsidRPr="00F41508" w14:paraId="15AC92F0" w14:textId="77777777" w:rsidTr="00E8460A">
        <w:trPr>
          <w:trHeight w:val="113"/>
        </w:trPr>
        <w:tc>
          <w:tcPr>
            <w:tcW w:w="4660" w:type="dxa"/>
          </w:tcPr>
          <w:p w14:paraId="5A93875F" w14:textId="77777777" w:rsidR="00255EC0" w:rsidRPr="00F41508" w:rsidRDefault="00255EC0" w:rsidP="0072291D">
            <w:pPr>
              <w:pStyle w:val="Tabletextnospace"/>
              <w:rPr>
                <w:sz w:val="19"/>
                <w:szCs w:val="19"/>
              </w:rPr>
            </w:pPr>
            <w:r w:rsidRPr="00F41508">
              <w:rPr>
                <w:sz w:val="19"/>
                <w:szCs w:val="19"/>
              </w:rPr>
              <w:t>Agency website visitation</w:t>
            </w:r>
          </w:p>
        </w:tc>
        <w:tc>
          <w:tcPr>
            <w:tcW w:w="964" w:type="dxa"/>
          </w:tcPr>
          <w:p w14:paraId="68BD2745"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3B986127" w14:textId="77777777" w:rsidR="00255EC0" w:rsidRPr="00F41508" w:rsidRDefault="00255EC0" w:rsidP="0072291D">
            <w:pPr>
              <w:pStyle w:val="Tabletextnospace"/>
              <w:jc w:val="right"/>
              <w:rPr>
                <w:sz w:val="19"/>
                <w:szCs w:val="19"/>
              </w:rPr>
            </w:pPr>
            <w:r w:rsidRPr="00F41508">
              <w:rPr>
                <w:sz w:val="19"/>
                <w:szCs w:val="19"/>
              </w:rPr>
              <w:t>21,365</w:t>
            </w:r>
          </w:p>
        </w:tc>
        <w:tc>
          <w:tcPr>
            <w:tcW w:w="963" w:type="dxa"/>
          </w:tcPr>
          <w:p w14:paraId="5FD3DBE6" w14:textId="77777777" w:rsidR="00255EC0" w:rsidRPr="00F41508" w:rsidRDefault="00255EC0" w:rsidP="0072291D">
            <w:pPr>
              <w:pStyle w:val="Tabletextnospace"/>
              <w:jc w:val="right"/>
              <w:rPr>
                <w:sz w:val="19"/>
                <w:szCs w:val="19"/>
              </w:rPr>
            </w:pPr>
            <w:r w:rsidRPr="00F41508">
              <w:rPr>
                <w:sz w:val="19"/>
                <w:szCs w:val="19"/>
              </w:rPr>
              <w:t>21,200</w:t>
            </w:r>
          </w:p>
        </w:tc>
        <w:tc>
          <w:tcPr>
            <w:tcW w:w="1375" w:type="dxa"/>
          </w:tcPr>
          <w:p w14:paraId="5DA7F260" w14:textId="77777777" w:rsidR="00255EC0" w:rsidRPr="00F41508" w:rsidRDefault="00255EC0" w:rsidP="0072291D">
            <w:pPr>
              <w:pStyle w:val="Tabletextnospace"/>
              <w:jc w:val="right"/>
              <w:rPr>
                <w:sz w:val="19"/>
                <w:szCs w:val="19"/>
              </w:rPr>
            </w:pPr>
            <w:r w:rsidRPr="00F41508">
              <w:rPr>
                <w:sz w:val="19"/>
                <w:szCs w:val="19"/>
              </w:rPr>
              <w:t>0.8%</w:t>
            </w:r>
          </w:p>
        </w:tc>
        <w:tc>
          <w:tcPr>
            <w:tcW w:w="850" w:type="dxa"/>
          </w:tcPr>
          <w:p w14:paraId="0F0A3554"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21799018" w14:textId="77777777" w:rsidTr="00E8460A">
        <w:trPr>
          <w:trHeight w:val="113"/>
        </w:trPr>
        <w:tc>
          <w:tcPr>
            <w:tcW w:w="4660" w:type="dxa"/>
          </w:tcPr>
          <w:p w14:paraId="188DB63D" w14:textId="77777777" w:rsidR="00255EC0" w:rsidRPr="00F41508" w:rsidRDefault="00255EC0" w:rsidP="0072291D">
            <w:pPr>
              <w:pStyle w:val="Tabletextnospace"/>
              <w:rPr>
                <w:sz w:val="19"/>
                <w:szCs w:val="19"/>
              </w:rPr>
            </w:pPr>
            <w:r w:rsidRPr="00F41508">
              <w:rPr>
                <w:sz w:val="19"/>
                <w:szCs w:val="19"/>
              </w:rPr>
              <w:t>Members and friends of agencies</w:t>
            </w:r>
          </w:p>
        </w:tc>
        <w:tc>
          <w:tcPr>
            <w:tcW w:w="964" w:type="dxa"/>
          </w:tcPr>
          <w:p w14:paraId="0F950CB8" w14:textId="77777777" w:rsidR="00255EC0" w:rsidRPr="00F41508" w:rsidRDefault="00255EC0" w:rsidP="0072291D">
            <w:pPr>
              <w:pStyle w:val="Tabletextnospace"/>
              <w:jc w:val="right"/>
              <w:rPr>
                <w:sz w:val="19"/>
                <w:szCs w:val="19"/>
              </w:rPr>
            </w:pPr>
            <w:r w:rsidRPr="00F41508">
              <w:rPr>
                <w:sz w:val="19"/>
                <w:szCs w:val="19"/>
              </w:rPr>
              <w:t>number</w:t>
            </w:r>
          </w:p>
        </w:tc>
        <w:tc>
          <w:tcPr>
            <w:tcW w:w="964" w:type="dxa"/>
          </w:tcPr>
          <w:p w14:paraId="6415980D" w14:textId="77777777" w:rsidR="00255EC0" w:rsidRPr="00F41508" w:rsidRDefault="00255EC0" w:rsidP="0072291D">
            <w:pPr>
              <w:pStyle w:val="Tabletextnospace"/>
              <w:jc w:val="right"/>
              <w:rPr>
                <w:sz w:val="19"/>
                <w:szCs w:val="19"/>
              </w:rPr>
            </w:pPr>
            <w:r w:rsidRPr="00F41508">
              <w:rPr>
                <w:sz w:val="19"/>
                <w:szCs w:val="19"/>
              </w:rPr>
              <w:t>57,495</w:t>
            </w:r>
          </w:p>
        </w:tc>
        <w:tc>
          <w:tcPr>
            <w:tcW w:w="963" w:type="dxa"/>
          </w:tcPr>
          <w:p w14:paraId="2B77272E" w14:textId="77777777" w:rsidR="00255EC0" w:rsidRPr="00F41508" w:rsidRDefault="00255EC0" w:rsidP="0072291D">
            <w:pPr>
              <w:pStyle w:val="Tabletextnospace"/>
              <w:jc w:val="right"/>
              <w:rPr>
                <w:sz w:val="19"/>
                <w:szCs w:val="19"/>
              </w:rPr>
            </w:pPr>
            <w:r w:rsidRPr="00F41508">
              <w:rPr>
                <w:sz w:val="19"/>
                <w:szCs w:val="19"/>
              </w:rPr>
              <w:t>57,000</w:t>
            </w:r>
          </w:p>
        </w:tc>
        <w:tc>
          <w:tcPr>
            <w:tcW w:w="1375" w:type="dxa"/>
          </w:tcPr>
          <w:p w14:paraId="1526DE3D" w14:textId="77777777" w:rsidR="00255EC0" w:rsidRPr="00F41508" w:rsidRDefault="00255EC0" w:rsidP="0072291D">
            <w:pPr>
              <w:pStyle w:val="Tabletextnospace"/>
              <w:jc w:val="right"/>
              <w:rPr>
                <w:sz w:val="19"/>
                <w:szCs w:val="19"/>
              </w:rPr>
            </w:pPr>
            <w:r w:rsidRPr="00F41508">
              <w:rPr>
                <w:sz w:val="19"/>
                <w:szCs w:val="19"/>
              </w:rPr>
              <w:t>0.9%</w:t>
            </w:r>
          </w:p>
        </w:tc>
        <w:tc>
          <w:tcPr>
            <w:tcW w:w="850" w:type="dxa"/>
          </w:tcPr>
          <w:p w14:paraId="0F288B6D"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0DF65A9C" w14:textId="77777777" w:rsidTr="00E8460A">
        <w:trPr>
          <w:trHeight w:val="113"/>
        </w:trPr>
        <w:tc>
          <w:tcPr>
            <w:tcW w:w="4660" w:type="dxa"/>
          </w:tcPr>
          <w:p w14:paraId="4F99A4BC" w14:textId="77777777" w:rsidR="00255EC0" w:rsidRPr="00F41508" w:rsidRDefault="00255EC0" w:rsidP="0072291D">
            <w:pPr>
              <w:pStyle w:val="Tabletextnospace"/>
              <w:rPr>
                <w:sz w:val="19"/>
                <w:szCs w:val="19"/>
              </w:rPr>
            </w:pPr>
            <w:r w:rsidRPr="00F41508">
              <w:rPr>
                <w:sz w:val="19"/>
                <w:szCs w:val="19"/>
              </w:rPr>
              <w:t>Students participating in agency education programs</w:t>
            </w:r>
          </w:p>
        </w:tc>
        <w:tc>
          <w:tcPr>
            <w:tcW w:w="964" w:type="dxa"/>
          </w:tcPr>
          <w:p w14:paraId="5451AD18" w14:textId="77777777" w:rsidR="00255EC0" w:rsidRPr="00F41508" w:rsidRDefault="00255EC0" w:rsidP="0072291D">
            <w:pPr>
              <w:pStyle w:val="Tabletextnospace"/>
              <w:jc w:val="right"/>
              <w:rPr>
                <w:sz w:val="19"/>
                <w:szCs w:val="19"/>
              </w:rPr>
            </w:pPr>
            <w:r w:rsidRPr="00F41508">
              <w:rPr>
                <w:sz w:val="19"/>
                <w:szCs w:val="19"/>
              </w:rPr>
              <w:t>number</w:t>
            </w:r>
          </w:p>
        </w:tc>
        <w:tc>
          <w:tcPr>
            <w:tcW w:w="964" w:type="dxa"/>
          </w:tcPr>
          <w:p w14:paraId="5C6A41AA" w14:textId="77777777" w:rsidR="00255EC0" w:rsidRPr="00F41508" w:rsidRDefault="00255EC0" w:rsidP="0072291D">
            <w:pPr>
              <w:pStyle w:val="Tabletextnospace"/>
              <w:jc w:val="right"/>
              <w:rPr>
                <w:sz w:val="19"/>
                <w:szCs w:val="19"/>
              </w:rPr>
            </w:pPr>
            <w:r w:rsidRPr="00F41508">
              <w:rPr>
                <w:sz w:val="19"/>
                <w:szCs w:val="19"/>
              </w:rPr>
              <w:t>343,763</w:t>
            </w:r>
          </w:p>
        </w:tc>
        <w:tc>
          <w:tcPr>
            <w:tcW w:w="963" w:type="dxa"/>
          </w:tcPr>
          <w:p w14:paraId="73660FB0" w14:textId="77777777" w:rsidR="00255EC0" w:rsidRPr="00F41508" w:rsidRDefault="00255EC0" w:rsidP="0072291D">
            <w:pPr>
              <w:pStyle w:val="Tabletextnospace"/>
              <w:jc w:val="right"/>
              <w:rPr>
                <w:sz w:val="19"/>
                <w:szCs w:val="19"/>
              </w:rPr>
            </w:pPr>
            <w:r w:rsidRPr="00F41508">
              <w:rPr>
                <w:sz w:val="19"/>
                <w:szCs w:val="19"/>
              </w:rPr>
              <w:t>550,000</w:t>
            </w:r>
          </w:p>
        </w:tc>
        <w:tc>
          <w:tcPr>
            <w:tcW w:w="1375" w:type="dxa"/>
          </w:tcPr>
          <w:p w14:paraId="2D74D996" w14:textId="77777777" w:rsidR="00255EC0" w:rsidRPr="00F41508" w:rsidRDefault="00255EC0" w:rsidP="0072291D">
            <w:pPr>
              <w:pStyle w:val="Tabletextnospace"/>
              <w:jc w:val="right"/>
              <w:rPr>
                <w:sz w:val="19"/>
                <w:szCs w:val="19"/>
              </w:rPr>
            </w:pPr>
            <w:r w:rsidRPr="00F41508">
              <w:rPr>
                <w:sz w:val="19"/>
                <w:szCs w:val="19"/>
              </w:rPr>
              <w:t>-37.5%</w:t>
            </w:r>
          </w:p>
        </w:tc>
        <w:tc>
          <w:tcPr>
            <w:tcW w:w="850" w:type="dxa"/>
          </w:tcPr>
          <w:p w14:paraId="76CC12B3"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517CD506" w14:textId="77777777" w:rsidTr="00E8460A">
        <w:trPr>
          <w:trHeight w:val="113"/>
        </w:trPr>
        <w:tc>
          <w:tcPr>
            <w:tcW w:w="9776" w:type="dxa"/>
            <w:gridSpan w:val="6"/>
          </w:tcPr>
          <w:p w14:paraId="3EFED6A2" w14:textId="77777777" w:rsidR="00255EC0" w:rsidRPr="00F41508" w:rsidRDefault="00255EC0" w:rsidP="0072291D">
            <w:pPr>
              <w:pStyle w:val="Tabletextnospace"/>
              <w:rPr>
                <w:i/>
                <w:iCs/>
                <w:sz w:val="19"/>
                <w:szCs w:val="19"/>
              </w:rPr>
            </w:pPr>
            <w:r w:rsidRPr="00F41508">
              <w:rPr>
                <w:i/>
                <w:iCs/>
                <w:sz w:val="19"/>
                <w:szCs w:val="19"/>
              </w:rPr>
              <w:t xml:space="preserve">Lower result due to the impact of coronavirus (COVID-19) which meant school groups were unable to attend various education programs hosted by agencies. </w:t>
            </w:r>
          </w:p>
        </w:tc>
      </w:tr>
      <w:tr w:rsidR="00255EC0" w:rsidRPr="00F41508" w14:paraId="7080EDD8" w14:textId="77777777" w:rsidTr="00E8460A">
        <w:trPr>
          <w:trHeight w:val="113"/>
        </w:trPr>
        <w:tc>
          <w:tcPr>
            <w:tcW w:w="4660" w:type="dxa"/>
          </w:tcPr>
          <w:p w14:paraId="3D052EA8" w14:textId="77777777" w:rsidR="00255EC0" w:rsidRPr="00F41508" w:rsidRDefault="00255EC0" w:rsidP="0072291D">
            <w:pPr>
              <w:pStyle w:val="Tabletextnospace"/>
              <w:rPr>
                <w:sz w:val="19"/>
                <w:szCs w:val="19"/>
              </w:rPr>
            </w:pPr>
            <w:r w:rsidRPr="00F41508">
              <w:rPr>
                <w:sz w:val="19"/>
                <w:szCs w:val="19"/>
              </w:rPr>
              <w:t>Users/attendances at Arts Centre Melbourne</w:t>
            </w:r>
          </w:p>
        </w:tc>
        <w:tc>
          <w:tcPr>
            <w:tcW w:w="964" w:type="dxa"/>
          </w:tcPr>
          <w:p w14:paraId="0ADBB6F4"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2A0672E7" w14:textId="77777777" w:rsidR="00255EC0" w:rsidRPr="00F41508" w:rsidRDefault="00255EC0" w:rsidP="0072291D">
            <w:pPr>
              <w:pStyle w:val="Tabletextnospace"/>
              <w:jc w:val="right"/>
              <w:rPr>
                <w:sz w:val="19"/>
                <w:szCs w:val="19"/>
              </w:rPr>
            </w:pPr>
            <w:r w:rsidRPr="00F41508">
              <w:rPr>
                <w:sz w:val="19"/>
                <w:szCs w:val="19"/>
              </w:rPr>
              <w:t>2048</w:t>
            </w:r>
          </w:p>
        </w:tc>
        <w:tc>
          <w:tcPr>
            <w:tcW w:w="963" w:type="dxa"/>
          </w:tcPr>
          <w:p w14:paraId="5472CD9A" w14:textId="77777777" w:rsidR="00255EC0" w:rsidRPr="00F41508" w:rsidRDefault="00255EC0" w:rsidP="0072291D">
            <w:pPr>
              <w:pStyle w:val="Tabletextnospace"/>
              <w:jc w:val="right"/>
              <w:rPr>
                <w:sz w:val="19"/>
                <w:szCs w:val="19"/>
              </w:rPr>
            </w:pPr>
            <w:r w:rsidRPr="00F41508">
              <w:rPr>
                <w:sz w:val="19"/>
                <w:szCs w:val="19"/>
              </w:rPr>
              <w:t>2800</w:t>
            </w:r>
          </w:p>
        </w:tc>
        <w:tc>
          <w:tcPr>
            <w:tcW w:w="1375" w:type="dxa"/>
          </w:tcPr>
          <w:p w14:paraId="534663F0" w14:textId="77777777" w:rsidR="00255EC0" w:rsidRPr="00F41508" w:rsidRDefault="00255EC0" w:rsidP="0072291D">
            <w:pPr>
              <w:pStyle w:val="Tabletextnospace"/>
              <w:jc w:val="right"/>
              <w:rPr>
                <w:sz w:val="19"/>
                <w:szCs w:val="19"/>
              </w:rPr>
            </w:pPr>
            <w:r w:rsidRPr="00F41508">
              <w:rPr>
                <w:sz w:val="19"/>
                <w:szCs w:val="19"/>
              </w:rPr>
              <w:t>-26.9%</w:t>
            </w:r>
          </w:p>
        </w:tc>
        <w:tc>
          <w:tcPr>
            <w:tcW w:w="850" w:type="dxa"/>
          </w:tcPr>
          <w:p w14:paraId="4E74C39B"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09E91FED" w14:textId="77777777" w:rsidTr="00E8460A">
        <w:trPr>
          <w:trHeight w:val="113"/>
        </w:trPr>
        <w:tc>
          <w:tcPr>
            <w:tcW w:w="9776" w:type="dxa"/>
            <w:gridSpan w:val="6"/>
          </w:tcPr>
          <w:p w14:paraId="1D315DD3"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36D9D131" w14:textId="77777777" w:rsidTr="00E8460A">
        <w:trPr>
          <w:trHeight w:val="113"/>
        </w:trPr>
        <w:tc>
          <w:tcPr>
            <w:tcW w:w="4660" w:type="dxa"/>
          </w:tcPr>
          <w:p w14:paraId="4F7A8A62" w14:textId="05F303BE" w:rsidR="00255EC0" w:rsidRPr="00F41508" w:rsidRDefault="00255EC0" w:rsidP="0072291D">
            <w:pPr>
              <w:pStyle w:val="Tabletextnospace"/>
              <w:rPr>
                <w:sz w:val="19"/>
                <w:szCs w:val="19"/>
              </w:rPr>
            </w:pPr>
            <w:r w:rsidRPr="00F41508">
              <w:rPr>
                <w:sz w:val="19"/>
                <w:szCs w:val="19"/>
              </w:rPr>
              <w:t>Users/attendances at Australian Centre</w:t>
            </w:r>
            <w:r w:rsidR="00F41508">
              <w:rPr>
                <w:sz w:val="19"/>
                <w:szCs w:val="19"/>
              </w:rPr>
              <w:t xml:space="preserve"> </w:t>
            </w:r>
            <w:r w:rsidRPr="00F41508">
              <w:rPr>
                <w:sz w:val="19"/>
                <w:szCs w:val="19"/>
              </w:rPr>
              <w:t>for the Moving image</w:t>
            </w:r>
          </w:p>
        </w:tc>
        <w:tc>
          <w:tcPr>
            <w:tcW w:w="964" w:type="dxa"/>
          </w:tcPr>
          <w:p w14:paraId="2B1BAFCA"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60339838" w14:textId="77777777" w:rsidR="00255EC0" w:rsidRPr="00F41508" w:rsidRDefault="00255EC0" w:rsidP="0072291D">
            <w:pPr>
              <w:pStyle w:val="Tabletextnospace"/>
              <w:jc w:val="right"/>
              <w:rPr>
                <w:sz w:val="19"/>
                <w:szCs w:val="19"/>
              </w:rPr>
            </w:pPr>
            <w:r w:rsidRPr="00F41508">
              <w:rPr>
                <w:sz w:val="19"/>
                <w:szCs w:val="19"/>
              </w:rPr>
              <w:t>674</w:t>
            </w:r>
          </w:p>
        </w:tc>
        <w:tc>
          <w:tcPr>
            <w:tcW w:w="963" w:type="dxa"/>
          </w:tcPr>
          <w:p w14:paraId="36639341" w14:textId="77777777" w:rsidR="00255EC0" w:rsidRPr="00F41508" w:rsidRDefault="00255EC0" w:rsidP="0072291D">
            <w:pPr>
              <w:pStyle w:val="Tabletextnospace"/>
              <w:jc w:val="right"/>
              <w:rPr>
                <w:sz w:val="19"/>
                <w:szCs w:val="19"/>
              </w:rPr>
            </w:pPr>
            <w:r w:rsidRPr="00F41508">
              <w:rPr>
                <w:sz w:val="19"/>
                <w:szCs w:val="19"/>
              </w:rPr>
              <w:t>800</w:t>
            </w:r>
          </w:p>
        </w:tc>
        <w:tc>
          <w:tcPr>
            <w:tcW w:w="1375" w:type="dxa"/>
          </w:tcPr>
          <w:p w14:paraId="25150892" w14:textId="77777777" w:rsidR="00255EC0" w:rsidRPr="00F41508" w:rsidRDefault="00255EC0" w:rsidP="0072291D">
            <w:pPr>
              <w:pStyle w:val="Tabletextnospace"/>
              <w:jc w:val="right"/>
              <w:rPr>
                <w:sz w:val="19"/>
                <w:szCs w:val="19"/>
              </w:rPr>
            </w:pPr>
            <w:r w:rsidRPr="00F41508">
              <w:rPr>
                <w:sz w:val="19"/>
                <w:szCs w:val="19"/>
              </w:rPr>
              <w:t>-15.8%</w:t>
            </w:r>
          </w:p>
        </w:tc>
        <w:tc>
          <w:tcPr>
            <w:tcW w:w="850" w:type="dxa"/>
          </w:tcPr>
          <w:p w14:paraId="32F6885B"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402A4A37" w14:textId="77777777" w:rsidTr="00E8460A">
        <w:trPr>
          <w:trHeight w:val="113"/>
        </w:trPr>
        <w:tc>
          <w:tcPr>
            <w:tcW w:w="9776" w:type="dxa"/>
            <w:gridSpan w:val="6"/>
          </w:tcPr>
          <w:p w14:paraId="5D3B1F3D"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37FE97F3" w14:textId="77777777" w:rsidTr="00E8460A">
        <w:trPr>
          <w:trHeight w:val="113"/>
        </w:trPr>
        <w:tc>
          <w:tcPr>
            <w:tcW w:w="4660" w:type="dxa"/>
          </w:tcPr>
          <w:p w14:paraId="316DFEC4" w14:textId="77777777" w:rsidR="00255EC0" w:rsidRPr="00F41508" w:rsidRDefault="00255EC0" w:rsidP="0072291D">
            <w:pPr>
              <w:pStyle w:val="Tabletextnospace"/>
              <w:rPr>
                <w:sz w:val="19"/>
                <w:szCs w:val="19"/>
              </w:rPr>
            </w:pPr>
            <w:r w:rsidRPr="00F41508">
              <w:rPr>
                <w:sz w:val="19"/>
                <w:szCs w:val="19"/>
              </w:rPr>
              <w:t>Users/attendances at Geelong Arts Centre</w:t>
            </w:r>
          </w:p>
        </w:tc>
        <w:tc>
          <w:tcPr>
            <w:tcW w:w="964" w:type="dxa"/>
          </w:tcPr>
          <w:p w14:paraId="63D3766C"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4273098A" w14:textId="77777777" w:rsidR="00255EC0" w:rsidRPr="00F41508" w:rsidRDefault="00255EC0" w:rsidP="0072291D">
            <w:pPr>
              <w:pStyle w:val="Tabletextnospace"/>
              <w:jc w:val="right"/>
              <w:rPr>
                <w:sz w:val="19"/>
                <w:szCs w:val="19"/>
              </w:rPr>
            </w:pPr>
            <w:r w:rsidRPr="00F41508">
              <w:rPr>
                <w:sz w:val="19"/>
                <w:szCs w:val="19"/>
              </w:rPr>
              <w:t>153</w:t>
            </w:r>
          </w:p>
        </w:tc>
        <w:tc>
          <w:tcPr>
            <w:tcW w:w="963" w:type="dxa"/>
          </w:tcPr>
          <w:p w14:paraId="5241DA15" w14:textId="77777777" w:rsidR="00255EC0" w:rsidRPr="00F41508" w:rsidRDefault="00255EC0" w:rsidP="0072291D">
            <w:pPr>
              <w:pStyle w:val="Tabletextnospace"/>
              <w:jc w:val="right"/>
              <w:rPr>
                <w:sz w:val="19"/>
                <w:szCs w:val="19"/>
              </w:rPr>
            </w:pPr>
            <w:r w:rsidRPr="00F41508">
              <w:rPr>
                <w:sz w:val="19"/>
                <w:szCs w:val="19"/>
              </w:rPr>
              <w:t>185</w:t>
            </w:r>
          </w:p>
        </w:tc>
        <w:tc>
          <w:tcPr>
            <w:tcW w:w="1375" w:type="dxa"/>
          </w:tcPr>
          <w:p w14:paraId="4358477F" w14:textId="77777777" w:rsidR="00255EC0" w:rsidRPr="00F41508" w:rsidRDefault="00255EC0" w:rsidP="0072291D">
            <w:pPr>
              <w:pStyle w:val="Tabletextnospace"/>
              <w:jc w:val="right"/>
              <w:rPr>
                <w:sz w:val="19"/>
                <w:szCs w:val="19"/>
              </w:rPr>
            </w:pPr>
            <w:r w:rsidRPr="00F41508">
              <w:rPr>
                <w:sz w:val="19"/>
                <w:szCs w:val="19"/>
              </w:rPr>
              <w:t>-17.3%</w:t>
            </w:r>
          </w:p>
        </w:tc>
        <w:tc>
          <w:tcPr>
            <w:tcW w:w="850" w:type="dxa"/>
          </w:tcPr>
          <w:p w14:paraId="2CBBB43F"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5EF35026" w14:textId="77777777" w:rsidTr="00E8460A">
        <w:trPr>
          <w:trHeight w:val="113"/>
        </w:trPr>
        <w:tc>
          <w:tcPr>
            <w:tcW w:w="9776" w:type="dxa"/>
            <w:gridSpan w:val="6"/>
          </w:tcPr>
          <w:p w14:paraId="3D180E8F"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1FB344F9" w14:textId="77777777" w:rsidTr="00E8460A">
        <w:trPr>
          <w:trHeight w:val="113"/>
        </w:trPr>
        <w:tc>
          <w:tcPr>
            <w:tcW w:w="4660" w:type="dxa"/>
          </w:tcPr>
          <w:p w14:paraId="3756B798" w14:textId="77777777" w:rsidR="00255EC0" w:rsidRPr="00F41508" w:rsidRDefault="00255EC0" w:rsidP="0072291D">
            <w:pPr>
              <w:pStyle w:val="Tabletextnospace"/>
              <w:rPr>
                <w:sz w:val="19"/>
                <w:szCs w:val="19"/>
              </w:rPr>
            </w:pPr>
            <w:r w:rsidRPr="00F41508">
              <w:rPr>
                <w:sz w:val="19"/>
                <w:szCs w:val="19"/>
              </w:rPr>
              <w:t>Users/attendances at Melbourne Recital Centre</w:t>
            </w:r>
          </w:p>
        </w:tc>
        <w:tc>
          <w:tcPr>
            <w:tcW w:w="964" w:type="dxa"/>
          </w:tcPr>
          <w:p w14:paraId="14CE0A61"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3F70DBA4" w14:textId="77777777" w:rsidR="00255EC0" w:rsidRPr="00F41508" w:rsidRDefault="00255EC0" w:rsidP="0072291D">
            <w:pPr>
              <w:pStyle w:val="Tabletextnospace"/>
              <w:jc w:val="right"/>
              <w:rPr>
                <w:sz w:val="19"/>
                <w:szCs w:val="19"/>
              </w:rPr>
            </w:pPr>
            <w:r w:rsidRPr="00F41508">
              <w:rPr>
                <w:sz w:val="19"/>
                <w:szCs w:val="19"/>
              </w:rPr>
              <w:t>157</w:t>
            </w:r>
          </w:p>
        </w:tc>
        <w:tc>
          <w:tcPr>
            <w:tcW w:w="963" w:type="dxa"/>
          </w:tcPr>
          <w:p w14:paraId="67A70974" w14:textId="77777777" w:rsidR="00255EC0" w:rsidRPr="00F41508" w:rsidRDefault="00255EC0" w:rsidP="0072291D">
            <w:pPr>
              <w:pStyle w:val="Tabletextnospace"/>
              <w:jc w:val="right"/>
              <w:rPr>
                <w:sz w:val="19"/>
                <w:szCs w:val="19"/>
              </w:rPr>
            </w:pPr>
            <w:r w:rsidRPr="00F41508">
              <w:rPr>
                <w:sz w:val="19"/>
                <w:szCs w:val="19"/>
              </w:rPr>
              <w:t>230</w:t>
            </w:r>
          </w:p>
        </w:tc>
        <w:tc>
          <w:tcPr>
            <w:tcW w:w="1375" w:type="dxa"/>
          </w:tcPr>
          <w:p w14:paraId="0E22900B" w14:textId="77777777" w:rsidR="00255EC0" w:rsidRPr="00F41508" w:rsidRDefault="00255EC0" w:rsidP="0072291D">
            <w:pPr>
              <w:pStyle w:val="Tabletextnospace"/>
              <w:jc w:val="right"/>
              <w:rPr>
                <w:sz w:val="19"/>
                <w:szCs w:val="19"/>
              </w:rPr>
            </w:pPr>
            <w:r w:rsidRPr="00F41508">
              <w:rPr>
                <w:sz w:val="19"/>
                <w:szCs w:val="19"/>
              </w:rPr>
              <w:t>-31.7%</w:t>
            </w:r>
          </w:p>
        </w:tc>
        <w:tc>
          <w:tcPr>
            <w:tcW w:w="850" w:type="dxa"/>
          </w:tcPr>
          <w:p w14:paraId="5EFCB4DC"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658DB1C8" w14:textId="77777777" w:rsidTr="00E8460A">
        <w:trPr>
          <w:trHeight w:val="113"/>
        </w:trPr>
        <w:tc>
          <w:tcPr>
            <w:tcW w:w="9776" w:type="dxa"/>
            <w:gridSpan w:val="6"/>
          </w:tcPr>
          <w:p w14:paraId="3B69D142"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0C778167" w14:textId="77777777" w:rsidTr="00E8460A">
        <w:trPr>
          <w:trHeight w:val="113"/>
        </w:trPr>
        <w:tc>
          <w:tcPr>
            <w:tcW w:w="4660" w:type="dxa"/>
          </w:tcPr>
          <w:p w14:paraId="07EA3993" w14:textId="77777777" w:rsidR="00255EC0" w:rsidRPr="00F41508" w:rsidRDefault="00255EC0" w:rsidP="0072291D">
            <w:pPr>
              <w:pStyle w:val="Tabletextnospace"/>
              <w:rPr>
                <w:sz w:val="19"/>
                <w:szCs w:val="19"/>
              </w:rPr>
            </w:pPr>
            <w:r w:rsidRPr="00F41508">
              <w:rPr>
                <w:sz w:val="19"/>
                <w:szCs w:val="19"/>
              </w:rPr>
              <w:lastRenderedPageBreak/>
              <w:t>Users/attendances at Museums Victoria</w:t>
            </w:r>
          </w:p>
        </w:tc>
        <w:tc>
          <w:tcPr>
            <w:tcW w:w="964" w:type="dxa"/>
          </w:tcPr>
          <w:p w14:paraId="3FAF6FCE"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4860FC8A" w14:textId="77777777" w:rsidR="00255EC0" w:rsidRPr="00F41508" w:rsidRDefault="00255EC0" w:rsidP="0072291D">
            <w:pPr>
              <w:pStyle w:val="Tabletextnospace"/>
              <w:jc w:val="right"/>
              <w:rPr>
                <w:sz w:val="19"/>
                <w:szCs w:val="19"/>
              </w:rPr>
            </w:pPr>
            <w:r w:rsidRPr="00F41508">
              <w:rPr>
                <w:sz w:val="19"/>
                <w:szCs w:val="19"/>
              </w:rPr>
              <w:t>1489</w:t>
            </w:r>
          </w:p>
        </w:tc>
        <w:tc>
          <w:tcPr>
            <w:tcW w:w="963" w:type="dxa"/>
          </w:tcPr>
          <w:p w14:paraId="4BC517A5" w14:textId="77777777" w:rsidR="00255EC0" w:rsidRPr="00F41508" w:rsidRDefault="00255EC0" w:rsidP="0072291D">
            <w:pPr>
              <w:pStyle w:val="Tabletextnospace"/>
              <w:jc w:val="right"/>
              <w:rPr>
                <w:sz w:val="19"/>
                <w:szCs w:val="19"/>
              </w:rPr>
            </w:pPr>
            <w:r w:rsidRPr="00F41508">
              <w:rPr>
                <w:sz w:val="19"/>
                <w:szCs w:val="19"/>
              </w:rPr>
              <w:t>2000</w:t>
            </w:r>
          </w:p>
        </w:tc>
        <w:tc>
          <w:tcPr>
            <w:tcW w:w="1375" w:type="dxa"/>
          </w:tcPr>
          <w:p w14:paraId="6328E2CA" w14:textId="77777777" w:rsidR="00255EC0" w:rsidRPr="00F41508" w:rsidRDefault="00255EC0" w:rsidP="0072291D">
            <w:pPr>
              <w:pStyle w:val="Tabletextnospace"/>
              <w:jc w:val="right"/>
              <w:rPr>
                <w:sz w:val="19"/>
                <w:szCs w:val="19"/>
              </w:rPr>
            </w:pPr>
            <w:r w:rsidRPr="00F41508">
              <w:rPr>
                <w:sz w:val="19"/>
                <w:szCs w:val="19"/>
              </w:rPr>
              <w:t>-25.6%</w:t>
            </w:r>
          </w:p>
        </w:tc>
        <w:tc>
          <w:tcPr>
            <w:tcW w:w="850" w:type="dxa"/>
          </w:tcPr>
          <w:p w14:paraId="32915505"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654B1CF0" w14:textId="77777777" w:rsidTr="00E8460A">
        <w:trPr>
          <w:trHeight w:val="113"/>
        </w:trPr>
        <w:tc>
          <w:tcPr>
            <w:tcW w:w="9776" w:type="dxa"/>
            <w:gridSpan w:val="6"/>
          </w:tcPr>
          <w:p w14:paraId="5FAC0510"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7BC6DB7E" w14:textId="77777777" w:rsidTr="00E8460A">
        <w:trPr>
          <w:trHeight w:val="113"/>
        </w:trPr>
        <w:tc>
          <w:tcPr>
            <w:tcW w:w="4660" w:type="dxa"/>
          </w:tcPr>
          <w:p w14:paraId="0DA21322" w14:textId="77777777" w:rsidR="00255EC0" w:rsidRPr="00F41508" w:rsidRDefault="00255EC0" w:rsidP="0072291D">
            <w:pPr>
              <w:pStyle w:val="Tabletextnospace"/>
              <w:rPr>
                <w:sz w:val="19"/>
                <w:szCs w:val="19"/>
              </w:rPr>
            </w:pPr>
            <w:r w:rsidRPr="00F41508">
              <w:rPr>
                <w:sz w:val="19"/>
                <w:szCs w:val="19"/>
              </w:rPr>
              <w:t>Users/attendances at National Gallery of Victoria</w:t>
            </w:r>
          </w:p>
        </w:tc>
        <w:tc>
          <w:tcPr>
            <w:tcW w:w="964" w:type="dxa"/>
          </w:tcPr>
          <w:p w14:paraId="1DC4C111"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202F681E" w14:textId="77777777" w:rsidR="00255EC0" w:rsidRPr="00F41508" w:rsidRDefault="00255EC0" w:rsidP="0072291D">
            <w:pPr>
              <w:pStyle w:val="Tabletextnospace"/>
              <w:jc w:val="right"/>
              <w:rPr>
                <w:sz w:val="19"/>
                <w:szCs w:val="19"/>
              </w:rPr>
            </w:pPr>
            <w:r w:rsidRPr="00F41508">
              <w:rPr>
                <w:sz w:val="19"/>
                <w:szCs w:val="19"/>
              </w:rPr>
              <w:t>2073</w:t>
            </w:r>
          </w:p>
        </w:tc>
        <w:tc>
          <w:tcPr>
            <w:tcW w:w="963" w:type="dxa"/>
          </w:tcPr>
          <w:p w14:paraId="55BA108D" w14:textId="77777777" w:rsidR="00255EC0" w:rsidRPr="00F41508" w:rsidRDefault="00255EC0" w:rsidP="0072291D">
            <w:pPr>
              <w:pStyle w:val="Tabletextnospace"/>
              <w:jc w:val="right"/>
              <w:rPr>
                <w:sz w:val="19"/>
                <w:szCs w:val="19"/>
              </w:rPr>
            </w:pPr>
            <w:r w:rsidRPr="00F41508">
              <w:rPr>
                <w:sz w:val="19"/>
                <w:szCs w:val="19"/>
              </w:rPr>
              <w:t>2235</w:t>
            </w:r>
          </w:p>
        </w:tc>
        <w:tc>
          <w:tcPr>
            <w:tcW w:w="1375" w:type="dxa"/>
          </w:tcPr>
          <w:p w14:paraId="5E19E044" w14:textId="77777777" w:rsidR="00255EC0" w:rsidRPr="00F41508" w:rsidRDefault="00255EC0" w:rsidP="0072291D">
            <w:pPr>
              <w:pStyle w:val="Tabletextnospace"/>
              <w:jc w:val="right"/>
              <w:rPr>
                <w:sz w:val="19"/>
                <w:szCs w:val="19"/>
              </w:rPr>
            </w:pPr>
            <w:r w:rsidRPr="00F41508">
              <w:rPr>
                <w:sz w:val="19"/>
                <w:szCs w:val="19"/>
              </w:rPr>
              <w:t>-7.2%</w:t>
            </w:r>
          </w:p>
        </w:tc>
        <w:tc>
          <w:tcPr>
            <w:tcW w:w="850" w:type="dxa"/>
          </w:tcPr>
          <w:p w14:paraId="21BD71E3"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11E49C44" w14:textId="77777777" w:rsidTr="00E8460A">
        <w:trPr>
          <w:trHeight w:val="113"/>
        </w:trPr>
        <w:tc>
          <w:tcPr>
            <w:tcW w:w="9776" w:type="dxa"/>
            <w:gridSpan w:val="6"/>
          </w:tcPr>
          <w:p w14:paraId="16DF5C4C"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6BB5AE72" w14:textId="77777777" w:rsidTr="00E8460A">
        <w:trPr>
          <w:trHeight w:val="113"/>
        </w:trPr>
        <w:tc>
          <w:tcPr>
            <w:tcW w:w="4660" w:type="dxa"/>
          </w:tcPr>
          <w:p w14:paraId="0A4B8937" w14:textId="77777777" w:rsidR="00255EC0" w:rsidRPr="00F41508" w:rsidRDefault="00255EC0" w:rsidP="0072291D">
            <w:pPr>
              <w:pStyle w:val="Tabletextnospace"/>
              <w:rPr>
                <w:sz w:val="19"/>
                <w:szCs w:val="19"/>
              </w:rPr>
            </w:pPr>
            <w:r w:rsidRPr="00F41508">
              <w:rPr>
                <w:sz w:val="19"/>
                <w:szCs w:val="19"/>
              </w:rPr>
              <w:t>Users/attendances at State Library Victoria</w:t>
            </w:r>
          </w:p>
        </w:tc>
        <w:tc>
          <w:tcPr>
            <w:tcW w:w="964" w:type="dxa"/>
          </w:tcPr>
          <w:p w14:paraId="0EDBB26A" w14:textId="77777777" w:rsidR="00255EC0" w:rsidRPr="00F41508" w:rsidRDefault="00255EC0" w:rsidP="0072291D">
            <w:pPr>
              <w:pStyle w:val="Tabletextnospace"/>
              <w:jc w:val="right"/>
              <w:rPr>
                <w:sz w:val="19"/>
                <w:szCs w:val="19"/>
              </w:rPr>
            </w:pPr>
            <w:r w:rsidRPr="00F41508">
              <w:rPr>
                <w:sz w:val="19"/>
                <w:szCs w:val="19"/>
              </w:rPr>
              <w:t>number (000)</w:t>
            </w:r>
          </w:p>
        </w:tc>
        <w:tc>
          <w:tcPr>
            <w:tcW w:w="964" w:type="dxa"/>
          </w:tcPr>
          <w:p w14:paraId="1D583F29" w14:textId="77777777" w:rsidR="00255EC0" w:rsidRPr="00F41508" w:rsidRDefault="00255EC0" w:rsidP="0072291D">
            <w:pPr>
              <w:pStyle w:val="Tabletextnospace"/>
              <w:jc w:val="right"/>
              <w:rPr>
                <w:sz w:val="19"/>
                <w:szCs w:val="19"/>
              </w:rPr>
            </w:pPr>
            <w:r w:rsidRPr="00F41508">
              <w:rPr>
                <w:sz w:val="19"/>
                <w:szCs w:val="19"/>
              </w:rPr>
              <w:t>1654</w:t>
            </w:r>
          </w:p>
        </w:tc>
        <w:tc>
          <w:tcPr>
            <w:tcW w:w="963" w:type="dxa"/>
          </w:tcPr>
          <w:p w14:paraId="5D7BD9A4" w14:textId="77777777" w:rsidR="00255EC0" w:rsidRPr="00F41508" w:rsidRDefault="00255EC0" w:rsidP="0072291D">
            <w:pPr>
              <w:pStyle w:val="Tabletextnospace"/>
              <w:jc w:val="right"/>
              <w:rPr>
                <w:sz w:val="19"/>
                <w:szCs w:val="19"/>
              </w:rPr>
            </w:pPr>
            <w:r w:rsidRPr="00F41508">
              <w:rPr>
                <w:sz w:val="19"/>
                <w:szCs w:val="19"/>
              </w:rPr>
              <w:t>2250</w:t>
            </w:r>
          </w:p>
        </w:tc>
        <w:tc>
          <w:tcPr>
            <w:tcW w:w="1375" w:type="dxa"/>
          </w:tcPr>
          <w:p w14:paraId="735948EF" w14:textId="77777777" w:rsidR="00255EC0" w:rsidRPr="00F41508" w:rsidRDefault="00255EC0" w:rsidP="0072291D">
            <w:pPr>
              <w:pStyle w:val="Tabletextnospace"/>
              <w:jc w:val="right"/>
              <w:rPr>
                <w:sz w:val="19"/>
                <w:szCs w:val="19"/>
              </w:rPr>
            </w:pPr>
            <w:r w:rsidRPr="00F41508">
              <w:rPr>
                <w:sz w:val="19"/>
                <w:szCs w:val="19"/>
              </w:rPr>
              <w:t>-26.5%</w:t>
            </w:r>
          </w:p>
        </w:tc>
        <w:tc>
          <w:tcPr>
            <w:tcW w:w="850" w:type="dxa"/>
          </w:tcPr>
          <w:p w14:paraId="434FE94B"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6FBC300B" w14:textId="77777777" w:rsidTr="00E8460A">
        <w:trPr>
          <w:trHeight w:val="113"/>
        </w:trPr>
        <w:tc>
          <w:tcPr>
            <w:tcW w:w="9776" w:type="dxa"/>
            <w:gridSpan w:val="6"/>
          </w:tcPr>
          <w:p w14:paraId="33F24134" w14:textId="77777777" w:rsidR="00255EC0" w:rsidRPr="00F41508" w:rsidRDefault="00255EC0" w:rsidP="0072291D">
            <w:pPr>
              <w:pStyle w:val="Tabletextnospace"/>
              <w:rPr>
                <w:i/>
                <w:iCs/>
                <w:sz w:val="19"/>
                <w:szCs w:val="19"/>
              </w:rPr>
            </w:pPr>
            <w:r w:rsidRPr="00F41508">
              <w:rPr>
                <w:i/>
                <w:iCs/>
                <w:sz w:val="19"/>
                <w:szCs w:val="19"/>
              </w:rPr>
              <w:t xml:space="preserve">Lower result due to closures brought about by coronavirus (COVID-19). </w:t>
            </w:r>
          </w:p>
        </w:tc>
      </w:tr>
      <w:tr w:rsidR="00255EC0" w:rsidRPr="00F41508" w14:paraId="39CCAC8B" w14:textId="77777777" w:rsidTr="00E8460A">
        <w:trPr>
          <w:trHeight w:val="113"/>
        </w:trPr>
        <w:tc>
          <w:tcPr>
            <w:tcW w:w="4660" w:type="dxa"/>
          </w:tcPr>
          <w:p w14:paraId="218C1321" w14:textId="77777777" w:rsidR="00255EC0" w:rsidRPr="00F41508" w:rsidRDefault="00255EC0" w:rsidP="0072291D">
            <w:pPr>
              <w:pStyle w:val="Tabletextnospace"/>
              <w:rPr>
                <w:sz w:val="19"/>
                <w:szCs w:val="19"/>
              </w:rPr>
            </w:pPr>
            <w:r w:rsidRPr="00F41508">
              <w:rPr>
                <w:sz w:val="19"/>
                <w:szCs w:val="19"/>
              </w:rPr>
              <w:t xml:space="preserve">Value of film, television and digital media production supported by Film Victoria </w:t>
            </w:r>
          </w:p>
        </w:tc>
        <w:tc>
          <w:tcPr>
            <w:tcW w:w="964" w:type="dxa"/>
          </w:tcPr>
          <w:p w14:paraId="15C699A8" w14:textId="77777777" w:rsidR="00255EC0" w:rsidRPr="00F41508" w:rsidRDefault="00255EC0" w:rsidP="0072291D">
            <w:pPr>
              <w:pStyle w:val="Tabletextnospace"/>
              <w:jc w:val="right"/>
              <w:rPr>
                <w:sz w:val="19"/>
                <w:szCs w:val="19"/>
              </w:rPr>
            </w:pPr>
            <w:r w:rsidRPr="00F41508">
              <w:rPr>
                <w:sz w:val="19"/>
                <w:szCs w:val="19"/>
              </w:rPr>
              <w:t>$ million</w:t>
            </w:r>
          </w:p>
        </w:tc>
        <w:tc>
          <w:tcPr>
            <w:tcW w:w="964" w:type="dxa"/>
          </w:tcPr>
          <w:p w14:paraId="7F016C23" w14:textId="77777777" w:rsidR="00255EC0" w:rsidRPr="00F41508" w:rsidRDefault="00255EC0" w:rsidP="0072291D">
            <w:pPr>
              <w:pStyle w:val="Tabletextnospace"/>
              <w:jc w:val="right"/>
              <w:rPr>
                <w:sz w:val="19"/>
                <w:szCs w:val="19"/>
              </w:rPr>
            </w:pPr>
            <w:r w:rsidRPr="00F41508">
              <w:rPr>
                <w:sz w:val="19"/>
                <w:szCs w:val="19"/>
              </w:rPr>
              <w:t>157</w:t>
            </w:r>
          </w:p>
        </w:tc>
        <w:tc>
          <w:tcPr>
            <w:tcW w:w="963" w:type="dxa"/>
          </w:tcPr>
          <w:p w14:paraId="749E7E10" w14:textId="77777777" w:rsidR="00255EC0" w:rsidRPr="00F41508" w:rsidRDefault="00255EC0" w:rsidP="0072291D">
            <w:pPr>
              <w:pStyle w:val="Tabletextnospace"/>
              <w:jc w:val="right"/>
              <w:rPr>
                <w:sz w:val="19"/>
                <w:szCs w:val="19"/>
              </w:rPr>
            </w:pPr>
            <w:r w:rsidRPr="00F41508">
              <w:rPr>
                <w:sz w:val="19"/>
                <w:szCs w:val="19"/>
              </w:rPr>
              <w:t>161</w:t>
            </w:r>
          </w:p>
        </w:tc>
        <w:tc>
          <w:tcPr>
            <w:tcW w:w="1375" w:type="dxa"/>
          </w:tcPr>
          <w:p w14:paraId="7F5715AF" w14:textId="77777777" w:rsidR="00255EC0" w:rsidRPr="00F41508" w:rsidRDefault="00255EC0" w:rsidP="0072291D">
            <w:pPr>
              <w:pStyle w:val="Tabletextnospace"/>
              <w:jc w:val="right"/>
              <w:rPr>
                <w:sz w:val="19"/>
                <w:szCs w:val="19"/>
              </w:rPr>
            </w:pPr>
            <w:r w:rsidRPr="00F41508">
              <w:rPr>
                <w:sz w:val="19"/>
                <w:szCs w:val="19"/>
              </w:rPr>
              <w:t>-2.5%</w:t>
            </w:r>
          </w:p>
        </w:tc>
        <w:tc>
          <w:tcPr>
            <w:tcW w:w="850" w:type="dxa"/>
          </w:tcPr>
          <w:p w14:paraId="4AE7CDBD" w14:textId="77777777" w:rsidR="00255EC0" w:rsidRPr="00F41508"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19"/>
                <w:szCs w:val="19"/>
                <w:lang w:val="en-GB"/>
              </w:rPr>
            </w:pPr>
            <w:r w:rsidRPr="00F41508">
              <w:rPr>
                <w:rFonts w:ascii="Wingdings 2" w:hAnsi="Wingdings 2" w:cs="Wingdings 2"/>
                <w:sz w:val="19"/>
                <w:szCs w:val="19"/>
                <w:lang w:val="en-GB"/>
              </w:rPr>
              <w:t>™</w:t>
            </w:r>
          </w:p>
        </w:tc>
      </w:tr>
      <w:tr w:rsidR="00255EC0" w:rsidRPr="00F41508" w14:paraId="71BB6AD3" w14:textId="77777777" w:rsidTr="00E8460A">
        <w:trPr>
          <w:trHeight w:val="113"/>
        </w:trPr>
        <w:tc>
          <w:tcPr>
            <w:tcW w:w="4660" w:type="dxa"/>
          </w:tcPr>
          <w:p w14:paraId="7C042503" w14:textId="77777777" w:rsidR="00255EC0" w:rsidRPr="00F41508" w:rsidRDefault="00255EC0" w:rsidP="0072291D">
            <w:pPr>
              <w:pStyle w:val="Tabletextnospace"/>
              <w:rPr>
                <w:sz w:val="19"/>
                <w:szCs w:val="19"/>
              </w:rPr>
            </w:pPr>
            <w:r w:rsidRPr="00F41508">
              <w:rPr>
                <w:sz w:val="19"/>
                <w:szCs w:val="19"/>
              </w:rPr>
              <w:t>Volunteer hours</w:t>
            </w:r>
          </w:p>
        </w:tc>
        <w:tc>
          <w:tcPr>
            <w:tcW w:w="964" w:type="dxa"/>
          </w:tcPr>
          <w:p w14:paraId="460CE019" w14:textId="77777777" w:rsidR="00255EC0" w:rsidRPr="00F41508" w:rsidRDefault="00255EC0" w:rsidP="0072291D">
            <w:pPr>
              <w:pStyle w:val="Tabletextnospace"/>
              <w:jc w:val="right"/>
              <w:rPr>
                <w:sz w:val="19"/>
                <w:szCs w:val="19"/>
              </w:rPr>
            </w:pPr>
            <w:r w:rsidRPr="00F41508">
              <w:rPr>
                <w:sz w:val="19"/>
                <w:szCs w:val="19"/>
              </w:rPr>
              <w:t>number</w:t>
            </w:r>
          </w:p>
        </w:tc>
        <w:tc>
          <w:tcPr>
            <w:tcW w:w="964" w:type="dxa"/>
          </w:tcPr>
          <w:p w14:paraId="76FDEA3B" w14:textId="77777777" w:rsidR="00255EC0" w:rsidRPr="00F41508" w:rsidRDefault="00255EC0" w:rsidP="0072291D">
            <w:pPr>
              <w:pStyle w:val="Tabletextnospace"/>
              <w:jc w:val="right"/>
              <w:rPr>
                <w:sz w:val="19"/>
                <w:szCs w:val="19"/>
              </w:rPr>
            </w:pPr>
            <w:r w:rsidRPr="00F41508">
              <w:rPr>
                <w:sz w:val="19"/>
                <w:szCs w:val="19"/>
              </w:rPr>
              <w:t>81,353</w:t>
            </w:r>
          </w:p>
        </w:tc>
        <w:tc>
          <w:tcPr>
            <w:tcW w:w="963" w:type="dxa"/>
          </w:tcPr>
          <w:p w14:paraId="060FE0C2" w14:textId="77777777" w:rsidR="00255EC0" w:rsidRPr="00F41508" w:rsidRDefault="00255EC0" w:rsidP="0072291D">
            <w:pPr>
              <w:pStyle w:val="Tabletextnospace"/>
              <w:jc w:val="right"/>
              <w:rPr>
                <w:sz w:val="19"/>
                <w:szCs w:val="19"/>
              </w:rPr>
            </w:pPr>
            <w:r w:rsidRPr="00F41508">
              <w:rPr>
                <w:sz w:val="19"/>
                <w:szCs w:val="19"/>
              </w:rPr>
              <w:t>98,900</w:t>
            </w:r>
          </w:p>
        </w:tc>
        <w:tc>
          <w:tcPr>
            <w:tcW w:w="1375" w:type="dxa"/>
          </w:tcPr>
          <w:p w14:paraId="2A2E27C1" w14:textId="77777777" w:rsidR="00255EC0" w:rsidRPr="00F41508" w:rsidRDefault="00255EC0" w:rsidP="0072291D">
            <w:pPr>
              <w:pStyle w:val="Tabletextnospace"/>
              <w:jc w:val="right"/>
              <w:rPr>
                <w:sz w:val="19"/>
                <w:szCs w:val="19"/>
              </w:rPr>
            </w:pPr>
            <w:r w:rsidRPr="00F41508">
              <w:rPr>
                <w:sz w:val="19"/>
                <w:szCs w:val="19"/>
              </w:rPr>
              <w:t>-17.7%</w:t>
            </w:r>
          </w:p>
        </w:tc>
        <w:tc>
          <w:tcPr>
            <w:tcW w:w="850" w:type="dxa"/>
          </w:tcPr>
          <w:p w14:paraId="47B7D035"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58DAA7C1" w14:textId="77777777" w:rsidTr="00E8460A">
        <w:trPr>
          <w:trHeight w:val="113"/>
        </w:trPr>
        <w:tc>
          <w:tcPr>
            <w:tcW w:w="9776" w:type="dxa"/>
            <w:gridSpan w:val="6"/>
          </w:tcPr>
          <w:p w14:paraId="3DFE1E3C" w14:textId="77777777" w:rsidR="00255EC0" w:rsidRPr="00F41508" w:rsidRDefault="00255EC0" w:rsidP="0072291D">
            <w:pPr>
              <w:pStyle w:val="Tabletextnospace"/>
              <w:rPr>
                <w:i/>
                <w:iCs/>
                <w:sz w:val="19"/>
                <w:szCs w:val="19"/>
              </w:rPr>
            </w:pPr>
            <w:r w:rsidRPr="00F41508">
              <w:rPr>
                <w:i/>
                <w:iCs/>
                <w:sz w:val="19"/>
                <w:szCs w:val="19"/>
              </w:rPr>
              <w:t>Lower result due to the impact of coronavirus (COVID-19) and closures at the agencies.</w:t>
            </w:r>
          </w:p>
        </w:tc>
      </w:tr>
      <w:tr w:rsidR="00255EC0" w:rsidRPr="00F41508" w14:paraId="7AE100C7" w14:textId="77777777" w:rsidTr="00E8460A">
        <w:trPr>
          <w:trHeight w:val="113"/>
        </w:trPr>
        <w:tc>
          <w:tcPr>
            <w:tcW w:w="9776" w:type="dxa"/>
            <w:gridSpan w:val="6"/>
          </w:tcPr>
          <w:p w14:paraId="57628DA6" w14:textId="77777777" w:rsidR="00255EC0" w:rsidRPr="00F41508" w:rsidRDefault="00255EC0" w:rsidP="0072291D">
            <w:pPr>
              <w:pStyle w:val="Tabletextnospace"/>
              <w:rPr>
                <w:b/>
                <w:bCs/>
                <w:sz w:val="19"/>
                <w:szCs w:val="19"/>
              </w:rPr>
            </w:pPr>
            <w:r w:rsidRPr="00F41508">
              <w:rPr>
                <w:b/>
                <w:bCs/>
                <w:sz w:val="19"/>
                <w:szCs w:val="19"/>
              </w:rPr>
              <w:t>Quality</w:t>
            </w:r>
          </w:p>
        </w:tc>
      </w:tr>
      <w:tr w:rsidR="00255EC0" w:rsidRPr="00F41508" w14:paraId="2AF084E5" w14:textId="77777777" w:rsidTr="00E8460A">
        <w:trPr>
          <w:trHeight w:val="113"/>
        </w:trPr>
        <w:tc>
          <w:tcPr>
            <w:tcW w:w="4660" w:type="dxa"/>
          </w:tcPr>
          <w:p w14:paraId="24E7CC94" w14:textId="77777777" w:rsidR="00255EC0" w:rsidRPr="00F41508" w:rsidRDefault="00255EC0" w:rsidP="0072291D">
            <w:pPr>
              <w:pStyle w:val="Tabletextnospace"/>
              <w:rPr>
                <w:sz w:val="19"/>
                <w:szCs w:val="19"/>
              </w:rPr>
            </w:pPr>
            <w:r w:rsidRPr="00F41508">
              <w:rPr>
                <w:sz w:val="19"/>
                <w:szCs w:val="19"/>
              </w:rPr>
              <w:t>Agency collections storage meeting industry standard</w:t>
            </w:r>
          </w:p>
        </w:tc>
        <w:tc>
          <w:tcPr>
            <w:tcW w:w="964" w:type="dxa"/>
          </w:tcPr>
          <w:p w14:paraId="6BA00E06"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7646E839" w14:textId="77777777" w:rsidR="00255EC0" w:rsidRPr="00F41508" w:rsidRDefault="00255EC0" w:rsidP="0072291D">
            <w:pPr>
              <w:pStyle w:val="Tabletextnospace"/>
              <w:jc w:val="right"/>
              <w:rPr>
                <w:sz w:val="19"/>
                <w:szCs w:val="19"/>
              </w:rPr>
            </w:pPr>
            <w:r w:rsidRPr="00F41508">
              <w:rPr>
                <w:sz w:val="19"/>
                <w:szCs w:val="19"/>
              </w:rPr>
              <w:t>84</w:t>
            </w:r>
          </w:p>
        </w:tc>
        <w:tc>
          <w:tcPr>
            <w:tcW w:w="963" w:type="dxa"/>
          </w:tcPr>
          <w:p w14:paraId="1947D037" w14:textId="77777777" w:rsidR="00255EC0" w:rsidRPr="00F41508" w:rsidRDefault="00255EC0" w:rsidP="0072291D">
            <w:pPr>
              <w:pStyle w:val="Tabletextnospace"/>
              <w:jc w:val="right"/>
              <w:rPr>
                <w:sz w:val="19"/>
                <w:szCs w:val="19"/>
              </w:rPr>
            </w:pPr>
            <w:r w:rsidRPr="00F41508">
              <w:rPr>
                <w:sz w:val="19"/>
                <w:szCs w:val="19"/>
              </w:rPr>
              <w:t>86</w:t>
            </w:r>
          </w:p>
        </w:tc>
        <w:tc>
          <w:tcPr>
            <w:tcW w:w="1375" w:type="dxa"/>
          </w:tcPr>
          <w:p w14:paraId="730B8B0B" w14:textId="77777777" w:rsidR="00255EC0" w:rsidRPr="00F41508" w:rsidRDefault="00255EC0" w:rsidP="0072291D">
            <w:pPr>
              <w:pStyle w:val="Tabletextnospace"/>
              <w:jc w:val="right"/>
              <w:rPr>
                <w:sz w:val="19"/>
                <w:szCs w:val="19"/>
              </w:rPr>
            </w:pPr>
            <w:r w:rsidRPr="00F41508">
              <w:rPr>
                <w:sz w:val="19"/>
                <w:szCs w:val="19"/>
              </w:rPr>
              <w:t>-2.3%</w:t>
            </w:r>
          </w:p>
        </w:tc>
        <w:tc>
          <w:tcPr>
            <w:tcW w:w="850" w:type="dxa"/>
          </w:tcPr>
          <w:p w14:paraId="1CE226A0" w14:textId="77777777" w:rsidR="00255EC0" w:rsidRPr="00F41508"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19"/>
                <w:szCs w:val="19"/>
                <w:lang w:val="en-GB"/>
              </w:rPr>
            </w:pPr>
            <w:r w:rsidRPr="00F41508">
              <w:rPr>
                <w:rFonts w:ascii="Wingdings 2" w:hAnsi="Wingdings 2" w:cs="Wingdings 2"/>
                <w:sz w:val="19"/>
                <w:szCs w:val="19"/>
                <w:lang w:val="en-GB"/>
              </w:rPr>
              <w:t>™</w:t>
            </w:r>
          </w:p>
        </w:tc>
      </w:tr>
      <w:tr w:rsidR="00255EC0" w:rsidRPr="00F41508" w14:paraId="68669980" w14:textId="77777777" w:rsidTr="00E8460A">
        <w:trPr>
          <w:trHeight w:val="113"/>
        </w:trPr>
        <w:tc>
          <w:tcPr>
            <w:tcW w:w="4660" w:type="dxa"/>
          </w:tcPr>
          <w:p w14:paraId="68270494" w14:textId="77777777" w:rsidR="00255EC0" w:rsidRPr="00F41508" w:rsidRDefault="00255EC0" w:rsidP="0072291D">
            <w:pPr>
              <w:pStyle w:val="Tabletextnospace"/>
              <w:rPr>
                <w:sz w:val="19"/>
                <w:szCs w:val="19"/>
              </w:rPr>
            </w:pPr>
            <w:r w:rsidRPr="00F41508">
              <w:rPr>
                <w:sz w:val="19"/>
                <w:szCs w:val="19"/>
              </w:rPr>
              <w:t>Visitors satisfied with visit: Arts Centre Melbourne</w:t>
            </w:r>
          </w:p>
        </w:tc>
        <w:tc>
          <w:tcPr>
            <w:tcW w:w="964" w:type="dxa"/>
          </w:tcPr>
          <w:p w14:paraId="3BE7953B"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3E54CEC0" w14:textId="77777777" w:rsidR="00255EC0" w:rsidRPr="00F41508" w:rsidRDefault="00255EC0" w:rsidP="0072291D">
            <w:pPr>
              <w:pStyle w:val="Tabletextnospace"/>
              <w:jc w:val="right"/>
              <w:rPr>
                <w:sz w:val="19"/>
                <w:szCs w:val="19"/>
              </w:rPr>
            </w:pPr>
            <w:r w:rsidRPr="00F41508">
              <w:rPr>
                <w:sz w:val="19"/>
                <w:szCs w:val="19"/>
              </w:rPr>
              <w:t>94</w:t>
            </w:r>
          </w:p>
        </w:tc>
        <w:tc>
          <w:tcPr>
            <w:tcW w:w="963" w:type="dxa"/>
          </w:tcPr>
          <w:p w14:paraId="568C7F2E" w14:textId="77777777" w:rsidR="00255EC0" w:rsidRPr="00F41508" w:rsidRDefault="00255EC0" w:rsidP="0072291D">
            <w:pPr>
              <w:pStyle w:val="Tabletextnospace"/>
              <w:jc w:val="right"/>
              <w:rPr>
                <w:sz w:val="19"/>
                <w:szCs w:val="19"/>
              </w:rPr>
            </w:pPr>
            <w:r w:rsidRPr="00F41508">
              <w:rPr>
                <w:sz w:val="19"/>
                <w:szCs w:val="19"/>
              </w:rPr>
              <w:t>95</w:t>
            </w:r>
          </w:p>
        </w:tc>
        <w:tc>
          <w:tcPr>
            <w:tcW w:w="1375" w:type="dxa"/>
          </w:tcPr>
          <w:p w14:paraId="66F7E2F9" w14:textId="77777777" w:rsidR="00255EC0" w:rsidRPr="00F41508" w:rsidRDefault="00255EC0" w:rsidP="0072291D">
            <w:pPr>
              <w:pStyle w:val="Tabletextnospace"/>
              <w:jc w:val="right"/>
              <w:rPr>
                <w:sz w:val="19"/>
                <w:szCs w:val="19"/>
              </w:rPr>
            </w:pPr>
            <w:r w:rsidRPr="00F41508">
              <w:rPr>
                <w:sz w:val="19"/>
                <w:szCs w:val="19"/>
              </w:rPr>
              <w:t>-1.1%</w:t>
            </w:r>
          </w:p>
        </w:tc>
        <w:tc>
          <w:tcPr>
            <w:tcW w:w="850" w:type="dxa"/>
          </w:tcPr>
          <w:p w14:paraId="4ECB4D70" w14:textId="77777777" w:rsidR="00255EC0" w:rsidRPr="00F41508"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19"/>
                <w:szCs w:val="19"/>
                <w:lang w:val="en-GB"/>
              </w:rPr>
            </w:pPr>
            <w:r w:rsidRPr="00F41508">
              <w:rPr>
                <w:rFonts w:ascii="Wingdings 2" w:hAnsi="Wingdings 2" w:cs="Wingdings 2"/>
                <w:sz w:val="19"/>
                <w:szCs w:val="19"/>
                <w:lang w:val="en-GB"/>
              </w:rPr>
              <w:t>™</w:t>
            </w:r>
          </w:p>
        </w:tc>
      </w:tr>
      <w:tr w:rsidR="00255EC0" w:rsidRPr="00F41508" w14:paraId="0C325B8F" w14:textId="77777777" w:rsidTr="00E8460A">
        <w:trPr>
          <w:trHeight w:val="113"/>
        </w:trPr>
        <w:tc>
          <w:tcPr>
            <w:tcW w:w="4660" w:type="dxa"/>
          </w:tcPr>
          <w:p w14:paraId="431BBF35" w14:textId="7933C25B" w:rsidR="00255EC0" w:rsidRPr="00F41508" w:rsidRDefault="00255EC0" w:rsidP="0072291D">
            <w:pPr>
              <w:pStyle w:val="Tabletextnospace"/>
              <w:rPr>
                <w:sz w:val="19"/>
                <w:szCs w:val="19"/>
              </w:rPr>
            </w:pPr>
            <w:r w:rsidRPr="00F41508">
              <w:rPr>
                <w:sz w:val="19"/>
                <w:szCs w:val="19"/>
              </w:rPr>
              <w:t>Visitors satisfied with visit: Australian Centre</w:t>
            </w:r>
            <w:r w:rsidR="00F41508">
              <w:rPr>
                <w:sz w:val="19"/>
                <w:szCs w:val="19"/>
              </w:rPr>
              <w:t xml:space="preserve"> </w:t>
            </w:r>
            <w:r w:rsidRPr="00F41508">
              <w:rPr>
                <w:sz w:val="19"/>
                <w:szCs w:val="19"/>
              </w:rPr>
              <w:t>for the Moving Image</w:t>
            </w:r>
          </w:p>
        </w:tc>
        <w:tc>
          <w:tcPr>
            <w:tcW w:w="964" w:type="dxa"/>
          </w:tcPr>
          <w:p w14:paraId="1A8329D3"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34E847C3" w14:textId="77777777" w:rsidR="00255EC0" w:rsidRPr="00F41508" w:rsidRDefault="00255EC0" w:rsidP="0072291D">
            <w:pPr>
              <w:pStyle w:val="Tabletextnospace"/>
              <w:jc w:val="right"/>
              <w:rPr>
                <w:sz w:val="19"/>
                <w:szCs w:val="19"/>
              </w:rPr>
            </w:pPr>
            <w:r w:rsidRPr="00F41508">
              <w:rPr>
                <w:sz w:val="19"/>
                <w:szCs w:val="19"/>
              </w:rPr>
              <w:t>95</w:t>
            </w:r>
          </w:p>
        </w:tc>
        <w:tc>
          <w:tcPr>
            <w:tcW w:w="963" w:type="dxa"/>
          </w:tcPr>
          <w:p w14:paraId="4E15E1F3" w14:textId="77777777" w:rsidR="00255EC0" w:rsidRPr="00F41508" w:rsidRDefault="00255EC0" w:rsidP="0072291D">
            <w:pPr>
              <w:pStyle w:val="Tabletextnospace"/>
              <w:jc w:val="right"/>
              <w:rPr>
                <w:sz w:val="19"/>
                <w:szCs w:val="19"/>
              </w:rPr>
            </w:pPr>
            <w:r w:rsidRPr="00F41508">
              <w:rPr>
                <w:sz w:val="19"/>
                <w:szCs w:val="19"/>
              </w:rPr>
              <w:t>95</w:t>
            </w:r>
          </w:p>
        </w:tc>
        <w:tc>
          <w:tcPr>
            <w:tcW w:w="1375" w:type="dxa"/>
          </w:tcPr>
          <w:p w14:paraId="388A0683" w14:textId="77777777" w:rsidR="00255EC0" w:rsidRPr="00F41508" w:rsidRDefault="00255EC0" w:rsidP="0072291D">
            <w:pPr>
              <w:pStyle w:val="Tabletextnospace"/>
              <w:jc w:val="right"/>
              <w:rPr>
                <w:sz w:val="19"/>
                <w:szCs w:val="19"/>
              </w:rPr>
            </w:pPr>
            <w:r w:rsidRPr="00F41508">
              <w:rPr>
                <w:sz w:val="19"/>
                <w:szCs w:val="19"/>
              </w:rPr>
              <w:t>0.0%</w:t>
            </w:r>
          </w:p>
        </w:tc>
        <w:tc>
          <w:tcPr>
            <w:tcW w:w="850" w:type="dxa"/>
          </w:tcPr>
          <w:p w14:paraId="2228A443"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554D40AC" w14:textId="77777777" w:rsidTr="00E8460A">
        <w:trPr>
          <w:trHeight w:val="113"/>
        </w:trPr>
        <w:tc>
          <w:tcPr>
            <w:tcW w:w="4660" w:type="dxa"/>
          </w:tcPr>
          <w:p w14:paraId="02EF3FCA" w14:textId="77777777" w:rsidR="00255EC0" w:rsidRPr="00F41508" w:rsidRDefault="00255EC0" w:rsidP="0072291D">
            <w:pPr>
              <w:pStyle w:val="Tabletextnospace"/>
              <w:rPr>
                <w:sz w:val="19"/>
                <w:szCs w:val="19"/>
              </w:rPr>
            </w:pPr>
            <w:r w:rsidRPr="00F41508">
              <w:rPr>
                <w:sz w:val="19"/>
                <w:szCs w:val="19"/>
              </w:rPr>
              <w:t>Visitors satisfied with visit: Geelong Arts Centre</w:t>
            </w:r>
          </w:p>
        </w:tc>
        <w:tc>
          <w:tcPr>
            <w:tcW w:w="964" w:type="dxa"/>
          </w:tcPr>
          <w:p w14:paraId="2F6EDCC2"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4B17D70B" w14:textId="77777777" w:rsidR="00255EC0" w:rsidRPr="00F41508" w:rsidRDefault="00255EC0" w:rsidP="0072291D">
            <w:pPr>
              <w:pStyle w:val="Tabletextnospace"/>
              <w:jc w:val="right"/>
              <w:rPr>
                <w:sz w:val="19"/>
                <w:szCs w:val="19"/>
              </w:rPr>
            </w:pPr>
            <w:r w:rsidRPr="00F41508">
              <w:rPr>
                <w:sz w:val="19"/>
                <w:szCs w:val="19"/>
              </w:rPr>
              <w:t>98</w:t>
            </w:r>
          </w:p>
        </w:tc>
        <w:tc>
          <w:tcPr>
            <w:tcW w:w="963" w:type="dxa"/>
          </w:tcPr>
          <w:p w14:paraId="6CA1A64C" w14:textId="77777777" w:rsidR="00255EC0" w:rsidRPr="00F41508" w:rsidRDefault="00255EC0" w:rsidP="0072291D">
            <w:pPr>
              <w:pStyle w:val="Tabletextnospace"/>
              <w:jc w:val="right"/>
              <w:rPr>
                <w:sz w:val="19"/>
                <w:szCs w:val="19"/>
              </w:rPr>
            </w:pPr>
            <w:r w:rsidRPr="00F41508">
              <w:rPr>
                <w:sz w:val="19"/>
                <w:szCs w:val="19"/>
              </w:rPr>
              <w:t>98</w:t>
            </w:r>
          </w:p>
        </w:tc>
        <w:tc>
          <w:tcPr>
            <w:tcW w:w="1375" w:type="dxa"/>
          </w:tcPr>
          <w:p w14:paraId="1075A1A1" w14:textId="77777777" w:rsidR="00255EC0" w:rsidRPr="00F41508" w:rsidRDefault="00255EC0" w:rsidP="0072291D">
            <w:pPr>
              <w:pStyle w:val="Tabletextnospace"/>
              <w:jc w:val="right"/>
              <w:rPr>
                <w:sz w:val="19"/>
                <w:szCs w:val="19"/>
              </w:rPr>
            </w:pPr>
            <w:r w:rsidRPr="00F41508">
              <w:rPr>
                <w:sz w:val="19"/>
                <w:szCs w:val="19"/>
              </w:rPr>
              <w:t>0.0%</w:t>
            </w:r>
          </w:p>
        </w:tc>
        <w:tc>
          <w:tcPr>
            <w:tcW w:w="850" w:type="dxa"/>
          </w:tcPr>
          <w:p w14:paraId="0BC6663F"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4354164B" w14:textId="77777777" w:rsidTr="00E8460A">
        <w:trPr>
          <w:trHeight w:val="113"/>
        </w:trPr>
        <w:tc>
          <w:tcPr>
            <w:tcW w:w="4660" w:type="dxa"/>
          </w:tcPr>
          <w:p w14:paraId="0FB6F2C2" w14:textId="77777777" w:rsidR="00255EC0" w:rsidRPr="00F41508" w:rsidRDefault="00255EC0" w:rsidP="0072291D">
            <w:pPr>
              <w:pStyle w:val="Tabletextnospace"/>
              <w:rPr>
                <w:sz w:val="19"/>
                <w:szCs w:val="19"/>
              </w:rPr>
            </w:pPr>
            <w:r w:rsidRPr="00F41508">
              <w:rPr>
                <w:sz w:val="19"/>
                <w:szCs w:val="19"/>
              </w:rPr>
              <w:t>Visitors satisfied with visit: Melbourne Recital Centre</w:t>
            </w:r>
          </w:p>
        </w:tc>
        <w:tc>
          <w:tcPr>
            <w:tcW w:w="964" w:type="dxa"/>
          </w:tcPr>
          <w:p w14:paraId="788BC202"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249EB626" w14:textId="77777777" w:rsidR="00255EC0" w:rsidRPr="00F41508" w:rsidRDefault="00255EC0" w:rsidP="0072291D">
            <w:pPr>
              <w:pStyle w:val="Tabletextnospace"/>
              <w:jc w:val="right"/>
              <w:rPr>
                <w:sz w:val="19"/>
                <w:szCs w:val="19"/>
              </w:rPr>
            </w:pPr>
            <w:r w:rsidRPr="00F41508">
              <w:rPr>
                <w:sz w:val="19"/>
                <w:szCs w:val="19"/>
              </w:rPr>
              <w:t>97</w:t>
            </w:r>
          </w:p>
        </w:tc>
        <w:tc>
          <w:tcPr>
            <w:tcW w:w="963" w:type="dxa"/>
          </w:tcPr>
          <w:p w14:paraId="77BE872C" w14:textId="77777777" w:rsidR="00255EC0" w:rsidRPr="00F41508" w:rsidRDefault="00255EC0" w:rsidP="0072291D">
            <w:pPr>
              <w:pStyle w:val="Tabletextnospace"/>
              <w:jc w:val="right"/>
              <w:rPr>
                <w:sz w:val="19"/>
                <w:szCs w:val="19"/>
              </w:rPr>
            </w:pPr>
            <w:r w:rsidRPr="00F41508">
              <w:rPr>
                <w:sz w:val="19"/>
                <w:szCs w:val="19"/>
              </w:rPr>
              <w:t>95</w:t>
            </w:r>
          </w:p>
        </w:tc>
        <w:tc>
          <w:tcPr>
            <w:tcW w:w="1375" w:type="dxa"/>
          </w:tcPr>
          <w:p w14:paraId="6354AC1A" w14:textId="77777777" w:rsidR="00255EC0" w:rsidRPr="00F41508" w:rsidRDefault="00255EC0" w:rsidP="0072291D">
            <w:pPr>
              <w:pStyle w:val="Tabletextnospace"/>
              <w:jc w:val="right"/>
              <w:rPr>
                <w:sz w:val="19"/>
                <w:szCs w:val="19"/>
              </w:rPr>
            </w:pPr>
            <w:r w:rsidRPr="00F41508">
              <w:rPr>
                <w:sz w:val="19"/>
                <w:szCs w:val="19"/>
              </w:rPr>
              <w:t>2.1%</w:t>
            </w:r>
          </w:p>
        </w:tc>
        <w:tc>
          <w:tcPr>
            <w:tcW w:w="850" w:type="dxa"/>
          </w:tcPr>
          <w:p w14:paraId="425B4ADF"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624F3B27" w14:textId="77777777" w:rsidTr="00E8460A">
        <w:trPr>
          <w:trHeight w:val="113"/>
        </w:trPr>
        <w:tc>
          <w:tcPr>
            <w:tcW w:w="4660" w:type="dxa"/>
          </w:tcPr>
          <w:p w14:paraId="0BE80774" w14:textId="77777777" w:rsidR="00255EC0" w:rsidRPr="00F41508" w:rsidRDefault="00255EC0" w:rsidP="0072291D">
            <w:pPr>
              <w:pStyle w:val="Tabletextnospace"/>
              <w:rPr>
                <w:sz w:val="19"/>
                <w:szCs w:val="19"/>
              </w:rPr>
            </w:pPr>
            <w:r w:rsidRPr="00F41508">
              <w:rPr>
                <w:sz w:val="19"/>
                <w:szCs w:val="19"/>
              </w:rPr>
              <w:t>Visitors satisfied with visit: Museums Victoria</w:t>
            </w:r>
          </w:p>
        </w:tc>
        <w:tc>
          <w:tcPr>
            <w:tcW w:w="964" w:type="dxa"/>
          </w:tcPr>
          <w:p w14:paraId="5F729633"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49F9110C" w14:textId="77777777" w:rsidR="00255EC0" w:rsidRPr="00F41508" w:rsidRDefault="00255EC0" w:rsidP="0072291D">
            <w:pPr>
              <w:pStyle w:val="Tabletextnospace"/>
              <w:jc w:val="right"/>
              <w:rPr>
                <w:sz w:val="19"/>
                <w:szCs w:val="19"/>
              </w:rPr>
            </w:pPr>
            <w:r w:rsidRPr="00F41508">
              <w:rPr>
                <w:sz w:val="19"/>
                <w:szCs w:val="19"/>
              </w:rPr>
              <w:t>97</w:t>
            </w:r>
          </w:p>
        </w:tc>
        <w:tc>
          <w:tcPr>
            <w:tcW w:w="963" w:type="dxa"/>
          </w:tcPr>
          <w:p w14:paraId="730FD020" w14:textId="77777777" w:rsidR="00255EC0" w:rsidRPr="00F41508" w:rsidRDefault="00255EC0" w:rsidP="0072291D">
            <w:pPr>
              <w:pStyle w:val="Tabletextnospace"/>
              <w:jc w:val="right"/>
              <w:rPr>
                <w:sz w:val="19"/>
                <w:szCs w:val="19"/>
              </w:rPr>
            </w:pPr>
            <w:r w:rsidRPr="00F41508">
              <w:rPr>
                <w:sz w:val="19"/>
                <w:szCs w:val="19"/>
              </w:rPr>
              <w:t>95</w:t>
            </w:r>
          </w:p>
        </w:tc>
        <w:tc>
          <w:tcPr>
            <w:tcW w:w="1375" w:type="dxa"/>
          </w:tcPr>
          <w:p w14:paraId="40B04280" w14:textId="77777777" w:rsidR="00255EC0" w:rsidRPr="00F41508" w:rsidRDefault="00255EC0" w:rsidP="0072291D">
            <w:pPr>
              <w:pStyle w:val="Tabletextnospace"/>
              <w:jc w:val="right"/>
              <w:rPr>
                <w:sz w:val="19"/>
                <w:szCs w:val="19"/>
              </w:rPr>
            </w:pPr>
            <w:r w:rsidRPr="00F41508">
              <w:rPr>
                <w:sz w:val="19"/>
                <w:szCs w:val="19"/>
              </w:rPr>
              <w:t>2.1%</w:t>
            </w:r>
          </w:p>
        </w:tc>
        <w:tc>
          <w:tcPr>
            <w:tcW w:w="850" w:type="dxa"/>
          </w:tcPr>
          <w:p w14:paraId="44F41179"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3198B265" w14:textId="77777777" w:rsidTr="00E8460A">
        <w:trPr>
          <w:trHeight w:val="113"/>
        </w:trPr>
        <w:tc>
          <w:tcPr>
            <w:tcW w:w="4660" w:type="dxa"/>
          </w:tcPr>
          <w:p w14:paraId="149D2C19" w14:textId="77777777" w:rsidR="00255EC0" w:rsidRPr="00F41508" w:rsidRDefault="00255EC0" w:rsidP="0072291D">
            <w:pPr>
              <w:pStyle w:val="Tabletextnospace"/>
              <w:rPr>
                <w:sz w:val="19"/>
                <w:szCs w:val="19"/>
              </w:rPr>
            </w:pPr>
            <w:r w:rsidRPr="00F41508">
              <w:rPr>
                <w:sz w:val="19"/>
                <w:szCs w:val="19"/>
              </w:rPr>
              <w:t>Visitors satisfied with visit: National Gallery of Victoria</w:t>
            </w:r>
          </w:p>
        </w:tc>
        <w:tc>
          <w:tcPr>
            <w:tcW w:w="964" w:type="dxa"/>
          </w:tcPr>
          <w:p w14:paraId="6CB18841"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71C52942" w14:textId="77777777" w:rsidR="00255EC0" w:rsidRPr="00F41508" w:rsidRDefault="00255EC0" w:rsidP="0072291D">
            <w:pPr>
              <w:pStyle w:val="Tabletextnospace"/>
              <w:jc w:val="right"/>
              <w:rPr>
                <w:sz w:val="19"/>
                <w:szCs w:val="19"/>
              </w:rPr>
            </w:pPr>
            <w:r w:rsidRPr="00F41508">
              <w:rPr>
                <w:sz w:val="19"/>
                <w:szCs w:val="19"/>
              </w:rPr>
              <w:t>95</w:t>
            </w:r>
          </w:p>
        </w:tc>
        <w:tc>
          <w:tcPr>
            <w:tcW w:w="963" w:type="dxa"/>
          </w:tcPr>
          <w:p w14:paraId="33CCCEBA" w14:textId="77777777" w:rsidR="00255EC0" w:rsidRPr="00F41508" w:rsidRDefault="00255EC0" w:rsidP="0072291D">
            <w:pPr>
              <w:pStyle w:val="Tabletextnospace"/>
              <w:jc w:val="right"/>
              <w:rPr>
                <w:sz w:val="19"/>
                <w:szCs w:val="19"/>
              </w:rPr>
            </w:pPr>
            <w:r w:rsidRPr="00F41508">
              <w:rPr>
                <w:sz w:val="19"/>
                <w:szCs w:val="19"/>
              </w:rPr>
              <w:t>95</w:t>
            </w:r>
          </w:p>
        </w:tc>
        <w:tc>
          <w:tcPr>
            <w:tcW w:w="1375" w:type="dxa"/>
          </w:tcPr>
          <w:p w14:paraId="532371E3" w14:textId="77777777" w:rsidR="00255EC0" w:rsidRPr="00F41508" w:rsidRDefault="00255EC0" w:rsidP="0072291D">
            <w:pPr>
              <w:pStyle w:val="Tabletextnospace"/>
              <w:jc w:val="right"/>
              <w:rPr>
                <w:sz w:val="19"/>
                <w:szCs w:val="19"/>
              </w:rPr>
            </w:pPr>
            <w:r w:rsidRPr="00F41508">
              <w:rPr>
                <w:sz w:val="19"/>
                <w:szCs w:val="19"/>
              </w:rPr>
              <w:t>0.0%</w:t>
            </w:r>
          </w:p>
        </w:tc>
        <w:tc>
          <w:tcPr>
            <w:tcW w:w="850" w:type="dxa"/>
          </w:tcPr>
          <w:p w14:paraId="11D4F3C6"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4CA1BF60" w14:textId="77777777" w:rsidTr="00E8460A">
        <w:trPr>
          <w:trHeight w:val="113"/>
        </w:trPr>
        <w:tc>
          <w:tcPr>
            <w:tcW w:w="4660" w:type="dxa"/>
          </w:tcPr>
          <w:p w14:paraId="4A00A0C3" w14:textId="77777777" w:rsidR="00255EC0" w:rsidRPr="00F41508" w:rsidRDefault="00255EC0" w:rsidP="0072291D">
            <w:pPr>
              <w:pStyle w:val="Tabletextnospace"/>
              <w:rPr>
                <w:sz w:val="19"/>
                <w:szCs w:val="19"/>
              </w:rPr>
            </w:pPr>
            <w:r w:rsidRPr="00F41508">
              <w:rPr>
                <w:sz w:val="19"/>
                <w:szCs w:val="19"/>
              </w:rPr>
              <w:t>Visitors satisfied with visit: State Library Victoria</w:t>
            </w:r>
          </w:p>
        </w:tc>
        <w:tc>
          <w:tcPr>
            <w:tcW w:w="964" w:type="dxa"/>
          </w:tcPr>
          <w:p w14:paraId="15242B0A" w14:textId="77777777" w:rsidR="00255EC0" w:rsidRPr="00F41508" w:rsidRDefault="00255EC0" w:rsidP="0072291D">
            <w:pPr>
              <w:pStyle w:val="Tabletextnospace"/>
              <w:jc w:val="right"/>
              <w:rPr>
                <w:sz w:val="19"/>
                <w:szCs w:val="19"/>
              </w:rPr>
            </w:pPr>
            <w:r w:rsidRPr="00F41508">
              <w:rPr>
                <w:sz w:val="19"/>
                <w:szCs w:val="19"/>
              </w:rPr>
              <w:t>per cent</w:t>
            </w:r>
          </w:p>
        </w:tc>
        <w:tc>
          <w:tcPr>
            <w:tcW w:w="964" w:type="dxa"/>
          </w:tcPr>
          <w:p w14:paraId="2793DC13" w14:textId="77777777" w:rsidR="00255EC0" w:rsidRPr="00F41508" w:rsidRDefault="00255EC0" w:rsidP="0072291D">
            <w:pPr>
              <w:pStyle w:val="Tabletextnospace"/>
              <w:jc w:val="right"/>
              <w:rPr>
                <w:sz w:val="19"/>
                <w:szCs w:val="19"/>
              </w:rPr>
            </w:pPr>
            <w:r w:rsidRPr="00F41508">
              <w:rPr>
                <w:sz w:val="19"/>
                <w:szCs w:val="19"/>
              </w:rPr>
              <w:t>93</w:t>
            </w:r>
          </w:p>
        </w:tc>
        <w:tc>
          <w:tcPr>
            <w:tcW w:w="963" w:type="dxa"/>
          </w:tcPr>
          <w:p w14:paraId="6E6E9CA4" w14:textId="77777777" w:rsidR="00255EC0" w:rsidRPr="00F41508" w:rsidRDefault="00255EC0" w:rsidP="0072291D">
            <w:pPr>
              <w:pStyle w:val="Tabletextnospace"/>
              <w:jc w:val="right"/>
              <w:rPr>
                <w:sz w:val="19"/>
                <w:szCs w:val="19"/>
              </w:rPr>
            </w:pPr>
            <w:r w:rsidRPr="00F41508">
              <w:rPr>
                <w:sz w:val="19"/>
                <w:szCs w:val="19"/>
              </w:rPr>
              <w:t>90</w:t>
            </w:r>
          </w:p>
        </w:tc>
        <w:tc>
          <w:tcPr>
            <w:tcW w:w="1375" w:type="dxa"/>
          </w:tcPr>
          <w:p w14:paraId="247C3452" w14:textId="77777777" w:rsidR="00255EC0" w:rsidRPr="00F41508" w:rsidRDefault="00255EC0" w:rsidP="0072291D">
            <w:pPr>
              <w:pStyle w:val="Tabletextnospace"/>
              <w:jc w:val="right"/>
              <w:rPr>
                <w:sz w:val="19"/>
                <w:szCs w:val="19"/>
              </w:rPr>
            </w:pPr>
            <w:r w:rsidRPr="00F41508">
              <w:rPr>
                <w:sz w:val="19"/>
                <w:szCs w:val="19"/>
              </w:rPr>
              <w:t>3.3%</w:t>
            </w:r>
          </w:p>
        </w:tc>
        <w:tc>
          <w:tcPr>
            <w:tcW w:w="850" w:type="dxa"/>
          </w:tcPr>
          <w:p w14:paraId="4BEFE144"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ü</w:t>
            </w:r>
          </w:p>
        </w:tc>
      </w:tr>
      <w:tr w:rsidR="00255EC0" w:rsidRPr="00F41508" w14:paraId="14E5C1EE" w14:textId="77777777" w:rsidTr="00E8460A">
        <w:trPr>
          <w:trHeight w:val="113"/>
        </w:trPr>
        <w:tc>
          <w:tcPr>
            <w:tcW w:w="9776" w:type="dxa"/>
            <w:gridSpan w:val="6"/>
          </w:tcPr>
          <w:p w14:paraId="74379F43" w14:textId="77777777" w:rsidR="00255EC0" w:rsidRPr="00F41508" w:rsidRDefault="00255EC0" w:rsidP="0072291D">
            <w:pPr>
              <w:pStyle w:val="Tabletextnospace"/>
              <w:rPr>
                <w:b/>
                <w:bCs/>
                <w:sz w:val="19"/>
                <w:szCs w:val="19"/>
              </w:rPr>
            </w:pPr>
            <w:r w:rsidRPr="00F41508">
              <w:rPr>
                <w:b/>
                <w:bCs/>
                <w:sz w:val="19"/>
                <w:szCs w:val="19"/>
              </w:rPr>
              <w:t>Cost</w:t>
            </w:r>
          </w:p>
        </w:tc>
      </w:tr>
      <w:tr w:rsidR="00255EC0" w:rsidRPr="00F41508" w14:paraId="113A3BBB" w14:textId="77777777" w:rsidTr="00E8460A">
        <w:trPr>
          <w:trHeight w:val="113"/>
        </w:trPr>
        <w:tc>
          <w:tcPr>
            <w:tcW w:w="4660" w:type="dxa"/>
          </w:tcPr>
          <w:p w14:paraId="4D4D9337" w14:textId="77777777" w:rsidR="00255EC0" w:rsidRPr="00F41508" w:rsidRDefault="00255EC0" w:rsidP="0072291D">
            <w:pPr>
              <w:pStyle w:val="Tabletextnospace"/>
              <w:rPr>
                <w:sz w:val="19"/>
                <w:szCs w:val="19"/>
              </w:rPr>
            </w:pPr>
            <w:r w:rsidRPr="00F41508">
              <w:rPr>
                <w:sz w:val="19"/>
                <w:szCs w:val="19"/>
              </w:rPr>
              <w:t>Total output cost</w:t>
            </w:r>
          </w:p>
        </w:tc>
        <w:tc>
          <w:tcPr>
            <w:tcW w:w="964" w:type="dxa"/>
          </w:tcPr>
          <w:p w14:paraId="341570F5" w14:textId="77777777" w:rsidR="00255EC0" w:rsidRPr="00F41508" w:rsidRDefault="00255EC0" w:rsidP="0072291D">
            <w:pPr>
              <w:pStyle w:val="Tabletextnospace"/>
              <w:jc w:val="right"/>
              <w:rPr>
                <w:sz w:val="19"/>
                <w:szCs w:val="19"/>
              </w:rPr>
            </w:pPr>
            <w:r w:rsidRPr="00F41508">
              <w:rPr>
                <w:sz w:val="19"/>
                <w:szCs w:val="19"/>
              </w:rPr>
              <w:t>$ million</w:t>
            </w:r>
          </w:p>
        </w:tc>
        <w:tc>
          <w:tcPr>
            <w:tcW w:w="964" w:type="dxa"/>
          </w:tcPr>
          <w:p w14:paraId="359B47E3" w14:textId="77777777" w:rsidR="00255EC0" w:rsidRPr="00F41508" w:rsidRDefault="00255EC0" w:rsidP="0072291D">
            <w:pPr>
              <w:pStyle w:val="Tabletextnospace"/>
              <w:jc w:val="right"/>
              <w:rPr>
                <w:sz w:val="19"/>
                <w:szCs w:val="19"/>
              </w:rPr>
            </w:pPr>
            <w:r w:rsidRPr="00F41508">
              <w:rPr>
                <w:sz w:val="19"/>
                <w:szCs w:val="19"/>
              </w:rPr>
              <w:t>438.0</w:t>
            </w:r>
          </w:p>
        </w:tc>
        <w:tc>
          <w:tcPr>
            <w:tcW w:w="963" w:type="dxa"/>
          </w:tcPr>
          <w:p w14:paraId="2121A3FC" w14:textId="77777777" w:rsidR="00255EC0" w:rsidRPr="00F41508" w:rsidRDefault="00255EC0" w:rsidP="0072291D">
            <w:pPr>
              <w:pStyle w:val="Tabletextnospace"/>
              <w:jc w:val="right"/>
              <w:rPr>
                <w:sz w:val="19"/>
                <w:szCs w:val="19"/>
              </w:rPr>
            </w:pPr>
            <w:r w:rsidRPr="00F41508">
              <w:rPr>
                <w:sz w:val="19"/>
                <w:szCs w:val="19"/>
              </w:rPr>
              <w:t>399.4</w:t>
            </w:r>
          </w:p>
        </w:tc>
        <w:tc>
          <w:tcPr>
            <w:tcW w:w="1375" w:type="dxa"/>
          </w:tcPr>
          <w:p w14:paraId="229CD031" w14:textId="77777777" w:rsidR="00255EC0" w:rsidRPr="00F41508" w:rsidRDefault="00255EC0" w:rsidP="0072291D">
            <w:pPr>
              <w:pStyle w:val="Tabletextnospace"/>
              <w:jc w:val="right"/>
              <w:rPr>
                <w:sz w:val="19"/>
                <w:szCs w:val="19"/>
              </w:rPr>
            </w:pPr>
            <w:r w:rsidRPr="00F41508">
              <w:rPr>
                <w:sz w:val="19"/>
                <w:szCs w:val="19"/>
              </w:rPr>
              <w:t>10.0%</w:t>
            </w:r>
          </w:p>
        </w:tc>
        <w:tc>
          <w:tcPr>
            <w:tcW w:w="850" w:type="dxa"/>
          </w:tcPr>
          <w:p w14:paraId="74EBB2E0"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19"/>
                <w:szCs w:val="19"/>
                <w:lang w:val="en-GB"/>
              </w:rPr>
            </w:pPr>
            <w:r w:rsidRPr="00F41508">
              <w:rPr>
                <w:rFonts w:ascii="Wingdings" w:hAnsi="Wingdings" w:cs="Wingdings"/>
                <w:position w:val="-2"/>
                <w:sz w:val="19"/>
                <w:szCs w:val="19"/>
                <w:lang w:val="en-GB"/>
              </w:rPr>
              <w:t>n</w:t>
            </w:r>
          </w:p>
        </w:tc>
      </w:tr>
      <w:tr w:rsidR="00255EC0" w:rsidRPr="00F41508" w14:paraId="0E854BBB" w14:textId="77777777" w:rsidTr="00E8460A">
        <w:trPr>
          <w:trHeight w:val="113"/>
        </w:trPr>
        <w:tc>
          <w:tcPr>
            <w:tcW w:w="9776" w:type="dxa"/>
            <w:gridSpan w:val="6"/>
          </w:tcPr>
          <w:p w14:paraId="02122E42" w14:textId="77777777" w:rsidR="00255EC0" w:rsidRPr="00F41508" w:rsidRDefault="00255EC0" w:rsidP="0072291D">
            <w:pPr>
              <w:pStyle w:val="Tabletextnospace"/>
              <w:rPr>
                <w:i/>
                <w:iCs/>
                <w:sz w:val="19"/>
                <w:szCs w:val="19"/>
              </w:rPr>
            </w:pPr>
            <w:r w:rsidRPr="00F41508">
              <w:rPr>
                <w:i/>
                <w:iCs/>
                <w:sz w:val="19"/>
                <w:szCs w:val="19"/>
              </w:rPr>
              <w:t>The 2019–20 result was higher than budget primarily due to additional agency expenditure funded by the Experience Economy Survival Package and third-party revenue.</w:t>
            </w:r>
          </w:p>
        </w:tc>
      </w:tr>
      <w:tr w:rsidR="00255EC0" w:rsidRPr="00F41508" w14:paraId="4BE59478" w14:textId="77777777" w:rsidTr="00E8460A">
        <w:trPr>
          <w:trHeight w:val="113"/>
        </w:trPr>
        <w:tc>
          <w:tcPr>
            <w:tcW w:w="9776" w:type="dxa"/>
            <w:gridSpan w:val="6"/>
          </w:tcPr>
          <w:p w14:paraId="2AB70FCA" w14:textId="77777777" w:rsidR="00255EC0" w:rsidRPr="00F41508" w:rsidRDefault="00255EC0" w:rsidP="0072291D">
            <w:pPr>
              <w:pStyle w:val="Tablefootnote"/>
              <w:rPr>
                <w:sz w:val="17"/>
                <w:szCs w:val="17"/>
              </w:rPr>
            </w:pPr>
            <w:r w:rsidRPr="00F41508">
              <w:rPr>
                <w:sz w:val="17"/>
                <w:szCs w:val="17"/>
              </w:rPr>
              <w:t>Note:</w:t>
            </w:r>
            <w:r w:rsidRPr="00F41508">
              <w:rPr>
                <w:sz w:val="17"/>
                <w:szCs w:val="17"/>
              </w:rPr>
              <w:t> </w:t>
            </w:r>
            <w:r w:rsidRPr="00F41508">
              <w:rPr>
                <w:sz w:val="17"/>
                <w:szCs w:val="17"/>
              </w:rPr>
              <w:br/>
            </w:r>
            <w:r w:rsidRPr="00F41508">
              <w:rPr>
                <w:rFonts w:ascii="Wingdings" w:hAnsi="Wingdings" w:cs="Wingdings"/>
                <w:sz w:val="17"/>
                <w:szCs w:val="17"/>
              </w:rPr>
              <w:t>ü</w:t>
            </w:r>
            <w:r w:rsidRPr="00F41508">
              <w:rPr>
                <w:rFonts w:ascii="VIC" w:hAnsi="VIC" w:cs="VIC"/>
                <w:sz w:val="17"/>
                <w:szCs w:val="17"/>
              </w:rPr>
              <w:t xml:space="preserve"> </w:t>
            </w:r>
            <w:r w:rsidRPr="00F41508">
              <w:rPr>
                <w:sz w:val="17"/>
                <w:szCs w:val="17"/>
              </w:rPr>
              <w:t>Performance target achieved or exceeded</w:t>
            </w:r>
            <w:r w:rsidRPr="00F41508">
              <w:rPr>
                <w:sz w:val="17"/>
                <w:szCs w:val="17"/>
              </w:rPr>
              <w:br/>
            </w:r>
            <w:r w:rsidRPr="00F41508">
              <w:rPr>
                <w:rFonts w:ascii="Wingdings 2" w:hAnsi="Wingdings 2" w:cs="Wingdings 2"/>
                <w:sz w:val="17"/>
                <w:szCs w:val="17"/>
              </w:rPr>
              <w:t>™</w:t>
            </w:r>
            <w:r w:rsidRPr="00F41508">
              <w:rPr>
                <w:rFonts w:ascii="VIC" w:hAnsi="VIC" w:cs="VIC"/>
                <w:sz w:val="17"/>
                <w:szCs w:val="17"/>
              </w:rPr>
              <w:t xml:space="preserve"> </w:t>
            </w:r>
            <w:r w:rsidRPr="00F41508">
              <w:rPr>
                <w:sz w:val="17"/>
                <w:szCs w:val="17"/>
              </w:rPr>
              <w:t>Performance target not achieved – within 5 per cent variance</w:t>
            </w:r>
            <w:r w:rsidRPr="00F41508">
              <w:rPr>
                <w:sz w:val="17"/>
                <w:szCs w:val="17"/>
              </w:rPr>
              <w:br/>
            </w:r>
            <w:r w:rsidRPr="00F41508">
              <w:rPr>
                <w:rFonts w:ascii="Wingdings" w:hAnsi="Wingdings" w:cs="Wingdings"/>
                <w:sz w:val="17"/>
                <w:szCs w:val="17"/>
              </w:rPr>
              <w:t>n</w:t>
            </w:r>
            <w:r w:rsidRPr="00F41508">
              <w:rPr>
                <w:sz w:val="17"/>
                <w:szCs w:val="17"/>
              </w:rPr>
              <w:t xml:space="preserve"> Performance target not achieved – exceeds 5 per cent variance</w:t>
            </w:r>
          </w:p>
        </w:tc>
      </w:tr>
    </w:tbl>
    <w:p w14:paraId="417DA280" w14:textId="77777777" w:rsidR="00255EC0" w:rsidRPr="00255EC0" w:rsidRDefault="00255EC0" w:rsidP="00F41508">
      <w:pPr>
        <w:pStyle w:val="Body"/>
      </w:pPr>
    </w:p>
    <w:p w14:paraId="0BCFD95A" w14:textId="689B6BEB" w:rsidR="00255EC0" w:rsidRPr="00255EC0" w:rsidRDefault="00255EC0" w:rsidP="00F41508">
      <w:pPr>
        <w:pStyle w:val="Body"/>
      </w:pPr>
      <w:r w:rsidRPr="00255EC0">
        <w:t>Table 21 represents performance against the Cultural Infrastructure and Facilities output. This output supports Victorian cultural venues and state-owned facilities through strategic assessment and provision</w:t>
      </w:r>
      <w:r w:rsidR="00F41508">
        <w:t xml:space="preserve"> </w:t>
      </w:r>
      <w:r w:rsidRPr="00255EC0">
        <w:t>of advice on portfolio infrastructure proposals and projects. The output includes consolidation of portfolio asset management plans and management of funding programs for maintenance and minor capital works.</w:t>
      </w:r>
    </w:p>
    <w:p w14:paraId="3FD204CC" w14:textId="77777777" w:rsidR="00255EC0" w:rsidRPr="00255EC0" w:rsidRDefault="00255EC0" w:rsidP="00F41508">
      <w:pPr>
        <w:pStyle w:val="Heading5"/>
      </w:pPr>
      <w:r w:rsidRPr="00255EC0">
        <w:lastRenderedPageBreak/>
        <w:t>Table 21: Output – Cultural Infrastructure and Facilities</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F41508" w14:paraId="6D048120" w14:textId="77777777" w:rsidTr="00E8460A">
        <w:trPr>
          <w:trHeight w:val="113"/>
        </w:trPr>
        <w:tc>
          <w:tcPr>
            <w:tcW w:w="4660" w:type="dxa"/>
          </w:tcPr>
          <w:p w14:paraId="770EDB4D" w14:textId="77777777" w:rsidR="00255EC0" w:rsidRPr="00F41508" w:rsidRDefault="00255EC0" w:rsidP="00F41508">
            <w:pPr>
              <w:pStyle w:val="TableColumnheading"/>
              <w:rPr>
                <w:sz w:val="20"/>
              </w:rPr>
            </w:pPr>
            <w:r w:rsidRPr="00F41508">
              <w:rPr>
                <w:sz w:val="20"/>
              </w:rPr>
              <w:t xml:space="preserve">Performance measures </w:t>
            </w:r>
          </w:p>
        </w:tc>
        <w:tc>
          <w:tcPr>
            <w:tcW w:w="964" w:type="dxa"/>
          </w:tcPr>
          <w:p w14:paraId="100006F8" w14:textId="77777777" w:rsidR="00255EC0" w:rsidRPr="00F41508" w:rsidRDefault="00255EC0" w:rsidP="00F41508">
            <w:pPr>
              <w:pStyle w:val="TableColumnheading"/>
              <w:jc w:val="right"/>
              <w:rPr>
                <w:sz w:val="20"/>
              </w:rPr>
            </w:pPr>
            <w:r w:rsidRPr="00F41508">
              <w:rPr>
                <w:sz w:val="20"/>
              </w:rPr>
              <w:t>Unit of measure</w:t>
            </w:r>
          </w:p>
        </w:tc>
        <w:tc>
          <w:tcPr>
            <w:tcW w:w="964" w:type="dxa"/>
          </w:tcPr>
          <w:p w14:paraId="6C182471" w14:textId="77777777" w:rsidR="00255EC0" w:rsidRPr="00F41508" w:rsidRDefault="00255EC0" w:rsidP="00F41508">
            <w:pPr>
              <w:pStyle w:val="TableColumnheading"/>
              <w:jc w:val="right"/>
              <w:rPr>
                <w:sz w:val="20"/>
              </w:rPr>
            </w:pPr>
            <w:r w:rsidRPr="00F41508">
              <w:rPr>
                <w:sz w:val="20"/>
              </w:rPr>
              <w:t>2019–20 actual</w:t>
            </w:r>
          </w:p>
        </w:tc>
        <w:tc>
          <w:tcPr>
            <w:tcW w:w="963" w:type="dxa"/>
          </w:tcPr>
          <w:p w14:paraId="753B06C6" w14:textId="77777777" w:rsidR="00255EC0" w:rsidRPr="00F41508" w:rsidRDefault="00255EC0" w:rsidP="00F41508">
            <w:pPr>
              <w:pStyle w:val="TableColumnheading"/>
              <w:jc w:val="right"/>
              <w:rPr>
                <w:sz w:val="20"/>
              </w:rPr>
            </w:pPr>
            <w:r w:rsidRPr="00F41508">
              <w:rPr>
                <w:sz w:val="20"/>
              </w:rPr>
              <w:t>2019–20 target</w:t>
            </w:r>
          </w:p>
        </w:tc>
        <w:tc>
          <w:tcPr>
            <w:tcW w:w="1375" w:type="dxa"/>
          </w:tcPr>
          <w:p w14:paraId="747FC05B" w14:textId="77777777" w:rsidR="00255EC0" w:rsidRPr="00F41508" w:rsidRDefault="00255EC0" w:rsidP="00F41508">
            <w:pPr>
              <w:pStyle w:val="TableColumnheading"/>
              <w:jc w:val="right"/>
              <w:rPr>
                <w:sz w:val="20"/>
              </w:rPr>
            </w:pPr>
            <w:r w:rsidRPr="00F41508">
              <w:rPr>
                <w:sz w:val="20"/>
              </w:rPr>
              <w:t xml:space="preserve">Performance variation (%) </w:t>
            </w:r>
          </w:p>
        </w:tc>
        <w:tc>
          <w:tcPr>
            <w:tcW w:w="850" w:type="dxa"/>
          </w:tcPr>
          <w:p w14:paraId="64034896" w14:textId="77777777" w:rsidR="00255EC0" w:rsidRPr="00F41508" w:rsidRDefault="00255EC0" w:rsidP="00F41508">
            <w:pPr>
              <w:pStyle w:val="TableColumnheading"/>
              <w:jc w:val="right"/>
              <w:rPr>
                <w:sz w:val="20"/>
              </w:rPr>
            </w:pPr>
            <w:r w:rsidRPr="00F41508">
              <w:rPr>
                <w:sz w:val="20"/>
              </w:rPr>
              <w:t xml:space="preserve">Result </w:t>
            </w:r>
          </w:p>
        </w:tc>
      </w:tr>
      <w:tr w:rsidR="00255EC0" w:rsidRPr="00F41508" w14:paraId="3C2A65C4" w14:textId="77777777" w:rsidTr="00E8460A">
        <w:trPr>
          <w:trHeight w:val="113"/>
        </w:trPr>
        <w:tc>
          <w:tcPr>
            <w:tcW w:w="9776" w:type="dxa"/>
            <w:gridSpan w:val="6"/>
          </w:tcPr>
          <w:p w14:paraId="60DA9246" w14:textId="77777777" w:rsidR="00255EC0" w:rsidRPr="00F41508" w:rsidRDefault="00255EC0" w:rsidP="00F41508">
            <w:pPr>
              <w:pStyle w:val="Tabletextnospace"/>
              <w:rPr>
                <w:b/>
                <w:bCs/>
                <w:sz w:val="20"/>
                <w:szCs w:val="20"/>
              </w:rPr>
            </w:pPr>
            <w:r w:rsidRPr="00F41508">
              <w:rPr>
                <w:b/>
                <w:bCs/>
                <w:sz w:val="20"/>
                <w:szCs w:val="20"/>
              </w:rPr>
              <w:t>Quantity</w:t>
            </w:r>
          </w:p>
        </w:tc>
      </w:tr>
      <w:tr w:rsidR="00255EC0" w:rsidRPr="00F41508" w14:paraId="249AFA74" w14:textId="77777777" w:rsidTr="00E8460A">
        <w:trPr>
          <w:trHeight w:val="113"/>
        </w:trPr>
        <w:tc>
          <w:tcPr>
            <w:tcW w:w="4660" w:type="dxa"/>
          </w:tcPr>
          <w:p w14:paraId="418EDDFB" w14:textId="77777777" w:rsidR="00255EC0" w:rsidRPr="00F41508" w:rsidRDefault="00255EC0" w:rsidP="00F41508">
            <w:pPr>
              <w:pStyle w:val="Tabletextnospace"/>
              <w:rPr>
                <w:sz w:val="20"/>
                <w:szCs w:val="20"/>
              </w:rPr>
            </w:pPr>
            <w:r w:rsidRPr="00F41508">
              <w:rPr>
                <w:sz w:val="20"/>
                <w:szCs w:val="20"/>
              </w:rPr>
              <w:t xml:space="preserve">All facility safety audits conducted </w:t>
            </w:r>
          </w:p>
        </w:tc>
        <w:tc>
          <w:tcPr>
            <w:tcW w:w="964" w:type="dxa"/>
          </w:tcPr>
          <w:p w14:paraId="20E6AE7E" w14:textId="77777777" w:rsidR="00255EC0" w:rsidRPr="00F41508" w:rsidRDefault="00255EC0" w:rsidP="00F41508">
            <w:pPr>
              <w:pStyle w:val="Tabletextnospace"/>
              <w:jc w:val="right"/>
              <w:rPr>
                <w:sz w:val="20"/>
                <w:szCs w:val="20"/>
              </w:rPr>
            </w:pPr>
            <w:r w:rsidRPr="00F41508">
              <w:rPr>
                <w:sz w:val="20"/>
                <w:szCs w:val="20"/>
              </w:rPr>
              <w:t>number</w:t>
            </w:r>
          </w:p>
        </w:tc>
        <w:tc>
          <w:tcPr>
            <w:tcW w:w="964" w:type="dxa"/>
          </w:tcPr>
          <w:p w14:paraId="4CC0D61D" w14:textId="77777777" w:rsidR="00255EC0" w:rsidRPr="00F41508" w:rsidRDefault="00255EC0" w:rsidP="00F41508">
            <w:pPr>
              <w:pStyle w:val="Tabletextnospace"/>
              <w:jc w:val="right"/>
              <w:rPr>
                <w:sz w:val="20"/>
                <w:szCs w:val="20"/>
              </w:rPr>
            </w:pPr>
            <w:r w:rsidRPr="00F41508">
              <w:rPr>
                <w:sz w:val="20"/>
                <w:szCs w:val="20"/>
              </w:rPr>
              <w:t>16</w:t>
            </w:r>
          </w:p>
        </w:tc>
        <w:tc>
          <w:tcPr>
            <w:tcW w:w="963" w:type="dxa"/>
          </w:tcPr>
          <w:p w14:paraId="1CE2F52C" w14:textId="77777777" w:rsidR="00255EC0" w:rsidRPr="00F41508" w:rsidRDefault="00255EC0" w:rsidP="00F41508">
            <w:pPr>
              <w:pStyle w:val="Tabletextnospace"/>
              <w:jc w:val="right"/>
              <w:rPr>
                <w:sz w:val="20"/>
                <w:szCs w:val="20"/>
              </w:rPr>
            </w:pPr>
            <w:r w:rsidRPr="00F41508">
              <w:rPr>
                <w:sz w:val="20"/>
                <w:szCs w:val="20"/>
              </w:rPr>
              <w:t>16</w:t>
            </w:r>
          </w:p>
        </w:tc>
        <w:tc>
          <w:tcPr>
            <w:tcW w:w="1375" w:type="dxa"/>
          </w:tcPr>
          <w:p w14:paraId="49E45C45" w14:textId="77777777" w:rsidR="00255EC0" w:rsidRPr="00F41508" w:rsidRDefault="00255EC0" w:rsidP="00F41508">
            <w:pPr>
              <w:pStyle w:val="Tabletextnospace"/>
              <w:jc w:val="right"/>
              <w:rPr>
                <w:sz w:val="20"/>
                <w:szCs w:val="20"/>
              </w:rPr>
            </w:pPr>
            <w:r w:rsidRPr="00F41508">
              <w:rPr>
                <w:sz w:val="20"/>
                <w:szCs w:val="20"/>
              </w:rPr>
              <w:t>0.0%</w:t>
            </w:r>
          </w:p>
        </w:tc>
        <w:tc>
          <w:tcPr>
            <w:tcW w:w="850" w:type="dxa"/>
          </w:tcPr>
          <w:p w14:paraId="58B4A140"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41508">
              <w:rPr>
                <w:rFonts w:ascii="Wingdings" w:hAnsi="Wingdings" w:cs="Wingdings"/>
                <w:position w:val="-2"/>
                <w:sz w:val="20"/>
                <w:lang w:val="en-GB"/>
              </w:rPr>
              <w:t>ü</w:t>
            </w:r>
          </w:p>
        </w:tc>
      </w:tr>
      <w:tr w:rsidR="00255EC0" w:rsidRPr="00F41508" w14:paraId="45B9429B" w14:textId="77777777" w:rsidTr="00E8460A">
        <w:trPr>
          <w:trHeight w:val="113"/>
        </w:trPr>
        <w:tc>
          <w:tcPr>
            <w:tcW w:w="4660" w:type="dxa"/>
          </w:tcPr>
          <w:p w14:paraId="688704B0" w14:textId="77777777" w:rsidR="00255EC0" w:rsidRPr="00F41508" w:rsidRDefault="00255EC0" w:rsidP="00F41508">
            <w:pPr>
              <w:pStyle w:val="Tabletextnospace"/>
              <w:rPr>
                <w:sz w:val="20"/>
                <w:szCs w:val="20"/>
              </w:rPr>
            </w:pPr>
            <w:r w:rsidRPr="00F41508">
              <w:rPr>
                <w:sz w:val="20"/>
                <w:szCs w:val="20"/>
              </w:rPr>
              <w:t>Infrastructure development projects underway</w:t>
            </w:r>
          </w:p>
        </w:tc>
        <w:tc>
          <w:tcPr>
            <w:tcW w:w="964" w:type="dxa"/>
          </w:tcPr>
          <w:p w14:paraId="1ECBB7E5" w14:textId="77777777" w:rsidR="00255EC0" w:rsidRPr="00F41508" w:rsidRDefault="00255EC0" w:rsidP="00F41508">
            <w:pPr>
              <w:pStyle w:val="Tabletextnospace"/>
              <w:jc w:val="right"/>
              <w:rPr>
                <w:sz w:val="20"/>
                <w:szCs w:val="20"/>
              </w:rPr>
            </w:pPr>
            <w:r w:rsidRPr="00F41508">
              <w:rPr>
                <w:sz w:val="20"/>
                <w:szCs w:val="20"/>
              </w:rPr>
              <w:t>number</w:t>
            </w:r>
          </w:p>
        </w:tc>
        <w:tc>
          <w:tcPr>
            <w:tcW w:w="964" w:type="dxa"/>
          </w:tcPr>
          <w:p w14:paraId="085A8B82" w14:textId="77777777" w:rsidR="00255EC0" w:rsidRPr="00F41508" w:rsidRDefault="00255EC0" w:rsidP="00F41508">
            <w:pPr>
              <w:pStyle w:val="Tabletextnospace"/>
              <w:jc w:val="right"/>
              <w:rPr>
                <w:sz w:val="20"/>
                <w:szCs w:val="20"/>
              </w:rPr>
            </w:pPr>
            <w:r w:rsidRPr="00F41508">
              <w:rPr>
                <w:sz w:val="20"/>
                <w:szCs w:val="20"/>
              </w:rPr>
              <w:t>5</w:t>
            </w:r>
          </w:p>
        </w:tc>
        <w:tc>
          <w:tcPr>
            <w:tcW w:w="963" w:type="dxa"/>
          </w:tcPr>
          <w:p w14:paraId="14A6C05D" w14:textId="77777777" w:rsidR="00255EC0" w:rsidRPr="00F41508" w:rsidRDefault="00255EC0" w:rsidP="00F41508">
            <w:pPr>
              <w:pStyle w:val="Tabletextnospace"/>
              <w:jc w:val="right"/>
              <w:rPr>
                <w:sz w:val="20"/>
                <w:szCs w:val="20"/>
              </w:rPr>
            </w:pPr>
            <w:r w:rsidRPr="00F41508">
              <w:rPr>
                <w:sz w:val="20"/>
                <w:szCs w:val="20"/>
              </w:rPr>
              <w:t>5</w:t>
            </w:r>
          </w:p>
        </w:tc>
        <w:tc>
          <w:tcPr>
            <w:tcW w:w="1375" w:type="dxa"/>
          </w:tcPr>
          <w:p w14:paraId="5C2E63DC" w14:textId="77777777" w:rsidR="00255EC0" w:rsidRPr="00F41508" w:rsidRDefault="00255EC0" w:rsidP="00F41508">
            <w:pPr>
              <w:pStyle w:val="Tabletextnospace"/>
              <w:jc w:val="right"/>
              <w:rPr>
                <w:sz w:val="20"/>
                <w:szCs w:val="20"/>
              </w:rPr>
            </w:pPr>
            <w:r w:rsidRPr="00F41508">
              <w:rPr>
                <w:sz w:val="20"/>
                <w:szCs w:val="20"/>
              </w:rPr>
              <w:t>0.0%</w:t>
            </w:r>
          </w:p>
        </w:tc>
        <w:tc>
          <w:tcPr>
            <w:tcW w:w="850" w:type="dxa"/>
          </w:tcPr>
          <w:p w14:paraId="7AB9D1F9"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41508">
              <w:rPr>
                <w:rFonts w:ascii="Wingdings" w:hAnsi="Wingdings" w:cs="Wingdings"/>
                <w:position w:val="-2"/>
                <w:sz w:val="20"/>
                <w:lang w:val="en-GB"/>
              </w:rPr>
              <w:t>ü</w:t>
            </w:r>
          </w:p>
        </w:tc>
      </w:tr>
      <w:tr w:rsidR="00255EC0" w:rsidRPr="00F41508" w14:paraId="130CE839" w14:textId="77777777" w:rsidTr="00E8460A">
        <w:trPr>
          <w:trHeight w:val="113"/>
        </w:trPr>
        <w:tc>
          <w:tcPr>
            <w:tcW w:w="9776" w:type="dxa"/>
            <w:gridSpan w:val="6"/>
          </w:tcPr>
          <w:p w14:paraId="6F3D059A" w14:textId="77777777" w:rsidR="00255EC0" w:rsidRPr="00F41508" w:rsidRDefault="00255EC0" w:rsidP="00F41508">
            <w:pPr>
              <w:pStyle w:val="Tabletextnospace"/>
              <w:rPr>
                <w:b/>
                <w:bCs/>
                <w:sz w:val="20"/>
                <w:szCs w:val="20"/>
              </w:rPr>
            </w:pPr>
            <w:r w:rsidRPr="00F41508">
              <w:rPr>
                <w:b/>
                <w:bCs/>
                <w:sz w:val="20"/>
                <w:szCs w:val="20"/>
              </w:rPr>
              <w:t>Quality</w:t>
            </w:r>
          </w:p>
        </w:tc>
      </w:tr>
      <w:tr w:rsidR="00255EC0" w:rsidRPr="00F41508" w14:paraId="7D06E7E3" w14:textId="77777777" w:rsidTr="00E8460A">
        <w:trPr>
          <w:trHeight w:val="113"/>
        </w:trPr>
        <w:tc>
          <w:tcPr>
            <w:tcW w:w="4660" w:type="dxa"/>
          </w:tcPr>
          <w:p w14:paraId="71358F2C" w14:textId="77777777" w:rsidR="00255EC0" w:rsidRPr="00F41508" w:rsidRDefault="00255EC0" w:rsidP="00F41508">
            <w:pPr>
              <w:pStyle w:val="Tabletextnospace"/>
              <w:rPr>
                <w:sz w:val="20"/>
                <w:szCs w:val="20"/>
              </w:rPr>
            </w:pPr>
            <w:r w:rsidRPr="00F41508">
              <w:rPr>
                <w:sz w:val="20"/>
                <w:szCs w:val="20"/>
              </w:rPr>
              <w:t>State-owned tenanted cultural facilities maintained</w:t>
            </w:r>
            <w:r w:rsidRPr="00F41508">
              <w:rPr>
                <w:sz w:val="20"/>
                <w:szCs w:val="20"/>
              </w:rPr>
              <w:br/>
              <w:t>to agreed service standards</w:t>
            </w:r>
          </w:p>
        </w:tc>
        <w:tc>
          <w:tcPr>
            <w:tcW w:w="964" w:type="dxa"/>
          </w:tcPr>
          <w:p w14:paraId="2EC27B3A" w14:textId="77777777" w:rsidR="00255EC0" w:rsidRPr="00F41508" w:rsidRDefault="00255EC0" w:rsidP="00F41508">
            <w:pPr>
              <w:pStyle w:val="Tabletextnospace"/>
              <w:jc w:val="right"/>
              <w:rPr>
                <w:sz w:val="20"/>
                <w:szCs w:val="20"/>
              </w:rPr>
            </w:pPr>
            <w:r w:rsidRPr="00F41508">
              <w:rPr>
                <w:sz w:val="20"/>
                <w:szCs w:val="20"/>
              </w:rPr>
              <w:t>per cent</w:t>
            </w:r>
          </w:p>
        </w:tc>
        <w:tc>
          <w:tcPr>
            <w:tcW w:w="964" w:type="dxa"/>
          </w:tcPr>
          <w:p w14:paraId="75FE3DCD" w14:textId="77777777" w:rsidR="00255EC0" w:rsidRPr="00F41508" w:rsidRDefault="00255EC0" w:rsidP="00F41508">
            <w:pPr>
              <w:pStyle w:val="Tabletextnospace"/>
              <w:jc w:val="right"/>
              <w:rPr>
                <w:sz w:val="20"/>
                <w:szCs w:val="20"/>
              </w:rPr>
            </w:pPr>
            <w:r w:rsidRPr="00F41508">
              <w:rPr>
                <w:sz w:val="20"/>
                <w:szCs w:val="20"/>
              </w:rPr>
              <w:t>60</w:t>
            </w:r>
          </w:p>
        </w:tc>
        <w:tc>
          <w:tcPr>
            <w:tcW w:w="963" w:type="dxa"/>
          </w:tcPr>
          <w:p w14:paraId="3595EA98" w14:textId="77777777" w:rsidR="00255EC0" w:rsidRPr="00F41508" w:rsidRDefault="00255EC0" w:rsidP="00F41508">
            <w:pPr>
              <w:pStyle w:val="Tabletextnospace"/>
              <w:jc w:val="right"/>
              <w:rPr>
                <w:sz w:val="20"/>
                <w:szCs w:val="20"/>
              </w:rPr>
            </w:pPr>
            <w:r w:rsidRPr="00F41508">
              <w:rPr>
                <w:sz w:val="20"/>
                <w:szCs w:val="20"/>
              </w:rPr>
              <w:t>90</w:t>
            </w:r>
          </w:p>
        </w:tc>
        <w:tc>
          <w:tcPr>
            <w:tcW w:w="1375" w:type="dxa"/>
          </w:tcPr>
          <w:p w14:paraId="53558C47" w14:textId="77777777" w:rsidR="00255EC0" w:rsidRPr="00F41508" w:rsidRDefault="00255EC0" w:rsidP="00F41508">
            <w:pPr>
              <w:pStyle w:val="Tabletextnospace"/>
              <w:jc w:val="right"/>
              <w:rPr>
                <w:sz w:val="20"/>
                <w:szCs w:val="20"/>
              </w:rPr>
            </w:pPr>
            <w:r w:rsidRPr="00F41508">
              <w:rPr>
                <w:sz w:val="20"/>
                <w:szCs w:val="20"/>
              </w:rPr>
              <w:t>-33.3%</w:t>
            </w:r>
          </w:p>
        </w:tc>
        <w:tc>
          <w:tcPr>
            <w:tcW w:w="850" w:type="dxa"/>
          </w:tcPr>
          <w:p w14:paraId="13F36F70"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41508">
              <w:rPr>
                <w:rFonts w:ascii="Wingdings" w:hAnsi="Wingdings" w:cs="Wingdings"/>
                <w:position w:val="-2"/>
                <w:sz w:val="20"/>
                <w:lang w:val="en-GB"/>
              </w:rPr>
              <w:t>n</w:t>
            </w:r>
          </w:p>
        </w:tc>
      </w:tr>
      <w:tr w:rsidR="00255EC0" w:rsidRPr="00F41508" w14:paraId="1039B6C6" w14:textId="77777777" w:rsidTr="00E8460A">
        <w:trPr>
          <w:trHeight w:val="113"/>
        </w:trPr>
        <w:tc>
          <w:tcPr>
            <w:tcW w:w="9776" w:type="dxa"/>
            <w:gridSpan w:val="6"/>
          </w:tcPr>
          <w:p w14:paraId="0CFAE541" w14:textId="77777777" w:rsidR="00255EC0" w:rsidRPr="00F41508" w:rsidRDefault="00255EC0" w:rsidP="00F41508">
            <w:pPr>
              <w:pStyle w:val="Tabletextnospace"/>
              <w:rPr>
                <w:i/>
                <w:iCs/>
                <w:sz w:val="20"/>
                <w:szCs w:val="20"/>
              </w:rPr>
            </w:pPr>
            <w:r w:rsidRPr="00F41508">
              <w:rPr>
                <w:i/>
                <w:iCs/>
                <w:sz w:val="20"/>
                <w:szCs w:val="20"/>
              </w:rPr>
              <w:t xml:space="preserve">Lower result due to the impact of coronavirus (COVID-19) closing the facilities and preventing contractors from accessing the sites. </w:t>
            </w:r>
          </w:p>
        </w:tc>
      </w:tr>
      <w:tr w:rsidR="00255EC0" w:rsidRPr="00F41508" w14:paraId="1F160112" w14:textId="77777777" w:rsidTr="00E8460A">
        <w:trPr>
          <w:trHeight w:val="113"/>
        </w:trPr>
        <w:tc>
          <w:tcPr>
            <w:tcW w:w="4660" w:type="dxa"/>
          </w:tcPr>
          <w:p w14:paraId="11257A56" w14:textId="77777777" w:rsidR="00255EC0" w:rsidRPr="00F41508" w:rsidRDefault="00255EC0" w:rsidP="00F41508">
            <w:pPr>
              <w:pStyle w:val="Tabletextnospace"/>
              <w:rPr>
                <w:sz w:val="20"/>
                <w:szCs w:val="20"/>
              </w:rPr>
            </w:pPr>
            <w:r w:rsidRPr="00F41508">
              <w:rPr>
                <w:sz w:val="20"/>
                <w:szCs w:val="20"/>
              </w:rPr>
              <w:t>Success measures of projects achieved</w:t>
            </w:r>
          </w:p>
        </w:tc>
        <w:tc>
          <w:tcPr>
            <w:tcW w:w="964" w:type="dxa"/>
          </w:tcPr>
          <w:p w14:paraId="65D2F5C1" w14:textId="77777777" w:rsidR="00255EC0" w:rsidRPr="00F41508" w:rsidRDefault="00255EC0" w:rsidP="00F41508">
            <w:pPr>
              <w:pStyle w:val="Tabletextnospace"/>
              <w:jc w:val="right"/>
              <w:rPr>
                <w:sz w:val="20"/>
                <w:szCs w:val="20"/>
              </w:rPr>
            </w:pPr>
            <w:r w:rsidRPr="00F41508">
              <w:rPr>
                <w:sz w:val="20"/>
                <w:szCs w:val="20"/>
              </w:rPr>
              <w:t>per cent</w:t>
            </w:r>
          </w:p>
        </w:tc>
        <w:tc>
          <w:tcPr>
            <w:tcW w:w="964" w:type="dxa"/>
          </w:tcPr>
          <w:p w14:paraId="692AD603" w14:textId="77777777" w:rsidR="00255EC0" w:rsidRPr="00F41508" w:rsidRDefault="00255EC0" w:rsidP="00F41508">
            <w:pPr>
              <w:pStyle w:val="Tabletextnospace"/>
              <w:jc w:val="right"/>
              <w:rPr>
                <w:sz w:val="20"/>
                <w:szCs w:val="20"/>
              </w:rPr>
            </w:pPr>
            <w:r w:rsidRPr="00F41508">
              <w:rPr>
                <w:sz w:val="20"/>
                <w:szCs w:val="20"/>
              </w:rPr>
              <w:t>88</w:t>
            </w:r>
          </w:p>
        </w:tc>
        <w:tc>
          <w:tcPr>
            <w:tcW w:w="963" w:type="dxa"/>
          </w:tcPr>
          <w:p w14:paraId="2B611652" w14:textId="77777777" w:rsidR="00255EC0" w:rsidRPr="00F41508" w:rsidRDefault="00255EC0" w:rsidP="00F41508">
            <w:pPr>
              <w:pStyle w:val="Tabletextnospace"/>
              <w:jc w:val="right"/>
              <w:rPr>
                <w:sz w:val="20"/>
                <w:szCs w:val="20"/>
              </w:rPr>
            </w:pPr>
            <w:r w:rsidRPr="00F41508">
              <w:rPr>
                <w:sz w:val="20"/>
                <w:szCs w:val="20"/>
              </w:rPr>
              <w:t>90</w:t>
            </w:r>
          </w:p>
        </w:tc>
        <w:tc>
          <w:tcPr>
            <w:tcW w:w="1375" w:type="dxa"/>
          </w:tcPr>
          <w:p w14:paraId="46A20A7A" w14:textId="77777777" w:rsidR="00255EC0" w:rsidRPr="00F41508" w:rsidRDefault="00255EC0" w:rsidP="00F41508">
            <w:pPr>
              <w:pStyle w:val="Tabletextnospace"/>
              <w:jc w:val="right"/>
              <w:rPr>
                <w:sz w:val="20"/>
                <w:szCs w:val="20"/>
              </w:rPr>
            </w:pPr>
            <w:r w:rsidRPr="00F41508">
              <w:rPr>
                <w:sz w:val="20"/>
                <w:szCs w:val="20"/>
              </w:rPr>
              <w:t>-2.2%</w:t>
            </w:r>
          </w:p>
        </w:tc>
        <w:tc>
          <w:tcPr>
            <w:tcW w:w="850" w:type="dxa"/>
          </w:tcPr>
          <w:p w14:paraId="5178B71F" w14:textId="77777777" w:rsidR="00255EC0" w:rsidRPr="00F41508"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F41508">
              <w:rPr>
                <w:rFonts w:ascii="Wingdings 2" w:hAnsi="Wingdings 2" w:cs="Wingdings 2"/>
                <w:sz w:val="20"/>
                <w:lang w:val="en-GB"/>
              </w:rPr>
              <w:t>™</w:t>
            </w:r>
          </w:p>
        </w:tc>
      </w:tr>
      <w:tr w:rsidR="00255EC0" w:rsidRPr="00F41508" w14:paraId="22B5951F" w14:textId="77777777" w:rsidTr="00E8460A">
        <w:trPr>
          <w:trHeight w:val="113"/>
        </w:trPr>
        <w:tc>
          <w:tcPr>
            <w:tcW w:w="9776" w:type="dxa"/>
            <w:gridSpan w:val="6"/>
          </w:tcPr>
          <w:p w14:paraId="2A33DD17" w14:textId="77777777" w:rsidR="00255EC0" w:rsidRPr="00F41508" w:rsidRDefault="00255EC0" w:rsidP="00F41508">
            <w:pPr>
              <w:pStyle w:val="Tabletextnospace"/>
              <w:rPr>
                <w:b/>
                <w:bCs/>
                <w:sz w:val="20"/>
                <w:szCs w:val="20"/>
              </w:rPr>
            </w:pPr>
            <w:r w:rsidRPr="00F41508">
              <w:rPr>
                <w:b/>
                <w:bCs/>
                <w:sz w:val="20"/>
                <w:szCs w:val="20"/>
              </w:rPr>
              <w:t>Timeliness</w:t>
            </w:r>
          </w:p>
        </w:tc>
      </w:tr>
      <w:tr w:rsidR="00255EC0" w:rsidRPr="00F41508" w14:paraId="2B0CF99C" w14:textId="77777777" w:rsidTr="00E8460A">
        <w:trPr>
          <w:trHeight w:val="113"/>
        </w:trPr>
        <w:tc>
          <w:tcPr>
            <w:tcW w:w="4660" w:type="dxa"/>
          </w:tcPr>
          <w:p w14:paraId="2B2690F8" w14:textId="77777777" w:rsidR="00255EC0" w:rsidRPr="00F41508" w:rsidRDefault="00255EC0" w:rsidP="00F41508">
            <w:pPr>
              <w:pStyle w:val="Tabletextnospace"/>
              <w:rPr>
                <w:sz w:val="20"/>
                <w:szCs w:val="20"/>
              </w:rPr>
            </w:pPr>
            <w:r w:rsidRPr="00F41508">
              <w:rPr>
                <w:sz w:val="20"/>
                <w:szCs w:val="20"/>
              </w:rPr>
              <w:t>Cultural Facilities Maintenance Fund projects delivered within agreed timeframes</w:t>
            </w:r>
          </w:p>
        </w:tc>
        <w:tc>
          <w:tcPr>
            <w:tcW w:w="964" w:type="dxa"/>
          </w:tcPr>
          <w:p w14:paraId="0194313F" w14:textId="77777777" w:rsidR="00255EC0" w:rsidRPr="00F41508" w:rsidRDefault="00255EC0" w:rsidP="00F41508">
            <w:pPr>
              <w:pStyle w:val="Tabletextnospace"/>
              <w:jc w:val="right"/>
              <w:rPr>
                <w:sz w:val="20"/>
                <w:szCs w:val="20"/>
              </w:rPr>
            </w:pPr>
            <w:r w:rsidRPr="00F41508">
              <w:rPr>
                <w:sz w:val="20"/>
                <w:szCs w:val="20"/>
              </w:rPr>
              <w:t>per cent</w:t>
            </w:r>
          </w:p>
        </w:tc>
        <w:tc>
          <w:tcPr>
            <w:tcW w:w="964" w:type="dxa"/>
          </w:tcPr>
          <w:p w14:paraId="2D31E560" w14:textId="77777777" w:rsidR="00255EC0" w:rsidRPr="00F41508" w:rsidRDefault="00255EC0" w:rsidP="00F41508">
            <w:pPr>
              <w:pStyle w:val="Tabletextnospace"/>
              <w:jc w:val="right"/>
              <w:rPr>
                <w:sz w:val="20"/>
                <w:szCs w:val="20"/>
              </w:rPr>
            </w:pPr>
            <w:r w:rsidRPr="00F41508">
              <w:rPr>
                <w:sz w:val="20"/>
                <w:szCs w:val="20"/>
              </w:rPr>
              <w:t>92</w:t>
            </w:r>
          </w:p>
        </w:tc>
        <w:tc>
          <w:tcPr>
            <w:tcW w:w="963" w:type="dxa"/>
          </w:tcPr>
          <w:p w14:paraId="6E396326" w14:textId="77777777" w:rsidR="00255EC0" w:rsidRPr="00F41508" w:rsidRDefault="00255EC0" w:rsidP="00F41508">
            <w:pPr>
              <w:pStyle w:val="Tabletextnospace"/>
              <w:jc w:val="right"/>
              <w:rPr>
                <w:sz w:val="20"/>
                <w:szCs w:val="20"/>
              </w:rPr>
            </w:pPr>
            <w:r w:rsidRPr="00F41508">
              <w:rPr>
                <w:sz w:val="20"/>
                <w:szCs w:val="20"/>
              </w:rPr>
              <w:t>90</w:t>
            </w:r>
          </w:p>
        </w:tc>
        <w:tc>
          <w:tcPr>
            <w:tcW w:w="1375" w:type="dxa"/>
          </w:tcPr>
          <w:p w14:paraId="2A9D94E4" w14:textId="77777777" w:rsidR="00255EC0" w:rsidRPr="00F41508" w:rsidRDefault="00255EC0" w:rsidP="00F41508">
            <w:pPr>
              <w:pStyle w:val="Tabletextnospace"/>
              <w:jc w:val="right"/>
              <w:rPr>
                <w:sz w:val="20"/>
                <w:szCs w:val="20"/>
              </w:rPr>
            </w:pPr>
            <w:r w:rsidRPr="00F41508">
              <w:rPr>
                <w:sz w:val="20"/>
                <w:szCs w:val="20"/>
              </w:rPr>
              <w:t>2.2%</w:t>
            </w:r>
          </w:p>
        </w:tc>
        <w:tc>
          <w:tcPr>
            <w:tcW w:w="850" w:type="dxa"/>
          </w:tcPr>
          <w:p w14:paraId="7A65B63B"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41508">
              <w:rPr>
                <w:rFonts w:ascii="Wingdings" w:hAnsi="Wingdings" w:cs="Wingdings"/>
                <w:position w:val="-2"/>
                <w:sz w:val="20"/>
                <w:lang w:val="en-GB"/>
              </w:rPr>
              <w:t>ü</w:t>
            </w:r>
          </w:p>
        </w:tc>
      </w:tr>
      <w:tr w:rsidR="00255EC0" w:rsidRPr="00F41508" w14:paraId="7C8BAD0E" w14:textId="77777777" w:rsidTr="00E8460A">
        <w:trPr>
          <w:trHeight w:val="113"/>
        </w:trPr>
        <w:tc>
          <w:tcPr>
            <w:tcW w:w="9776" w:type="dxa"/>
            <w:gridSpan w:val="6"/>
          </w:tcPr>
          <w:p w14:paraId="2BD09909" w14:textId="77777777" w:rsidR="00255EC0" w:rsidRPr="00F41508" w:rsidRDefault="00255EC0" w:rsidP="00F41508">
            <w:pPr>
              <w:pStyle w:val="Tabletextnospace"/>
              <w:rPr>
                <w:b/>
                <w:bCs/>
                <w:sz w:val="20"/>
                <w:szCs w:val="20"/>
              </w:rPr>
            </w:pPr>
            <w:r w:rsidRPr="00F41508">
              <w:rPr>
                <w:b/>
                <w:bCs/>
                <w:sz w:val="20"/>
                <w:szCs w:val="20"/>
              </w:rPr>
              <w:t>Cost</w:t>
            </w:r>
          </w:p>
        </w:tc>
      </w:tr>
      <w:tr w:rsidR="00255EC0" w:rsidRPr="00F41508" w14:paraId="2D73A55F" w14:textId="77777777" w:rsidTr="00E8460A">
        <w:trPr>
          <w:trHeight w:val="113"/>
        </w:trPr>
        <w:tc>
          <w:tcPr>
            <w:tcW w:w="4660" w:type="dxa"/>
          </w:tcPr>
          <w:p w14:paraId="157AFA89" w14:textId="77777777" w:rsidR="00255EC0" w:rsidRPr="00F41508" w:rsidRDefault="00255EC0" w:rsidP="00F41508">
            <w:pPr>
              <w:pStyle w:val="Tabletextnospace"/>
              <w:rPr>
                <w:b/>
                <w:bCs/>
                <w:sz w:val="20"/>
                <w:szCs w:val="20"/>
              </w:rPr>
            </w:pPr>
            <w:r w:rsidRPr="00F41508">
              <w:rPr>
                <w:b/>
                <w:bCs/>
                <w:sz w:val="20"/>
                <w:szCs w:val="20"/>
              </w:rPr>
              <w:t>Total output cost</w:t>
            </w:r>
          </w:p>
        </w:tc>
        <w:tc>
          <w:tcPr>
            <w:tcW w:w="964" w:type="dxa"/>
          </w:tcPr>
          <w:p w14:paraId="29EA0468" w14:textId="77777777" w:rsidR="00255EC0" w:rsidRPr="00F41508" w:rsidRDefault="00255EC0" w:rsidP="00F41508">
            <w:pPr>
              <w:pStyle w:val="Tabletextnospace"/>
              <w:jc w:val="right"/>
              <w:rPr>
                <w:b/>
                <w:bCs/>
                <w:sz w:val="20"/>
                <w:szCs w:val="20"/>
              </w:rPr>
            </w:pPr>
            <w:r w:rsidRPr="00F41508">
              <w:rPr>
                <w:b/>
                <w:bCs/>
                <w:sz w:val="20"/>
                <w:szCs w:val="20"/>
              </w:rPr>
              <w:t>$ million</w:t>
            </w:r>
          </w:p>
        </w:tc>
        <w:tc>
          <w:tcPr>
            <w:tcW w:w="964" w:type="dxa"/>
          </w:tcPr>
          <w:p w14:paraId="11B7CAD2" w14:textId="77777777" w:rsidR="00255EC0" w:rsidRPr="00F41508" w:rsidRDefault="00255EC0" w:rsidP="00F41508">
            <w:pPr>
              <w:pStyle w:val="Tabletextnospace"/>
              <w:jc w:val="right"/>
              <w:rPr>
                <w:b/>
                <w:bCs/>
                <w:sz w:val="20"/>
                <w:szCs w:val="20"/>
              </w:rPr>
            </w:pPr>
            <w:r w:rsidRPr="00F41508">
              <w:rPr>
                <w:b/>
                <w:bCs/>
                <w:sz w:val="20"/>
                <w:szCs w:val="20"/>
              </w:rPr>
              <w:t>114.3</w:t>
            </w:r>
          </w:p>
        </w:tc>
        <w:tc>
          <w:tcPr>
            <w:tcW w:w="963" w:type="dxa"/>
          </w:tcPr>
          <w:p w14:paraId="52ECA73D" w14:textId="77777777" w:rsidR="00255EC0" w:rsidRPr="00F41508" w:rsidRDefault="00255EC0" w:rsidP="00F41508">
            <w:pPr>
              <w:pStyle w:val="Tabletextnospace"/>
              <w:jc w:val="right"/>
              <w:rPr>
                <w:b/>
                <w:bCs/>
                <w:sz w:val="20"/>
                <w:szCs w:val="20"/>
              </w:rPr>
            </w:pPr>
            <w:r w:rsidRPr="00F41508">
              <w:rPr>
                <w:b/>
                <w:bCs/>
                <w:sz w:val="20"/>
                <w:szCs w:val="20"/>
              </w:rPr>
              <w:t>112.3</w:t>
            </w:r>
          </w:p>
        </w:tc>
        <w:tc>
          <w:tcPr>
            <w:tcW w:w="1375" w:type="dxa"/>
          </w:tcPr>
          <w:p w14:paraId="5BD8BDE7" w14:textId="77777777" w:rsidR="00255EC0" w:rsidRPr="00F41508" w:rsidRDefault="00255EC0" w:rsidP="00F41508">
            <w:pPr>
              <w:pStyle w:val="Tabletextnospace"/>
              <w:jc w:val="right"/>
              <w:rPr>
                <w:b/>
                <w:bCs/>
                <w:sz w:val="20"/>
                <w:szCs w:val="20"/>
              </w:rPr>
            </w:pPr>
            <w:r w:rsidRPr="00F41508">
              <w:rPr>
                <w:b/>
                <w:bCs/>
                <w:sz w:val="20"/>
                <w:szCs w:val="20"/>
              </w:rPr>
              <w:t>2.0%</w:t>
            </w:r>
          </w:p>
        </w:tc>
        <w:tc>
          <w:tcPr>
            <w:tcW w:w="850" w:type="dxa"/>
          </w:tcPr>
          <w:p w14:paraId="24FA3298" w14:textId="77777777" w:rsidR="00255EC0" w:rsidRPr="00F41508" w:rsidRDefault="00255EC0" w:rsidP="00255EC0">
            <w:pPr>
              <w:suppressAutoHyphens/>
              <w:autoSpaceDE w:val="0"/>
              <w:autoSpaceDN w:val="0"/>
              <w:adjustRightInd w:val="0"/>
              <w:spacing w:after="113" w:line="220" w:lineRule="atLeast"/>
              <w:jc w:val="right"/>
              <w:textAlignment w:val="center"/>
              <w:rPr>
                <w:rFonts w:ascii="VIC Light" w:hAnsi="VIC Light" w:cs="VIC Light"/>
                <w:b/>
                <w:bCs/>
                <w:sz w:val="20"/>
                <w:lang w:val="en-GB"/>
              </w:rPr>
            </w:pPr>
            <w:r w:rsidRPr="00F41508">
              <w:rPr>
                <w:rFonts w:ascii="Wingdings 2" w:hAnsi="Wingdings 2" w:cs="Wingdings 2"/>
                <w:b/>
                <w:bCs/>
                <w:sz w:val="20"/>
                <w:lang w:val="en-GB"/>
              </w:rPr>
              <w:t>™</w:t>
            </w:r>
          </w:p>
        </w:tc>
      </w:tr>
      <w:tr w:rsidR="00255EC0" w:rsidRPr="00255EC0" w14:paraId="217FFFA6" w14:textId="77777777" w:rsidTr="00E8460A">
        <w:trPr>
          <w:trHeight w:val="113"/>
        </w:trPr>
        <w:tc>
          <w:tcPr>
            <w:tcW w:w="9776" w:type="dxa"/>
            <w:gridSpan w:val="6"/>
          </w:tcPr>
          <w:p w14:paraId="489BF12C" w14:textId="77777777" w:rsidR="00255EC0" w:rsidRPr="00255EC0" w:rsidRDefault="00255EC0" w:rsidP="00F41508">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467F54E7" w14:textId="77777777" w:rsidR="00255EC0" w:rsidRPr="00255EC0" w:rsidRDefault="00255EC0" w:rsidP="00F41508">
      <w:pPr>
        <w:pStyle w:val="Body"/>
      </w:pPr>
    </w:p>
    <w:p w14:paraId="0CF27FF5" w14:textId="798A19B3" w:rsidR="00255EC0" w:rsidRPr="00255EC0" w:rsidRDefault="00255EC0" w:rsidP="00F41508">
      <w:pPr>
        <w:pStyle w:val="Body"/>
      </w:pPr>
      <w:r w:rsidRPr="00255EC0">
        <w:t>Table 22 represents performance against the Sport, Recreation and Racing output. This output provides strategic leadership and investment in the sport, recreation and racing industries through innovation,</w:t>
      </w:r>
      <w:r w:rsidR="00F41508">
        <w:t xml:space="preserve"> </w:t>
      </w:r>
      <w:r w:rsidRPr="00255EC0">
        <w:t>sector and industry development and funding support. It supports community participation and inclusion</w:t>
      </w:r>
      <w:r w:rsidR="00F41508">
        <w:t xml:space="preserve"> </w:t>
      </w:r>
      <w:r w:rsidRPr="00255EC0">
        <w:t>in the sport, recreation and racing sectors by strengthening the capacity of sport and recreation organisations to deliver participation opportunities, improving community sport and recreation facilities across the state and guiding the development and management of state-level sporting facilities</w:t>
      </w:r>
      <w:r w:rsidR="00F639E3">
        <w:t xml:space="preserve"> </w:t>
      </w:r>
      <w:r w:rsidRPr="00255EC0">
        <w:t>and events, to encourage participation by all Victorians.</w:t>
      </w:r>
    </w:p>
    <w:p w14:paraId="4E237F05" w14:textId="30BFAAF9" w:rsidR="00255EC0" w:rsidRPr="00255EC0" w:rsidRDefault="00255EC0" w:rsidP="00F41508">
      <w:pPr>
        <w:pStyle w:val="Body"/>
      </w:pPr>
      <w:r w:rsidRPr="00255EC0">
        <w:t>This output also supports the development of the Victorian racing industry through strategic investment</w:t>
      </w:r>
      <w:r w:rsidR="00F639E3">
        <w:t xml:space="preserve"> </w:t>
      </w:r>
      <w:r w:rsidRPr="00255EC0">
        <w:t>in world class racing and training infrastructure, the promotion of animal welfare and integrity initiatives</w:t>
      </w:r>
      <w:r w:rsidR="00F639E3">
        <w:t xml:space="preserve"> </w:t>
      </w:r>
      <w:r w:rsidRPr="00255EC0">
        <w:t>and encourages participation and investment in the breeding industry to cement Victoria’s position</w:t>
      </w:r>
      <w:r w:rsidR="00F639E3">
        <w:t xml:space="preserve"> </w:t>
      </w:r>
      <w:r w:rsidRPr="00255EC0">
        <w:t>as Australia’s premier racing state.</w:t>
      </w:r>
    </w:p>
    <w:p w14:paraId="17F79F88" w14:textId="77777777" w:rsidR="00F639E3" w:rsidRDefault="00F639E3">
      <w:pPr>
        <w:rPr>
          <w:rFonts w:ascii="Arial" w:hAnsi="Arial" w:cs="Arial"/>
          <w:b/>
          <w:bCs/>
          <w:lang w:val="en-GB"/>
        </w:rPr>
      </w:pPr>
      <w:r>
        <w:br w:type="page"/>
      </w:r>
    </w:p>
    <w:p w14:paraId="41E19C8D" w14:textId="670A7A02" w:rsidR="00255EC0" w:rsidRPr="00255EC0" w:rsidRDefault="00255EC0" w:rsidP="00F639E3">
      <w:pPr>
        <w:pStyle w:val="Heading5"/>
      </w:pPr>
      <w:r w:rsidRPr="00255EC0">
        <w:lastRenderedPageBreak/>
        <w:t>Table 22: Output – Sport, Recreation and Racing</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F639E3" w14:paraId="7C4F49FA" w14:textId="77777777" w:rsidTr="00E8460A">
        <w:trPr>
          <w:trHeight w:val="113"/>
          <w:tblHeader/>
        </w:trPr>
        <w:tc>
          <w:tcPr>
            <w:tcW w:w="4660" w:type="dxa"/>
          </w:tcPr>
          <w:p w14:paraId="073F9FDF" w14:textId="77777777" w:rsidR="00255EC0" w:rsidRPr="00F639E3" w:rsidRDefault="00255EC0" w:rsidP="00F639E3">
            <w:pPr>
              <w:pStyle w:val="TableColumnheading"/>
              <w:rPr>
                <w:sz w:val="20"/>
              </w:rPr>
            </w:pPr>
            <w:r w:rsidRPr="00F639E3">
              <w:rPr>
                <w:sz w:val="20"/>
              </w:rPr>
              <w:t xml:space="preserve">Performance measures </w:t>
            </w:r>
          </w:p>
        </w:tc>
        <w:tc>
          <w:tcPr>
            <w:tcW w:w="964" w:type="dxa"/>
          </w:tcPr>
          <w:p w14:paraId="2EE4EEE7" w14:textId="77777777" w:rsidR="00255EC0" w:rsidRPr="00F639E3" w:rsidRDefault="00255EC0" w:rsidP="00F639E3">
            <w:pPr>
              <w:pStyle w:val="TableColumnheading"/>
              <w:jc w:val="right"/>
              <w:rPr>
                <w:sz w:val="20"/>
              </w:rPr>
            </w:pPr>
            <w:r w:rsidRPr="00F639E3">
              <w:rPr>
                <w:sz w:val="20"/>
              </w:rPr>
              <w:t>Unit of measure</w:t>
            </w:r>
          </w:p>
        </w:tc>
        <w:tc>
          <w:tcPr>
            <w:tcW w:w="964" w:type="dxa"/>
          </w:tcPr>
          <w:p w14:paraId="1FADD2EF" w14:textId="77777777" w:rsidR="00255EC0" w:rsidRPr="00F639E3" w:rsidRDefault="00255EC0" w:rsidP="00F639E3">
            <w:pPr>
              <w:pStyle w:val="TableColumnheading"/>
              <w:jc w:val="right"/>
              <w:rPr>
                <w:sz w:val="20"/>
              </w:rPr>
            </w:pPr>
            <w:r w:rsidRPr="00F639E3">
              <w:rPr>
                <w:sz w:val="20"/>
              </w:rPr>
              <w:t>2019–20 actual</w:t>
            </w:r>
          </w:p>
        </w:tc>
        <w:tc>
          <w:tcPr>
            <w:tcW w:w="963" w:type="dxa"/>
          </w:tcPr>
          <w:p w14:paraId="6A81EB72" w14:textId="77777777" w:rsidR="00255EC0" w:rsidRPr="00F639E3" w:rsidRDefault="00255EC0" w:rsidP="00F639E3">
            <w:pPr>
              <w:pStyle w:val="TableColumnheading"/>
              <w:jc w:val="right"/>
              <w:rPr>
                <w:sz w:val="20"/>
              </w:rPr>
            </w:pPr>
            <w:r w:rsidRPr="00F639E3">
              <w:rPr>
                <w:sz w:val="20"/>
              </w:rPr>
              <w:t>2019–20 target</w:t>
            </w:r>
          </w:p>
        </w:tc>
        <w:tc>
          <w:tcPr>
            <w:tcW w:w="1375" w:type="dxa"/>
          </w:tcPr>
          <w:p w14:paraId="15325F57" w14:textId="77777777" w:rsidR="00255EC0" w:rsidRPr="00F639E3" w:rsidRDefault="00255EC0" w:rsidP="00F639E3">
            <w:pPr>
              <w:pStyle w:val="TableColumnheading"/>
              <w:jc w:val="right"/>
              <w:rPr>
                <w:sz w:val="20"/>
              </w:rPr>
            </w:pPr>
            <w:r w:rsidRPr="00F639E3">
              <w:rPr>
                <w:sz w:val="20"/>
              </w:rPr>
              <w:t xml:space="preserve">Performance variation (%) </w:t>
            </w:r>
          </w:p>
        </w:tc>
        <w:tc>
          <w:tcPr>
            <w:tcW w:w="850" w:type="dxa"/>
          </w:tcPr>
          <w:p w14:paraId="488047CC" w14:textId="77777777" w:rsidR="00255EC0" w:rsidRPr="00F639E3" w:rsidRDefault="00255EC0" w:rsidP="00F639E3">
            <w:pPr>
              <w:pStyle w:val="TableColumnheading"/>
              <w:jc w:val="right"/>
              <w:rPr>
                <w:sz w:val="20"/>
              </w:rPr>
            </w:pPr>
            <w:r w:rsidRPr="00F639E3">
              <w:rPr>
                <w:sz w:val="20"/>
              </w:rPr>
              <w:t xml:space="preserve">Result </w:t>
            </w:r>
          </w:p>
        </w:tc>
      </w:tr>
      <w:tr w:rsidR="00255EC0" w:rsidRPr="00F639E3" w14:paraId="13C228E6" w14:textId="77777777" w:rsidTr="00E8460A">
        <w:trPr>
          <w:trHeight w:val="113"/>
        </w:trPr>
        <w:tc>
          <w:tcPr>
            <w:tcW w:w="9776" w:type="dxa"/>
            <w:gridSpan w:val="6"/>
          </w:tcPr>
          <w:p w14:paraId="08D5F91B" w14:textId="77777777" w:rsidR="00255EC0" w:rsidRPr="00F639E3" w:rsidRDefault="00255EC0" w:rsidP="00F639E3">
            <w:pPr>
              <w:pStyle w:val="Tabletextnospace"/>
              <w:rPr>
                <w:b/>
                <w:bCs/>
                <w:sz w:val="20"/>
                <w:szCs w:val="20"/>
              </w:rPr>
            </w:pPr>
            <w:r w:rsidRPr="00F639E3">
              <w:rPr>
                <w:b/>
                <w:bCs/>
                <w:sz w:val="20"/>
                <w:szCs w:val="20"/>
              </w:rPr>
              <w:t>Quantity</w:t>
            </w:r>
          </w:p>
        </w:tc>
      </w:tr>
      <w:tr w:rsidR="00255EC0" w:rsidRPr="00F639E3" w14:paraId="2CECFE2B" w14:textId="77777777" w:rsidTr="00E8460A">
        <w:trPr>
          <w:trHeight w:val="113"/>
        </w:trPr>
        <w:tc>
          <w:tcPr>
            <w:tcW w:w="4660" w:type="dxa"/>
          </w:tcPr>
          <w:p w14:paraId="1AA7B9DA" w14:textId="77777777" w:rsidR="00255EC0" w:rsidRPr="00F639E3" w:rsidRDefault="00255EC0" w:rsidP="00F639E3">
            <w:pPr>
              <w:pStyle w:val="Tabletextnospace"/>
              <w:rPr>
                <w:sz w:val="20"/>
                <w:szCs w:val="20"/>
              </w:rPr>
            </w:pPr>
            <w:r w:rsidRPr="00F639E3">
              <w:rPr>
                <w:sz w:val="20"/>
                <w:szCs w:val="20"/>
              </w:rPr>
              <w:t>Combat sports licences, registrations and permits issued</w:t>
            </w:r>
          </w:p>
        </w:tc>
        <w:tc>
          <w:tcPr>
            <w:tcW w:w="964" w:type="dxa"/>
          </w:tcPr>
          <w:p w14:paraId="2F919FD0"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00ACAA36" w14:textId="77777777" w:rsidR="00255EC0" w:rsidRPr="00F639E3" w:rsidRDefault="00255EC0" w:rsidP="00F639E3">
            <w:pPr>
              <w:pStyle w:val="Tabletextnospace"/>
              <w:jc w:val="right"/>
              <w:rPr>
                <w:sz w:val="20"/>
                <w:szCs w:val="20"/>
              </w:rPr>
            </w:pPr>
            <w:r w:rsidRPr="00F639E3">
              <w:rPr>
                <w:sz w:val="20"/>
                <w:szCs w:val="20"/>
              </w:rPr>
              <w:t>487</w:t>
            </w:r>
          </w:p>
        </w:tc>
        <w:tc>
          <w:tcPr>
            <w:tcW w:w="963" w:type="dxa"/>
          </w:tcPr>
          <w:p w14:paraId="7B0A7D34" w14:textId="77777777" w:rsidR="00255EC0" w:rsidRPr="00F639E3" w:rsidRDefault="00255EC0" w:rsidP="00F639E3">
            <w:pPr>
              <w:pStyle w:val="Tabletextnospace"/>
              <w:jc w:val="right"/>
              <w:rPr>
                <w:sz w:val="20"/>
                <w:szCs w:val="20"/>
              </w:rPr>
            </w:pPr>
            <w:r w:rsidRPr="00F639E3">
              <w:rPr>
                <w:sz w:val="20"/>
                <w:szCs w:val="20"/>
              </w:rPr>
              <w:t>550</w:t>
            </w:r>
          </w:p>
        </w:tc>
        <w:tc>
          <w:tcPr>
            <w:tcW w:w="1375" w:type="dxa"/>
          </w:tcPr>
          <w:p w14:paraId="5C723ECF" w14:textId="77777777" w:rsidR="00255EC0" w:rsidRPr="00F639E3" w:rsidRDefault="00255EC0" w:rsidP="00F639E3">
            <w:pPr>
              <w:pStyle w:val="Tabletextnospace"/>
              <w:jc w:val="right"/>
              <w:rPr>
                <w:sz w:val="20"/>
                <w:szCs w:val="20"/>
              </w:rPr>
            </w:pPr>
            <w:r w:rsidRPr="00F639E3">
              <w:rPr>
                <w:sz w:val="20"/>
                <w:szCs w:val="20"/>
              </w:rPr>
              <w:t>-11.5%</w:t>
            </w:r>
          </w:p>
        </w:tc>
        <w:tc>
          <w:tcPr>
            <w:tcW w:w="850" w:type="dxa"/>
          </w:tcPr>
          <w:p w14:paraId="25E06770"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n</w:t>
            </w:r>
          </w:p>
        </w:tc>
      </w:tr>
      <w:tr w:rsidR="00255EC0" w:rsidRPr="00F639E3" w14:paraId="0B470B4A" w14:textId="77777777" w:rsidTr="00E8460A">
        <w:trPr>
          <w:trHeight w:val="113"/>
        </w:trPr>
        <w:tc>
          <w:tcPr>
            <w:tcW w:w="9776" w:type="dxa"/>
            <w:gridSpan w:val="6"/>
          </w:tcPr>
          <w:p w14:paraId="1ADF803B" w14:textId="77777777" w:rsidR="00255EC0" w:rsidRPr="00F639E3" w:rsidRDefault="00255EC0" w:rsidP="00F639E3">
            <w:pPr>
              <w:pStyle w:val="Tabletextnospace"/>
              <w:rPr>
                <w:i/>
                <w:iCs/>
                <w:sz w:val="20"/>
                <w:szCs w:val="20"/>
              </w:rPr>
            </w:pPr>
            <w:r w:rsidRPr="00F639E3">
              <w:rPr>
                <w:i/>
                <w:iCs/>
                <w:sz w:val="20"/>
                <w:szCs w:val="20"/>
              </w:rPr>
              <w:t xml:space="preserve">Lower result due to the impact of coronavirus (COVID-19) which led to a reduction in the number of events held. </w:t>
            </w:r>
          </w:p>
        </w:tc>
      </w:tr>
      <w:tr w:rsidR="00255EC0" w:rsidRPr="00F639E3" w14:paraId="733CAA69" w14:textId="77777777" w:rsidTr="00E8460A">
        <w:trPr>
          <w:trHeight w:val="113"/>
        </w:trPr>
        <w:tc>
          <w:tcPr>
            <w:tcW w:w="4660" w:type="dxa"/>
          </w:tcPr>
          <w:p w14:paraId="3F88BDAC" w14:textId="77777777" w:rsidR="00255EC0" w:rsidRPr="00F639E3" w:rsidRDefault="00255EC0" w:rsidP="00F639E3">
            <w:pPr>
              <w:pStyle w:val="Tabletextnospace"/>
              <w:rPr>
                <w:sz w:val="20"/>
                <w:szCs w:val="20"/>
              </w:rPr>
            </w:pPr>
            <w:r w:rsidRPr="00F639E3">
              <w:rPr>
                <w:sz w:val="20"/>
                <w:szCs w:val="20"/>
              </w:rPr>
              <w:t>Community Facility Grants: number approved</w:t>
            </w:r>
          </w:p>
        </w:tc>
        <w:tc>
          <w:tcPr>
            <w:tcW w:w="964" w:type="dxa"/>
          </w:tcPr>
          <w:p w14:paraId="7BE13444" w14:textId="77777777" w:rsidR="00255EC0" w:rsidRPr="00F639E3" w:rsidRDefault="00255EC0" w:rsidP="00F639E3">
            <w:pPr>
              <w:pStyle w:val="Tabletextnospace"/>
              <w:jc w:val="right"/>
              <w:rPr>
                <w:rFonts w:ascii="VIC Italic" w:hAnsi="VIC Italic"/>
                <w:sz w:val="20"/>
                <w:szCs w:val="20"/>
              </w:rPr>
            </w:pPr>
          </w:p>
        </w:tc>
        <w:tc>
          <w:tcPr>
            <w:tcW w:w="964" w:type="dxa"/>
          </w:tcPr>
          <w:p w14:paraId="099F0B2B" w14:textId="77777777" w:rsidR="00255EC0" w:rsidRPr="00F639E3" w:rsidRDefault="00255EC0" w:rsidP="00F639E3">
            <w:pPr>
              <w:pStyle w:val="Tabletextnospace"/>
              <w:jc w:val="right"/>
              <w:rPr>
                <w:sz w:val="20"/>
                <w:szCs w:val="20"/>
              </w:rPr>
            </w:pPr>
            <w:r w:rsidRPr="00F639E3">
              <w:rPr>
                <w:sz w:val="20"/>
                <w:szCs w:val="20"/>
              </w:rPr>
              <w:t>167</w:t>
            </w:r>
          </w:p>
        </w:tc>
        <w:tc>
          <w:tcPr>
            <w:tcW w:w="963" w:type="dxa"/>
          </w:tcPr>
          <w:p w14:paraId="357C2AD7" w14:textId="77777777" w:rsidR="00255EC0" w:rsidRPr="00F639E3" w:rsidRDefault="00255EC0" w:rsidP="00F639E3">
            <w:pPr>
              <w:pStyle w:val="Tabletextnospace"/>
              <w:jc w:val="right"/>
              <w:rPr>
                <w:sz w:val="20"/>
                <w:szCs w:val="20"/>
              </w:rPr>
            </w:pPr>
            <w:r w:rsidRPr="00F639E3">
              <w:rPr>
                <w:sz w:val="20"/>
                <w:szCs w:val="20"/>
              </w:rPr>
              <w:t>170</w:t>
            </w:r>
          </w:p>
        </w:tc>
        <w:tc>
          <w:tcPr>
            <w:tcW w:w="1375" w:type="dxa"/>
          </w:tcPr>
          <w:p w14:paraId="7784591D" w14:textId="77777777" w:rsidR="00255EC0" w:rsidRPr="00F639E3" w:rsidRDefault="00255EC0" w:rsidP="00F639E3">
            <w:pPr>
              <w:pStyle w:val="Tabletextnospace"/>
              <w:jc w:val="right"/>
              <w:rPr>
                <w:sz w:val="20"/>
                <w:szCs w:val="20"/>
              </w:rPr>
            </w:pPr>
            <w:r w:rsidRPr="00F639E3">
              <w:rPr>
                <w:sz w:val="20"/>
                <w:szCs w:val="20"/>
              </w:rPr>
              <w:t>-1.8%</w:t>
            </w:r>
          </w:p>
        </w:tc>
        <w:tc>
          <w:tcPr>
            <w:tcW w:w="850" w:type="dxa"/>
          </w:tcPr>
          <w:p w14:paraId="2B5B93AA" w14:textId="77777777" w:rsidR="00255EC0" w:rsidRPr="00F639E3"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F639E3">
              <w:rPr>
                <w:rFonts w:ascii="Wingdings 2" w:hAnsi="Wingdings 2" w:cs="Wingdings 2"/>
                <w:sz w:val="20"/>
                <w:lang w:val="en-GB"/>
              </w:rPr>
              <w:t>™</w:t>
            </w:r>
          </w:p>
        </w:tc>
      </w:tr>
      <w:tr w:rsidR="00255EC0" w:rsidRPr="00F639E3" w14:paraId="1B3428C0" w14:textId="77777777" w:rsidTr="00E8460A">
        <w:trPr>
          <w:trHeight w:val="113"/>
        </w:trPr>
        <w:tc>
          <w:tcPr>
            <w:tcW w:w="4660" w:type="dxa"/>
          </w:tcPr>
          <w:p w14:paraId="79626D2F" w14:textId="77777777" w:rsidR="00255EC0" w:rsidRPr="00F639E3" w:rsidRDefault="00255EC0" w:rsidP="00F639E3">
            <w:pPr>
              <w:pStyle w:val="Tabletextnospace"/>
              <w:rPr>
                <w:sz w:val="20"/>
                <w:szCs w:val="20"/>
              </w:rPr>
            </w:pPr>
            <w:r w:rsidRPr="00F639E3">
              <w:rPr>
                <w:sz w:val="20"/>
                <w:szCs w:val="20"/>
              </w:rPr>
              <w:t>Organisations submitting nominations for the Community Sport and Recreation Awards</w:t>
            </w:r>
          </w:p>
        </w:tc>
        <w:tc>
          <w:tcPr>
            <w:tcW w:w="964" w:type="dxa"/>
          </w:tcPr>
          <w:p w14:paraId="5003ABC5" w14:textId="77777777" w:rsidR="00255EC0" w:rsidRPr="00F639E3" w:rsidRDefault="00255EC0" w:rsidP="00F639E3">
            <w:pPr>
              <w:pStyle w:val="Tabletextnospace"/>
              <w:jc w:val="right"/>
              <w:rPr>
                <w:rFonts w:ascii="VIC Italic" w:hAnsi="VIC Italic"/>
                <w:sz w:val="20"/>
                <w:szCs w:val="20"/>
              </w:rPr>
            </w:pPr>
          </w:p>
        </w:tc>
        <w:tc>
          <w:tcPr>
            <w:tcW w:w="964" w:type="dxa"/>
          </w:tcPr>
          <w:p w14:paraId="37E17C9C" w14:textId="77777777" w:rsidR="00255EC0" w:rsidRPr="00F639E3" w:rsidRDefault="00255EC0" w:rsidP="00F639E3">
            <w:pPr>
              <w:pStyle w:val="Tabletextnospace"/>
              <w:jc w:val="right"/>
              <w:rPr>
                <w:sz w:val="20"/>
                <w:szCs w:val="20"/>
              </w:rPr>
            </w:pPr>
            <w:r w:rsidRPr="00F639E3">
              <w:rPr>
                <w:sz w:val="20"/>
                <w:szCs w:val="20"/>
              </w:rPr>
              <w:t>72</w:t>
            </w:r>
          </w:p>
        </w:tc>
        <w:tc>
          <w:tcPr>
            <w:tcW w:w="963" w:type="dxa"/>
          </w:tcPr>
          <w:p w14:paraId="6076308E" w14:textId="77777777" w:rsidR="00255EC0" w:rsidRPr="00F639E3" w:rsidRDefault="00255EC0" w:rsidP="00F639E3">
            <w:pPr>
              <w:pStyle w:val="Tabletextnospace"/>
              <w:jc w:val="right"/>
              <w:rPr>
                <w:sz w:val="20"/>
                <w:szCs w:val="20"/>
              </w:rPr>
            </w:pPr>
            <w:r w:rsidRPr="00F639E3">
              <w:rPr>
                <w:sz w:val="20"/>
                <w:szCs w:val="20"/>
              </w:rPr>
              <w:t>70</w:t>
            </w:r>
          </w:p>
        </w:tc>
        <w:tc>
          <w:tcPr>
            <w:tcW w:w="1375" w:type="dxa"/>
          </w:tcPr>
          <w:p w14:paraId="3131A728" w14:textId="77777777" w:rsidR="00255EC0" w:rsidRPr="00F639E3" w:rsidRDefault="00255EC0" w:rsidP="00F639E3">
            <w:pPr>
              <w:pStyle w:val="Tabletextnospace"/>
              <w:jc w:val="right"/>
              <w:rPr>
                <w:sz w:val="20"/>
                <w:szCs w:val="20"/>
              </w:rPr>
            </w:pPr>
            <w:r w:rsidRPr="00F639E3">
              <w:rPr>
                <w:sz w:val="20"/>
                <w:szCs w:val="20"/>
              </w:rPr>
              <w:t>2.9%</w:t>
            </w:r>
          </w:p>
        </w:tc>
        <w:tc>
          <w:tcPr>
            <w:tcW w:w="850" w:type="dxa"/>
          </w:tcPr>
          <w:p w14:paraId="58E66EC4"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ü</w:t>
            </w:r>
          </w:p>
        </w:tc>
      </w:tr>
      <w:tr w:rsidR="00255EC0" w:rsidRPr="00F639E3" w14:paraId="5717B0C4" w14:textId="77777777" w:rsidTr="00E8460A">
        <w:trPr>
          <w:trHeight w:val="113"/>
        </w:trPr>
        <w:tc>
          <w:tcPr>
            <w:tcW w:w="4660" w:type="dxa"/>
          </w:tcPr>
          <w:p w14:paraId="3B0C1588" w14:textId="6684965E" w:rsidR="00255EC0" w:rsidRPr="00F639E3" w:rsidRDefault="00255EC0" w:rsidP="00F639E3">
            <w:pPr>
              <w:pStyle w:val="Tabletextnospace"/>
              <w:rPr>
                <w:sz w:val="20"/>
                <w:szCs w:val="20"/>
              </w:rPr>
            </w:pPr>
            <w:r w:rsidRPr="00F639E3">
              <w:rPr>
                <w:sz w:val="20"/>
                <w:szCs w:val="20"/>
              </w:rPr>
              <w:t>Projects in progress that relate to the planning</w:t>
            </w:r>
            <w:r w:rsidR="00F639E3">
              <w:rPr>
                <w:sz w:val="20"/>
                <w:szCs w:val="20"/>
              </w:rPr>
              <w:t xml:space="preserve"> </w:t>
            </w:r>
            <w:r w:rsidRPr="00F639E3">
              <w:rPr>
                <w:sz w:val="20"/>
                <w:szCs w:val="20"/>
              </w:rPr>
              <w:t>and development of state level facilities</w:t>
            </w:r>
          </w:p>
        </w:tc>
        <w:tc>
          <w:tcPr>
            <w:tcW w:w="964" w:type="dxa"/>
          </w:tcPr>
          <w:p w14:paraId="59A2DCB2"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57F96DC8" w14:textId="77777777" w:rsidR="00255EC0" w:rsidRPr="00F639E3" w:rsidRDefault="00255EC0" w:rsidP="00F639E3">
            <w:pPr>
              <w:pStyle w:val="Tabletextnospace"/>
              <w:jc w:val="right"/>
              <w:rPr>
                <w:sz w:val="20"/>
                <w:szCs w:val="20"/>
              </w:rPr>
            </w:pPr>
            <w:r w:rsidRPr="00F639E3">
              <w:rPr>
                <w:sz w:val="20"/>
                <w:szCs w:val="20"/>
              </w:rPr>
              <w:t>22</w:t>
            </w:r>
          </w:p>
        </w:tc>
        <w:tc>
          <w:tcPr>
            <w:tcW w:w="963" w:type="dxa"/>
          </w:tcPr>
          <w:p w14:paraId="16F578AF" w14:textId="77777777" w:rsidR="00255EC0" w:rsidRPr="00F639E3" w:rsidRDefault="00255EC0" w:rsidP="00F639E3">
            <w:pPr>
              <w:pStyle w:val="Tabletextnospace"/>
              <w:jc w:val="right"/>
              <w:rPr>
                <w:sz w:val="20"/>
                <w:szCs w:val="20"/>
              </w:rPr>
            </w:pPr>
            <w:r w:rsidRPr="00F639E3">
              <w:rPr>
                <w:sz w:val="20"/>
                <w:szCs w:val="20"/>
              </w:rPr>
              <w:t>10</w:t>
            </w:r>
          </w:p>
        </w:tc>
        <w:tc>
          <w:tcPr>
            <w:tcW w:w="1375" w:type="dxa"/>
          </w:tcPr>
          <w:p w14:paraId="6223A20C" w14:textId="77777777" w:rsidR="00255EC0" w:rsidRPr="00F639E3" w:rsidRDefault="00255EC0" w:rsidP="00F639E3">
            <w:pPr>
              <w:pStyle w:val="Tabletextnospace"/>
              <w:jc w:val="right"/>
              <w:rPr>
                <w:sz w:val="20"/>
                <w:szCs w:val="20"/>
              </w:rPr>
            </w:pPr>
            <w:r w:rsidRPr="00F639E3">
              <w:rPr>
                <w:sz w:val="20"/>
                <w:szCs w:val="20"/>
              </w:rPr>
              <w:t>120.0%</w:t>
            </w:r>
          </w:p>
        </w:tc>
        <w:tc>
          <w:tcPr>
            <w:tcW w:w="850" w:type="dxa"/>
          </w:tcPr>
          <w:p w14:paraId="0C0C8359"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ü</w:t>
            </w:r>
          </w:p>
        </w:tc>
      </w:tr>
      <w:tr w:rsidR="00255EC0" w:rsidRPr="00F639E3" w14:paraId="6F21BD1C" w14:textId="77777777" w:rsidTr="00E8460A">
        <w:trPr>
          <w:trHeight w:val="113"/>
        </w:trPr>
        <w:tc>
          <w:tcPr>
            <w:tcW w:w="9776" w:type="dxa"/>
            <w:gridSpan w:val="6"/>
          </w:tcPr>
          <w:p w14:paraId="42E53B53" w14:textId="77777777" w:rsidR="00255EC0" w:rsidRPr="00F639E3" w:rsidRDefault="00255EC0" w:rsidP="00F639E3">
            <w:pPr>
              <w:pStyle w:val="Tabletextnospace"/>
              <w:rPr>
                <w:i/>
                <w:iCs/>
                <w:sz w:val="20"/>
                <w:szCs w:val="20"/>
              </w:rPr>
            </w:pPr>
            <w:r w:rsidRPr="00F639E3">
              <w:rPr>
                <w:i/>
                <w:iCs/>
                <w:sz w:val="20"/>
                <w:szCs w:val="20"/>
              </w:rPr>
              <w:t xml:space="preserve">Higher result due to a significant number of state level projects currently in progress. </w:t>
            </w:r>
          </w:p>
        </w:tc>
      </w:tr>
      <w:tr w:rsidR="00255EC0" w:rsidRPr="00F639E3" w14:paraId="7C2FFD49" w14:textId="77777777" w:rsidTr="00E8460A">
        <w:trPr>
          <w:trHeight w:val="113"/>
        </w:trPr>
        <w:tc>
          <w:tcPr>
            <w:tcW w:w="4660" w:type="dxa"/>
          </w:tcPr>
          <w:p w14:paraId="7C60D2D4" w14:textId="77777777" w:rsidR="00255EC0" w:rsidRPr="00F639E3" w:rsidRDefault="00255EC0" w:rsidP="00F639E3">
            <w:pPr>
              <w:pStyle w:val="Tabletextnospace"/>
              <w:rPr>
                <w:sz w:val="20"/>
                <w:szCs w:val="20"/>
              </w:rPr>
            </w:pPr>
            <w:r w:rsidRPr="00F639E3">
              <w:rPr>
                <w:sz w:val="20"/>
                <w:szCs w:val="20"/>
              </w:rPr>
              <w:t>Racing industry development initiatives</w:t>
            </w:r>
          </w:p>
        </w:tc>
        <w:tc>
          <w:tcPr>
            <w:tcW w:w="964" w:type="dxa"/>
          </w:tcPr>
          <w:p w14:paraId="2985125E"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711E63A8" w14:textId="77777777" w:rsidR="00255EC0" w:rsidRPr="00F639E3" w:rsidRDefault="00255EC0" w:rsidP="00F639E3">
            <w:pPr>
              <w:pStyle w:val="Tabletextnospace"/>
              <w:jc w:val="right"/>
              <w:rPr>
                <w:sz w:val="20"/>
                <w:szCs w:val="20"/>
              </w:rPr>
            </w:pPr>
            <w:r w:rsidRPr="00F639E3">
              <w:rPr>
                <w:sz w:val="20"/>
                <w:szCs w:val="20"/>
              </w:rPr>
              <w:t>7</w:t>
            </w:r>
          </w:p>
        </w:tc>
        <w:tc>
          <w:tcPr>
            <w:tcW w:w="963" w:type="dxa"/>
          </w:tcPr>
          <w:p w14:paraId="35E2171F" w14:textId="77777777" w:rsidR="00255EC0" w:rsidRPr="00F639E3" w:rsidRDefault="00255EC0" w:rsidP="00F639E3">
            <w:pPr>
              <w:pStyle w:val="Tabletextnospace"/>
              <w:jc w:val="right"/>
              <w:rPr>
                <w:sz w:val="20"/>
                <w:szCs w:val="20"/>
              </w:rPr>
            </w:pPr>
            <w:r w:rsidRPr="00F639E3">
              <w:rPr>
                <w:sz w:val="20"/>
                <w:szCs w:val="20"/>
              </w:rPr>
              <w:t>9</w:t>
            </w:r>
          </w:p>
        </w:tc>
        <w:tc>
          <w:tcPr>
            <w:tcW w:w="1375" w:type="dxa"/>
          </w:tcPr>
          <w:p w14:paraId="3D9DDA1A" w14:textId="77777777" w:rsidR="00255EC0" w:rsidRPr="00F639E3" w:rsidRDefault="00255EC0" w:rsidP="00F639E3">
            <w:pPr>
              <w:pStyle w:val="Tabletextnospace"/>
              <w:jc w:val="right"/>
              <w:rPr>
                <w:sz w:val="20"/>
                <w:szCs w:val="20"/>
              </w:rPr>
            </w:pPr>
            <w:r w:rsidRPr="00F639E3">
              <w:rPr>
                <w:sz w:val="20"/>
                <w:szCs w:val="20"/>
              </w:rPr>
              <w:t>-22.2%</w:t>
            </w:r>
          </w:p>
        </w:tc>
        <w:tc>
          <w:tcPr>
            <w:tcW w:w="850" w:type="dxa"/>
          </w:tcPr>
          <w:p w14:paraId="6BC4E91D"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n</w:t>
            </w:r>
          </w:p>
        </w:tc>
      </w:tr>
      <w:tr w:rsidR="00255EC0" w:rsidRPr="00F639E3" w14:paraId="3136B3DF" w14:textId="77777777" w:rsidTr="00E8460A">
        <w:trPr>
          <w:trHeight w:val="113"/>
        </w:trPr>
        <w:tc>
          <w:tcPr>
            <w:tcW w:w="9776" w:type="dxa"/>
            <w:gridSpan w:val="6"/>
          </w:tcPr>
          <w:p w14:paraId="5814CE2F" w14:textId="77777777" w:rsidR="00255EC0" w:rsidRPr="00F639E3" w:rsidRDefault="00255EC0" w:rsidP="00F639E3">
            <w:pPr>
              <w:pStyle w:val="Tabletextnospace"/>
              <w:rPr>
                <w:i/>
                <w:iCs/>
                <w:sz w:val="20"/>
                <w:szCs w:val="20"/>
              </w:rPr>
            </w:pPr>
            <w:r w:rsidRPr="00F639E3">
              <w:rPr>
                <w:i/>
                <w:iCs/>
                <w:sz w:val="20"/>
                <w:szCs w:val="20"/>
              </w:rPr>
              <w:t>Lower result due to the impact of coronavirus (COVID-19) which led to changed priorities for the racing industry.</w:t>
            </w:r>
          </w:p>
        </w:tc>
      </w:tr>
      <w:tr w:rsidR="00255EC0" w:rsidRPr="00F639E3" w14:paraId="265A39E8" w14:textId="77777777" w:rsidTr="00E8460A">
        <w:trPr>
          <w:trHeight w:val="113"/>
        </w:trPr>
        <w:tc>
          <w:tcPr>
            <w:tcW w:w="4660" w:type="dxa"/>
          </w:tcPr>
          <w:p w14:paraId="1A9F40D7" w14:textId="3F9AC595" w:rsidR="00255EC0" w:rsidRPr="00F639E3" w:rsidRDefault="00255EC0" w:rsidP="00F639E3">
            <w:pPr>
              <w:pStyle w:val="Tabletextnospace"/>
              <w:rPr>
                <w:sz w:val="20"/>
                <w:szCs w:val="20"/>
              </w:rPr>
            </w:pPr>
            <w:r w:rsidRPr="00F639E3">
              <w:rPr>
                <w:sz w:val="20"/>
                <w:szCs w:val="20"/>
              </w:rPr>
              <w:t>Racing matters processed (including licences,</w:t>
            </w:r>
            <w:r w:rsidR="00F639E3">
              <w:rPr>
                <w:sz w:val="20"/>
                <w:szCs w:val="20"/>
              </w:rPr>
              <w:t xml:space="preserve"> </w:t>
            </w:r>
            <w:r w:rsidRPr="00F639E3">
              <w:rPr>
                <w:sz w:val="20"/>
                <w:szCs w:val="20"/>
              </w:rPr>
              <w:t>permits and grant applications)</w:t>
            </w:r>
          </w:p>
        </w:tc>
        <w:tc>
          <w:tcPr>
            <w:tcW w:w="964" w:type="dxa"/>
          </w:tcPr>
          <w:p w14:paraId="6A872EE0"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5F1E3F1C" w14:textId="77777777" w:rsidR="00255EC0" w:rsidRPr="00F639E3" w:rsidRDefault="00255EC0" w:rsidP="00F639E3">
            <w:pPr>
              <w:pStyle w:val="Tabletextnospace"/>
              <w:jc w:val="right"/>
              <w:rPr>
                <w:sz w:val="20"/>
                <w:szCs w:val="20"/>
              </w:rPr>
            </w:pPr>
            <w:r w:rsidRPr="00F639E3">
              <w:rPr>
                <w:sz w:val="20"/>
                <w:szCs w:val="20"/>
              </w:rPr>
              <w:t>258</w:t>
            </w:r>
          </w:p>
        </w:tc>
        <w:tc>
          <w:tcPr>
            <w:tcW w:w="963" w:type="dxa"/>
          </w:tcPr>
          <w:p w14:paraId="2667F90E" w14:textId="77777777" w:rsidR="00255EC0" w:rsidRPr="00F639E3" w:rsidRDefault="00255EC0" w:rsidP="00F639E3">
            <w:pPr>
              <w:pStyle w:val="Tabletextnospace"/>
              <w:jc w:val="right"/>
              <w:rPr>
                <w:sz w:val="20"/>
                <w:szCs w:val="20"/>
              </w:rPr>
            </w:pPr>
            <w:r w:rsidRPr="00F639E3">
              <w:rPr>
                <w:sz w:val="20"/>
                <w:szCs w:val="20"/>
              </w:rPr>
              <w:t>300</w:t>
            </w:r>
          </w:p>
        </w:tc>
        <w:tc>
          <w:tcPr>
            <w:tcW w:w="1375" w:type="dxa"/>
          </w:tcPr>
          <w:p w14:paraId="7DCA466E" w14:textId="77777777" w:rsidR="00255EC0" w:rsidRPr="00F639E3" w:rsidRDefault="00255EC0" w:rsidP="00F639E3">
            <w:pPr>
              <w:pStyle w:val="Tabletextnospace"/>
              <w:jc w:val="right"/>
              <w:rPr>
                <w:sz w:val="20"/>
                <w:szCs w:val="20"/>
              </w:rPr>
            </w:pPr>
            <w:r w:rsidRPr="00F639E3">
              <w:rPr>
                <w:sz w:val="20"/>
                <w:szCs w:val="20"/>
              </w:rPr>
              <w:t>-14.0%</w:t>
            </w:r>
          </w:p>
        </w:tc>
        <w:tc>
          <w:tcPr>
            <w:tcW w:w="850" w:type="dxa"/>
          </w:tcPr>
          <w:p w14:paraId="53FCDA94"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n</w:t>
            </w:r>
          </w:p>
        </w:tc>
      </w:tr>
      <w:tr w:rsidR="00255EC0" w:rsidRPr="00F639E3" w14:paraId="49F1DE23" w14:textId="77777777" w:rsidTr="00E8460A">
        <w:trPr>
          <w:trHeight w:val="113"/>
        </w:trPr>
        <w:tc>
          <w:tcPr>
            <w:tcW w:w="9776" w:type="dxa"/>
            <w:gridSpan w:val="6"/>
          </w:tcPr>
          <w:p w14:paraId="6E6C4076" w14:textId="77777777" w:rsidR="00255EC0" w:rsidRPr="00F639E3" w:rsidRDefault="00255EC0" w:rsidP="00F639E3">
            <w:pPr>
              <w:pStyle w:val="Tabletextnospace"/>
              <w:rPr>
                <w:i/>
                <w:iCs/>
                <w:sz w:val="20"/>
                <w:szCs w:val="20"/>
              </w:rPr>
            </w:pPr>
            <w:r w:rsidRPr="00F639E3">
              <w:rPr>
                <w:i/>
                <w:iCs/>
                <w:sz w:val="20"/>
                <w:szCs w:val="20"/>
              </w:rPr>
              <w:t>Lower result due to the impact of coronavirus (COVID-19) which led to many events being cancelled.</w:t>
            </w:r>
          </w:p>
        </w:tc>
      </w:tr>
      <w:tr w:rsidR="00255EC0" w:rsidRPr="00F639E3" w14:paraId="35CD6F6B" w14:textId="77777777" w:rsidTr="00E8460A">
        <w:trPr>
          <w:trHeight w:val="113"/>
        </w:trPr>
        <w:tc>
          <w:tcPr>
            <w:tcW w:w="4660" w:type="dxa"/>
          </w:tcPr>
          <w:p w14:paraId="5EE3B483" w14:textId="77777777" w:rsidR="00255EC0" w:rsidRPr="00F639E3" w:rsidRDefault="00255EC0" w:rsidP="00F639E3">
            <w:pPr>
              <w:pStyle w:val="Tabletextnospace"/>
              <w:rPr>
                <w:sz w:val="20"/>
                <w:szCs w:val="20"/>
              </w:rPr>
            </w:pPr>
            <w:r w:rsidRPr="00F639E3">
              <w:rPr>
                <w:sz w:val="20"/>
                <w:szCs w:val="20"/>
              </w:rPr>
              <w:t>Significant Sporting Events Program – Events Facilitated</w:t>
            </w:r>
          </w:p>
        </w:tc>
        <w:tc>
          <w:tcPr>
            <w:tcW w:w="964" w:type="dxa"/>
          </w:tcPr>
          <w:p w14:paraId="6090F096"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336A9305" w14:textId="77777777" w:rsidR="00255EC0" w:rsidRPr="00F639E3" w:rsidRDefault="00255EC0" w:rsidP="00F639E3">
            <w:pPr>
              <w:pStyle w:val="Tabletextnospace"/>
              <w:jc w:val="right"/>
              <w:rPr>
                <w:sz w:val="20"/>
                <w:szCs w:val="20"/>
              </w:rPr>
            </w:pPr>
            <w:r w:rsidRPr="00F639E3">
              <w:rPr>
                <w:sz w:val="20"/>
                <w:szCs w:val="20"/>
              </w:rPr>
              <w:t>60</w:t>
            </w:r>
          </w:p>
        </w:tc>
        <w:tc>
          <w:tcPr>
            <w:tcW w:w="963" w:type="dxa"/>
          </w:tcPr>
          <w:p w14:paraId="1A96E935" w14:textId="77777777" w:rsidR="00255EC0" w:rsidRPr="00F639E3" w:rsidRDefault="00255EC0" w:rsidP="00F639E3">
            <w:pPr>
              <w:pStyle w:val="Tabletextnospace"/>
              <w:jc w:val="right"/>
              <w:rPr>
                <w:sz w:val="20"/>
                <w:szCs w:val="20"/>
              </w:rPr>
            </w:pPr>
            <w:r w:rsidRPr="00F639E3">
              <w:rPr>
                <w:sz w:val="20"/>
                <w:szCs w:val="20"/>
              </w:rPr>
              <w:t>75</w:t>
            </w:r>
          </w:p>
        </w:tc>
        <w:tc>
          <w:tcPr>
            <w:tcW w:w="1375" w:type="dxa"/>
          </w:tcPr>
          <w:p w14:paraId="2A7D472F" w14:textId="77777777" w:rsidR="00255EC0" w:rsidRPr="00F639E3" w:rsidRDefault="00255EC0" w:rsidP="00F639E3">
            <w:pPr>
              <w:pStyle w:val="Tabletextnospace"/>
              <w:jc w:val="right"/>
              <w:rPr>
                <w:sz w:val="20"/>
                <w:szCs w:val="20"/>
              </w:rPr>
            </w:pPr>
            <w:r w:rsidRPr="00F639E3">
              <w:rPr>
                <w:sz w:val="20"/>
                <w:szCs w:val="20"/>
              </w:rPr>
              <w:t>-20.0%</w:t>
            </w:r>
          </w:p>
        </w:tc>
        <w:tc>
          <w:tcPr>
            <w:tcW w:w="850" w:type="dxa"/>
          </w:tcPr>
          <w:p w14:paraId="2320A101"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n</w:t>
            </w:r>
          </w:p>
        </w:tc>
      </w:tr>
      <w:tr w:rsidR="00255EC0" w:rsidRPr="00F639E3" w14:paraId="74CB22D1" w14:textId="77777777" w:rsidTr="00E8460A">
        <w:trPr>
          <w:trHeight w:val="113"/>
        </w:trPr>
        <w:tc>
          <w:tcPr>
            <w:tcW w:w="9776" w:type="dxa"/>
            <w:gridSpan w:val="6"/>
          </w:tcPr>
          <w:p w14:paraId="25381D5C" w14:textId="77777777" w:rsidR="00255EC0" w:rsidRPr="00F639E3" w:rsidRDefault="00255EC0" w:rsidP="00F639E3">
            <w:pPr>
              <w:pStyle w:val="Tabletextnospace"/>
              <w:rPr>
                <w:i/>
                <w:iCs/>
                <w:sz w:val="20"/>
                <w:szCs w:val="20"/>
              </w:rPr>
            </w:pPr>
            <w:r w:rsidRPr="00F639E3">
              <w:rPr>
                <w:i/>
                <w:iCs/>
                <w:sz w:val="20"/>
                <w:szCs w:val="20"/>
              </w:rPr>
              <w:t xml:space="preserve">Lower result due to the impact of coronavirus (COVID-19) on the sector and staging of events, which resulted in events being cancelled. </w:t>
            </w:r>
          </w:p>
        </w:tc>
      </w:tr>
      <w:tr w:rsidR="00255EC0" w:rsidRPr="00F639E3" w14:paraId="0C0C5F98" w14:textId="77777777" w:rsidTr="00E8460A">
        <w:trPr>
          <w:trHeight w:val="113"/>
        </w:trPr>
        <w:tc>
          <w:tcPr>
            <w:tcW w:w="4660" w:type="dxa"/>
          </w:tcPr>
          <w:p w14:paraId="3003A84F" w14:textId="77777777" w:rsidR="00255EC0" w:rsidRPr="00F639E3" w:rsidRDefault="00255EC0" w:rsidP="00F639E3">
            <w:pPr>
              <w:pStyle w:val="Tabletextnospace"/>
              <w:rPr>
                <w:sz w:val="20"/>
                <w:szCs w:val="20"/>
              </w:rPr>
            </w:pPr>
            <w:r w:rsidRPr="00F639E3">
              <w:rPr>
                <w:sz w:val="20"/>
                <w:szCs w:val="20"/>
              </w:rPr>
              <w:t>Sport and recreation organisations undertaking programs or activities to enhance participation</w:t>
            </w:r>
          </w:p>
        </w:tc>
        <w:tc>
          <w:tcPr>
            <w:tcW w:w="964" w:type="dxa"/>
          </w:tcPr>
          <w:p w14:paraId="175CA642"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5862F75C" w14:textId="77777777" w:rsidR="00255EC0" w:rsidRPr="00F639E3" w:rsidRDefault="00255EC0" w:rsidP="00F639E3">
            <w:pPr>
              <w:pStyle w:val="Tabletextnospace"/>
              <w:jc w:val="right"/>
              <w:rPr>
                <w:sz w:val="20"/>
                <w:szCs w:val="20"/>
              </w:rPr>
            </w:pPr>
            <w:r w:rsidRPr="00F639E3">
              <w:rPr>
                <w:sz w:val="20"/>
                <w:szCs w:val="20"/>
              </w:rPr>
              <w:t>109</w:t>
            </w:r>
          </w:p>
        </w:tc>
        <w:tc>
          <w:tcPr>
            <w:tcW w:w="963" w:type="dxa"/>
          </w:tcPr>
          <w:p w14:paraId="67B865E7" w14:textId="77777777" w:rsidR="00255EC0" w:rsidRPr="00F639E3" w:rsidRDefault="00255EC0" w:rsidP="00F639E3">
            <w:pPr>
              <w:pStyle w:val="Tabletextnospace"/>
              <w:jc w:val="right"/>
              <w:rPr>
                <w:sz w:val="20"/>
                <w:szCs w:val="20"/>
              </w:rPr>
            </w:pPr>
            <w:r w:rsidRPr="00F639E3">
              <w:rPr>
                <w:sz w:val="20"/>
                <w:szCs w:val="20"/>
              </w:rPr>
              <w:t>90</w:t>
            </w:r>
          </w:p>
        </w:tc>
        <w:tc>
          <w:tcPr>
            <w:tcW w:w="1375" w:type="dxa"/>
          </w:tcPr>
          <w:p w14:paraId="282A34D2" w14:textId="77777777" w:rsidR="00255EC0" w:rsidRPr="00F639E3" w:rsidRDefault="00255EC0" w:rsidP="00F639E3">
            <w:pPr>
              <w:pStyle w:val="Tabletextnospace"/>
              <w:jc w:val="right"/>
              <w:rPr>
                <w:sz w:val="20"/>
                <w:szCs w:val="20"/>
              </w:rPr>
            </w:pPr>
            <w:r w:rsidRPr="00F639E3">
              <w:rPr>
                <w:sz w:val="20"/>
                <w:szCs w:val="20"/>
              </w:rPr>
              <w:t>21.1%</w:t>
            </w:r>
          </w:p>
        </w:tc>
        <w:tc>
          <w:tcPr>
            <w:tcW w:w="850" w:type="dxa"/>
          </w:tcPr>
          <w:p w14:paraId="76393753"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ü</w:t>
            </w:r>
          </w:p>
        </w:tc>
      </w:tr>
      <w:tr w:rsidR="00255EC0" w:rsidRPr="00F639E3" w14:paraId="3592D53B" w14:textId="77777777" w:rsidTr="00E8460A">
        <w:trPr>
          <w:trHeight w:val="113"/>
        </w:trPr>
        <w:tc>
          <w:tcPr>
            <w:tcW w:w="9776" w:type="dxa"/>
            <w:gridSpan w:val="6"/>
          </w:tcPr>
          <w:p w14:paraId="51BC082F" w14:textId="09C97C0E" w:rsidR="00255EC0" w:rsidRPr="00F639E3" w:rsidRDefault="00255EC0" w:rsidP="00F639E3">
            <w:pPr>
              <w:pStyle w:val="Tabletextnospace"/>
              <w:rPr>
                <w:i/>
                <w:iCs/>
                <w:sz w:val="20"/>
                <w:szCs w:val="20"/>
              </w:rPr>
            </w:pPr>
            <w:r w:rsidRPr="00F639E3">
              <w:rPr>
                <w:i/>
                <w:iCs/>
                <w:sz w:val="20"/>
                <w:szCs w:val="20"/>
              </w:rPr>
              <w:t xml:space="preserve">Higher result due to several new organisations becoming recognised as either a State Sporting Association or State Sport and Recreation Body. </w:t>
            </w:r>
          </w:p>
        </w:tc>
      </w:tr>
      <w:tr w:rsidR="00255EC0" w:rsidRPr="00F639E3" w14:paraId="07032D12" w14:textId="77777777" w:rsidTr="00E8460A">
        <w:trPr>
          <w:trHeight w:val="113"/>
        </w:trPr>
        <w:tc>
          <w:tcPr>
            <w:tcW w:w="4660" w:type="dxa"/>
          </w:tcPr>
          <w:p w14:paraId="5D0B1053" w14:textId="77777777" w:rsidR="00255EC0" w:rsidRPr="00F639E3" w:rsidRDefault="00255EC0" w:rsidP="00F639E3">
            <w:pPr>
              <w:pStyle w:val="Tabletextnospace"/>
              <w:rPr>
                <w:sz w:val="20"/>
                <w:szCs w:val="20"/>
              </w:rPr>
            </w:pPr>
            <w:r w:rsidRPr="00F639E3">
              <w:rPr>
                <w:sz w:val="20"/>
                <w:szCs w:val="20"/>
              </w:rPr>
              <w:t>Sporting club grants: number approved</w:t>
            </w:r>
          </w:p>
        </w:tc>
        <w:tc>
          <w:tcPr>
            <w:tcW w:w="964" w:type="dxa"/>
          </w:tcPr>
          <w:p w14:paraId="0C7E1C78"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5D16D2AD" w14:textId="77777777" w:rsidR="00255EC0" w:rsidRPr="00F639E3" w:rsidRDefault="00255EC0" w:rsidP="00F639E3">
            <w:pPr>
              <w:pStyle w:val="Tabletextnospace"/>
              <w:jc w:val="right"/>
              <w:rPr>
                <w:sz w:val="20"/>
                <w:szCs w:val="20"/>
              </w:rPr>
            </w:pPr>
            <w:r w:rsidRPr="00F639E3">
              <w:rPr>
                <w:sz w:val="20"/>
                <w:szCs w:val="20"/>
              </w:rPr>
              <w:t>695</w:t>
            </w:r>
          </w:p>
        </w:tc>
        <w:tc>
          <w:tcPr>
            <w:tcW w:w="963" w:type="dxa"/>
          </w:tcPr>
          <w:p w14:paraId="4F9D21B2" w14:textId="77777777" w:rsidR="00255EC0" w:rsidRPr="00F639E3" w:rsidRDefault="00255EC0" w:rsidP="00F639E3">
            <w:pPr>
              <w:pStyle w:val="Tabletextnospace"/>
              <w:jc w:val="right"/>
              <w:rPr>
                <w:sz w:val="20"/>
                <w:szCs w:val="20"/>
              </w:rPr>
            </w:pPr>
            <w:r w:rsidRPr="00F639E3">
              <w:rPr>
                <w:sz w:val="20"/>
                <w:szCs w:val="20"/>
              </w:rPr>
              <w:t>750</w:t>
            </w:r>
          </w:p>
        </w:tc>
        <w:tc>
          <w:tcPr>
            <w:tcW w:w="1375" w:type="dxa"/>
          </w:tcPr>
          <w:p w14:paraId="5A228440" w14:textId="77777777" w:rsidR="00255EC0" w:rsidRPr="00F639E3" w:rsidRDefault="00255EC0" w:rsidP="00F639E3">
            <w:pPr>
              <w:pStyle w:val="Tabletextnospace"/>
              <w:jc w:val="right"/>
              <w:rPr>
                <w:sz w:val="20"/>
                <w:szCs w:val="20"/>
              </w:rPr>
            </w:pPr>
            <w:r w:rsidRPr="00F639E3">
              <w:rPr>
                <w:sz w:val="20"/>
                <w:szCs w:val="20"/>
              </w:rPr>
              <w:t>-7.3%</w:t>
            </w:r>
          </w:p>
        </w:tc>
        <w:tc>
          <w:tcPr>
            <w:tcW w:w="850" w:type="dxa"/>
          </w:tcPr>
          <w:p w14:paraId="79387C3D"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n</w:t>
            </w:r>
          </w:p>
        </w:tc>
      </w:tr>
      <w:tr w:rsidR="00255EC0" w:rsidRPr="00F639E3" w14:paraId="2455DB94" w14:textId="77777777" w:rsidTr="00E8460A">
        <w:trPr>
          <w:trHeight w:val="113"/>
        </w:trPr>
        <w:tc>
          <w:tcPr>
            <w:tcW w:w="9776" w:type="dxa"/>
            <w:gridSpan w:val="6"/>
          </w:tcPr>
          <w:p w14:paraId="1FE4B739" w14:textId="77777777" w:rsidR="00255EC0" w:rsidRPr="00F639E3" w:rsidRDefault="00255EC0" w:rsidP="00F639E3">
            <w:pPr>
              <w:pStyle w:val="Tabletextnospace"/>
              <w:rPr>
                <w:i/>
                <w:iCs/>
                <w:sz w:val="20"/>
                <w:szCs w:val="20"/>
              </w:rPr>
            </w:pPr>
            <w:r w:rsidRPr="00F639E3">
              <w:rPr>
                <w:i/>
                <w:iCs/>
                <w:sz w:val="20"/>
                <w:szCs w:val="20"/>
              </w:rPr>
              <w:t>Lower result due to the higher average value and lower number of grants. The same aggregate funding was distributed for both years.</w:t>
            </w:r>
          </w:p>
        </w:tc>
      </w:tr>
      <w:tr w:rsidR="00255EC0" w:rsidRPr="00F639E3" w14:paraId="00053B2C" w14:textId="77777777" w:rsidTr="00E8460A">
        <w:trPr>
          <w:trHeight w:val="113"/>
        </w:trPr>
        <w:tc>
          <w:tcPr>
            <w:tcW w:w="4660" w:type="dxa"/>
          </w:tcPr>
          <w:p w14:paraId="0CD57664" w14:textId="77777777" w:rsidR="00255EC0" w:rsidRPr="00F639E3" w:rsidRDefault="00255EC0" w:rsidP="00F639E3">
            <w:pPr>
              <w:pStyle w:val="Tabletextnospace"/>
              <w:rPr>
                <w:sz w:val="20"/>
                <w:szCs w:val="20"/>
              </w:rPr>
            </w:pPr>
            <w:r w:rsidRPr="00F639E3">
              <w:rPr>
                <w:sz w:val="20"/>
                <w:szCs w:val="20"/>
              </w:rPr>
              <w:t>Sports with athletes on Victorian Institute of Sport (VIS) scholarships</w:t>
            </w:r>
          </w:p>
        </w:tc>
        <w:tc>
          <w:tcPr>
            <w:tcW w:w="964" w:type="dxa"/>
          </w:tcPr>
          <w:p w14:paraId="742B8196" w14:textId="77777777" w:rsidR="00255EC0" w:rsidRPr="00F639E3" w:rsidRDefault="00255EC0" w:rsidP="00F639E3">
            <w:pPr>
              <w:pStyle w:val="Tabletextnospace"/>
              <w:jc w:val="right"/>
              <w:rPr>
                <w:sz w:val="20"/>
                <w:szCs w:val="20"/>
              </w:rPr>
            </w:pPr>
            <w:r w:rsidRPr="00F639E3">
              <w:rPr>
                <w:sz w:val="20"/>
                <w:szCs w:val="20"/>
              </w:rPr>
              <w:t>number</w:t>
            </w:r>
          </w:p>
        </w:tc>
        <w:tc>
          <w:tcPr>
            <w:tcW w:w="964" w:type="dxa"/>
          </w:tcPr>
          <w:p w14:paraId="44175E97" w14:textId="77777777" w:rsidR="00255EC0" w:rsidRPr="00F639E3" w:rsidRDefault="00255EC0" w:rsidP="00F639E3">
            <w:pPr>
              <w:pStyle w:val="Tabletextnospace"/>
              <w:jc w:val="right"/>
              <w:rPr>
                <w:sz w:val="20"/>
                <w:szCs w:val="20"/>
              </w:rPr>
            </w:pPr>
            <w:r w:rsidRPr="00F639E3">
              <w:rPr>
                <w:sz w:val="20"/>
                <w:szCs w:val="20"/>
              </w:rPr>
              <w:t>46</w:t>
            </w:r>
          </w:p>
        </w:tc>
        <w:tc>
          <w:tcPr>
            <w:tcW w:w="963" w:type="dxa"/>
          </w:tcPr>
          <w:p w14:paraId="4F948D83" w14:textId="77777777" w:rsidR="00255EC0" w:rsidRPr="00F639E3" w:rsidRDefault="00255EC0" w:rsidP="00F639E3">
            <w:pPr>
              <w:pStyle w:val="Tabletextnospace"/>
              <w:jc w:val="right"/>
              <w:rPr>
                <w:sz w:val="20"/>
                <w:szCs w:val="20"/>
              </w:rPr>
            </w:pPr>
            <w:r w:rsidRPr="00F639E3">
              <w:rPr>
                <w:sz w:val="20"/>
                <w:szCs w:val="20"/>
              </w:rPr>
              <w:t>25</w:t>
            </w:r>
          </w:p>
        </w:tc>
        <w:tc>
          <w:tcPr>
            <w:tcW w:w="1375" w:type="dxa"/>
          </w:tcPr>
          <w:p w14:paraId="1105BF72" w14:textId="77777777" w:rsidR="00255EC0" w:rsidRPr="00F639E3" w:rsidRDefault="00255EC0" w:rsidP="00F639E3">
            <w:pPr>
              <w:pStyle w:val="Tabletextnospace"/>
              <w:jc w:val="right"/>
              <w:rPr>
                <w:sz w:val="20"/>
                <w:szCs w:val="20"/>
              </w:rPr>
            </w:pPr>
            <w:r w:rsidRPr="00F639E3">
              <w:rPr>
                <w:sz w:val="20"/>
                <w:szCs w:val="20"/>
              </w:rPr>
              <w:t>84.0%</w:t>
            </w:r>
          </w:p>
        </w:tc>
        <w:tc>
          <w:tcPr>
            <w:tcW w:w="850" w:type="dxa"/>
          </w:tcPr>
          <w:p w14:paraId="248E3EA0"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ü</w:t>
            </w:r>
          </w:p>
        </w:tc>
      </w:tr>
      <w:tr w:rsidR="00255EC0" w:rsidRPr="00F639E3" w14:paraId="34B089BF" w14:textId="77777777" w:rsidTr="00E8460A">
        <w:trPr>
          <w:trHeight w:val="113"/>
        </w:trPr>
        <w:tc>
          <w:tcPr>
            <w:tcW w:w="9776" w:type="dxa"/>
            <w:gridSpan w:val="6"/>
          </w:tcPr>
          <w:p w14:paraId="63BBBF8E" w14:textId="77777777" w:rsidR="00255EC0" w:rsidRPr="00F639E3" w:rsidRDefault="00255EC0" w:rsidP="00F639E3">
            <w:pPr>
              <w:pStyle w:val="Tabletextnospace"/>
              <w:rPr>
                <w:i/>
                <w:iCs/>
                <w:sz w:val="20"/>
                <w:szCs w:val="20"/>
              </w:rPr>
            </w:pPr>
            <w:r w:rsidRPr="00F639E3">
              <w:rPr>
                <w:i/>
                <w:iCs/>
                <w:sz w:val="20"/>
                <w:szCs w:val="20"/>
              </w:rPr>
              <w:t xml:space="preserve">Higher result due to the Tokyo Olympics originally expected to be run in July–August 2020. The number of sports programs through the Victorian Institute of Sport increased as a result of National Sporting Organisations providing additional funding to ensure the greatest opportunity for athletes aspiring to qualify for the Olympic and Paralympic Games have the chance to represent Australia. </w:t>
            </w:r>
          </w:p>
        </w:tc>
      </w:tr>
      <w:tr w:rsidR="00255EC0" w:rsidRPr="00F639E3" w14:paraId="1AC156D5" w14:textId="77777777" w:rsidTr="00E8460A">
        <w:trPr>
          <w:trHeight w:val="113"/>
        </w:trPr>
        <w:tc>
          <w:tcPr>
            <w:tcW w:w="4660" w:type="dxa"/>
          </w:tcPr>
          <w:p w14:paraId="73A13FF2" w14:textId="77777777" w:rsidR="00255EC0" w:rsidRPr="00F639E3" w:rsidRDefault="00255EC0" w:rsidP="00F639E3">
            <w:pPr>
              <w:pStyle w:val="Tabletextnospace"/>
              <w:rPr>
                <w:sz w:val="20"/>
                <w:szCs w:val="20"/>
              </w:rPr>
            </w:pPr>
            <w:r w:rsidRPr="00F639E3">
              <w:rPr>
                <w:sz w:val="20"/>
                <w:szCs w:val="20"/>
              </w:rPr>
              <w:t>Victorian Institute of Sport scholarship holders</w:t>
            </w:r>
            <w:r w:rsidRPr="00F639E3">
              <w:rPr>
                <w:sz w:val="20"/>
                <w:szCs w:val="20"/>
              </w:rPr>
              <w:br/>
              <w:t>on national teams/squads</w:t>
            </w:r>
          </w:p>
        </w:tc>
        <w:tc>
          <w:tcPr>
            <w:tcW w:w="964" w:type="dxa"/>
          </w:tcPr>
          <w:p w14:paraId="0C1F25C5" w14:textId="77777777" w:rsidR="00255EC0" w:rsidRPr="00F639E3" w:rsidRDefault="00255EC0" w:rsidP="00F639E3">
            <w:pPr>
              <w:pStyle w:val="Tabletextnospace"/>
              <w:jc w:val="right"/>
              <w:rPr>
                <w:sz w:val="20"/>
                <w:szCs w:val="20"/>
              </w:rPr>
            </w:pPr>
            <w:r w:rsidRPr="00F639E3">
              <w:rPr>
                <w:sz w:val="20"/>
                <w:szCs w:val="20"/>
              </w:rPr>
              <w:t>per cent</w:t>
            </w:r>
          </w:p>
        </w:tc>
        <w:tc>
          <w:tcPr>
            <w:tcW w:w="964" w:type="dxa"/>
          </w:tcPr>
          <w:p w14:paraId="21F8BDFA" w14:textId="77777777" w:rsidR="00255EC0" w:rsidRPr="00F639E3" w:rsidRDefault="00255EC0" w:rsidP="00F639E3">
            <w:pPr>
              <w:pStyle w:val="Tabletextnospace"/>
              <w:jc w:val="right"/>
              <w:rPr>
                <w:sz w:val="20"/>
                <w:szCs w:val="20"/>
              </w:rPr>
            </w:pPr>
            <w:r w:rsidRPr="00F639E3">
              <w:rPr>
                <w:sz w:val="20"/>
                <w:szCs w:val="20"/>
              </w:rPr>
              <w:t>71</w:t>
            </w:r>
          </w:p>
        </w:tc>
        <w:tc>
          <w:tcPr>
            <w:tcW w:w="963" w:type="dxa"/>
          </w:tcPr>
          <w:p w14:paraId="5E9CD744" w14:textId="77777777" w:rsidR="00255EC0" w:rsidRPr="00F639E3" w:rsidRDefault="00255EC0" w:rsidP="00F639E3">
            <w:pPr>
              <w:pStyle w:val="Tabletextnospace"/>
              <w:jc w:val="right"/>
              <w:rPr>
                <w:sz w:val="20"/>
                <w:szCs w:val="20"/>
              </w:rPr>
            </w:pPr>
            <w:r w:rsidRPr="00F639E3">
              <w:rPr>
                <w:sz w:val="20"/>
                <w:szCs w:val="20"/>
              </w:rPr>
              <w:t>60</w:t>
            </w:r>
          </w:p>
        </w:tc>
        <w:tc>
          <w:tcPr>
            <w:tcW w:w="1375" w:type="dxa"/>
          </w:tcPr>
          <w:p w14:paraId="41FB356D" w14:textId="77777777" w:rsidR="00255EC0" w:rsidRPr="00F639E3" w:rsidRDefault="00255EC0" w:rsidP="00F639E3">
            <w:pPr>
              <w:pStyle w:val="Tabletextnospace"/>
              <w:jc w:val="right"/>
              <w:rPr>
                <w:sz w:val="20"/>
                <w:szCs w:val="20"/>
              </w:rPr>
            </w:pPr>
            <w:r w:rsidRPr="00F639E3">
              <w:rPr>
                <w:sz w:val="20"/>
                <w:szCs w:val="20"/>
              </w:rPr>
              <w:t>18.3%</w:t>
            </w:r>
          </w:p>
        </w:tc>
        <w:tc>
          <w:tcPr>
            <w:tcW w:w="850" w:type="dxa"/>
          </w:tcPr>
          <w:p w14:paraId="5D3D7BC0"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ü</w:t>
            </w:r>
          </w:p>
        </w:tc>
      </w:tr>
      <w:tr w:rsidR="00255EC0" w:rsidRPr="00F639E3" w14:paraId="068B3C69" w14:textId="77777777" w:rsidTr="00E8460A">
        <w:trPr>
          <w:trHeight w:val="113"/>
        </w:trPr>
        <w:tc>
          <w:tcPr>
            <w:tcW w:w="9776" w:type="dxa"/>
            <w:gridSpan w:val="6"/>
          </w:tcPr>
          <w:p w14:paraId="062CFA4E" w14:textId="177467DF" w:rsidR="00255EC0" w:rsidRPr="00F639E3" w:rsidRDefault="00255EC0" w:rsidP="00F639E3">
            <w:pPr>
              <w:pStyle w:val="Tabletextnospace"/>
              <w:rPr>
                <w:i/>
                <w:iCs/>
                <w:sz w:val="20"/>
                <w:szCs w:val="20"/>
              </w:rPr>
            </w:pPr>
            <w:r w:rsidRPr="00F639E3">
              <w:rPr>
                <w:i/>
                <w:iCs/>
                <w:sz w:val="20"/>
                <w:szCs w:val="20"/>
              </w:rPr>
              <w:t xml:space="preserve">Higher result due to the strong performance of the Victorian Institute of Sport in developing athletes for selection in national </w:t>
            </w:r>
            <w:proofErr w:type="gramStart"/>
            <w:r w:rsidRPr="00F639E3">
              <w:rPr>
                <w:i/>
                <w:iCs/>
                <w:sz w:val="20"/>
                <w:szCs w:val="20"/>
              </w:rPr>
              <w:t xml:space="preserve">teams </w:t>
            </w:r>
            <w:r w:rsidR="00F639E3">
              <w:rPr>
                <w:i/>
                <w:iCs/>
                <w:sz w:val="20"/>
                <w:szCs w:val="20"/>
              </w:rPr>
              <w:t xml:space="preserve"> </w:t>
            </w:r>
            <w:r w:rsidRPr="00F639E3">
              <w:rPr>
                <w:i/>
                <w:iCs/>
                <w:sz w:val="20"/>
                <w:szCs w:val="20"/>
              </w:rPr>
              <w:t>or</w:t>
            </w:r>
            <w:proofErr w:type="gramEnd"/>
            <w:r w:rsidRPr="00F639E3">
              <w:rPr>
                <w:i/>
                <w:iCs/>
                <w:sz w:val="20"/>
                <w:szCs w:val="20"/>
              </w:rPr>
              <w:t xml:space="preserve"> squads.</w:t>
            </w:r>
          </w:p>
        </w:tc>
      </w:tr>
      <w:tr w:rsidR="00255EC0" w:rsidRPr="00F639E3" w14:paraId="5E40C390" w14:textId="77777777" w:rsidTr="00E8460A">
        <w:trPr>
          <w:trHeight w:val="113"/>
        </w:trPr>
        <w:tc>
          <w:tcPr>
            <w:tcW w:w="9776" w:type="dxa"/>
            <w:gridSpan w:val="6"/>
          </w:tcPr>
          <w:p w14:paraId="269932DB" w14:textId="77777777" w:rsidR="00255EC0" w:rsidRPr="00F639E3" w:rsidRDefault="00255EC0" w:rsidP="00F639E3">
            <w:pPr>
              <w:pStyle w:val="Tabletextnospace"/>
              <w:keepNext/>
              <w:rPr>
                <w:b/>
                <w:bCs/>
                <w:sz w:val="20"/>
                <w:szCs w:val="20"/>
              </w:rPr>
            </w:pPr>
            <w:r w:rsidRPr="00F639E3">
              <w:rPr>
                <w:b/>
                <w:bCs/>
                <w:sz w:val="20"/>
                <w:szCs w:val="20"/>
              </w:rPr>
              <w:lastRenderedPageBreak/>
              <w:t>Quality</w:t>
            </w:r>
          </w:p>
        </w:tc>
      </w:tr>
      <w:tr w:rsidR="00255EC0" w:rsidRPr="00F639E3" w14:paraId="3AB9F019" w14:textId="77777777" w:rsidTr="00E8460A">
        <w:trPr>
          <w:trHeight w:val="113"/>
        </w:trPr>
        <w:tc>
          <w:tcPr>
            <w:tcW w:w="4660" w:type="dxa"/>
          </w:tcPr>
          <w:p w14:paraId="759B5A81" w14:textId="77777777" w:rsidR="00255EC0" w:rsidRPr="00F639E3" w:rsidRDefault="00255EC0" w:rsidP="00F639E3">
            <w:pPr>
              <w:pStyle w:val="Tabletextnospace"/>
              <w:rPr>
                <w:sz w:val="20"/>
                <w:szCs w:val="20"/>
              </w:rPr>
            </w:pPr>
            <w:r w:rsidRPr="00F639E3">
              <w:rPr>
                <w:sz w:val="20"/>
                <w:szCs w:val="20"/>
              </w:rPr>
              <w:t>Contract management of outdoor recreation camps meets agreed key performance indicators</w:t>
            </w:r>
          </w:p>
        </w:tc>
        <w:tc>
          <w:tcPr>
            <w:tcW w:w="964" w:type="dxa"/>
          </w:tcPr>
          <w:p w14:paraId="63EBF5FB" w14:textId="77777777" w:rsidR="00255EC0" w:rsidRPr="00F639E3" w:rsidRDefault="00255EC0" w:rsidP="00F639E3">
            <w:pPr>
              <w:pStyle w:val="Tabletextnospace"/>
              <w:jc w:val="right"/>
              <w:rPr>
                <w:sz w:val="20"/>
                <w:szCs w:val="20"/>
              </w:rPr>
            </w:pPr>
            <w:r w:rsidRPr="00F639E3">
              <w:rPr>
                <w:sz w:val="20"/>
                <w:szCs w:val="20"/>
              </w:rPr>
              <w:t>per cent</w:t>
            </w:r>
          </w:p>
        </w:tc>
        <w:tc>
          <w:tcPr>
            <w:tcW w:w="964" w:type="dxa"/>
          </w:tcPr>
          <w:p w14:paraId="6E488668" w14:textId="77777777" w:rsidR="00255EC0" w:rsidRPr="00F639E3" w:rsidRDefault="00255EC0" w:rsidP="00F639E3">
            <w:pPr>
              <w:pStyle w:val="Tabletextnospace"/>
              <w:jc w:val="right"/>
              <w:rPr>
                <w:sz w:val="20"/>
                <w:szCs w:val="20"/>
              </w:rPr>
            </w:pPr>
            <w:r w:rsidRPr="00F639E3">
              <w:rPr>
                <w:sz w:val="20"/>
                <w:szCs w:val="20"/>
              </w:rPr>
              <w:t>92</w:t>
            </w:r>
          </w:p>
        </w:tc>
        <w:tc>
          <w:tcPr>
            <w:tcW w:w="963" w:type="dxa"/>
          </w:tcPr>
          <w:p w14:paraId="6F593705" w14:textId="77777777" w:rsidR="00255EC0" w:rsidRPr="00F639E3" w:rsidRDefault="00255EC0" w:rsidP="00F639E3">
            <w:pPr>
              <w:pStyle w:val="Tabletextnospace"/>
              <w:jc w:val="right"/>
              <w:rPr>
                <w:sz w:val="20"/>
                <w:szCs w:val="20"/>
              </w:rPr>
            </w:pPr>
            <w:r w:rsidRPr="00F639E3">
              <w:rPr>
                <w:sz w:val="20"/>
                <w:szCs w:val="20"/>
              </w:rPr>
              <w:t>90</w:t>
            </w:r>
          </w:p>
        </w:tc>
        <w:tc>
          <w:tcPr>
            <w:tcW w:w="1375" w:type="dxa"/>
          </w:tcPr>
          <w:p w14:paraId="4CA0A2BE" w14:textId="77777777" w:rsidR="00255EC0" w:rsidRPr="00F639E3" w:rsidRDefault="00255EC0" w:rsidP="00F639E3">
            <w:pPr>
              <w:pStyle w:val="Tabletextnospace"/>
              <w:jc w:val="right"/>
              <w:rPr>
                <w:sz w:val="20"/>
                <w:szCs w:val="20"/>
              </w:rPr>
            </w:pPr>
            <w:r w:rsidRPr="00F639E3">
              <w:rPr>
                <w:sz w:val="20"/>
                <w:szCs w:val="20"/>
              </w:rPr>
              <w:t>2.2%</w:t>
            </w:r>
          </w:p>
        </w:tc>
        <w:tc>
          <w:tcPr>
            <w:tcW w:w="850" w:type="dxa"/>
          </w:tcPr>
          <w:p w14:paraId="49902A77"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ü</w:t>
            </w:r>
          </w:p>
        </w:tc>
      </w:tr>
      <w:tr w:rsidR="00255EC0" w:rsidRPr="00F639E3" w14:paraId="55A7BD6D" w14:textId="77777777" w:rsidTr="00E8460A">
        <w:trPr>
          <w:trHeight w:val="113"/>
        </w:trPr>
        <w:tc>
          <w:tcPr>
            <w:tcW w:w="9776" w:type="dxa"/>
            <w:gridSpan w:val="6"/>
          </w:tcPr>
          <w:p w14:paraId="0A3CB2E5" w14:textId="77777777" w:rsidR="00255EC0" w:rsidRPr="00F639E3" w:rsidRDefault="00255EC0" w:rsidP="00F639E3">
            <w:pPr>
              <w:pStyle w:val="Tabletextnospace"/>
              <w:rPr>
                <w:b/>
                <w:bCs/>
                <w:sz w:val="20"/>
                <w:szCs w:val="20"/>
              </w:rPr>
            </w:pPr>
            <w:r w:rsidRPr="00F639E3">
              <w:rPr>
                <w:b/>
                <w:bCs/>
                <w:sz w:val="20"/>
                <w:szCs w:val="20"/>
              </w:rPr>
              <w:t>Timeliness</w:t>
            </w:r>
          </w:p>
        </w:tc>
      </w:tr>
      <w:tr w:rsidR="00255EC0" w:rsidRPr="00F639E3" w14:paraId="1B285849" w14:textId="77777777" w:rsidTr="00E8460A">
        <w:trPr>
          <w:trHeight w:val="113"/>
        </w:trPr>
        <w:tc>
          <w:tcPr>
            <w:tcW w:w="4660" w:type="dxa"/>
          </w:tcPr>
          <w:p w14:paraId="1F1AEE51" w14:textId="77777777" w:rsidR="00255EC0" w:rsidRPr="00F639E3" w:rsidRDefault="00255EC0" w:rsidP="00F639E3">
            <w:pPr>
              <w:pStyle w:val="Tabletextnospace"/>
              <w:rPr>
                <w:sz w:val="20"/>
                <w:szCs w:val="20"/>
              </w:rPr>
            </w:pPr>
            <w:r w:rsidRPr="00F639E3">
              <w:rPr>
                <w:sz w:val="20"/>
                <w:szCs w:val="20"/>
              </w:rPr>
              <w:t>Facilitate the delivery of the Community Cricket Program milestones in line with grant agreements</w:t>
            </w:r>
          </w:p>
        </w:tc>
        <w:tc>
          <w:tcPr>
            <w:tcW w:w="964" w:type="dxa"/>
          </w:tcPr>
          <w:p w14:paraId="67356C98" w14:textId="77777777" w:rsidR="00255EC0" w:rsidRPr="00F639E3" w:rsidRDefault="00255EC0" w:rsidP="00F639E3">
            <w:pPr>
              <w:pStyle w:val="Tabletextnospace"/>
              <w:jc w:val="right"/>
              <w:rPr>
                <w:sz w:val="20"/>
                <w:szCs w:val="20"/>
              </w:rPr>
            </w:pPr>
            <w:r w:rsidRPr="00F639E3">
              <w:rPr>
                <w:sz w:val="20"/>
                <w:szCs w:val="20"/>
              </w:rPr>
              <w:t>per cent</w:t>
            </w:r>
          </w:p>
        </w:tc>
        <w:tc>
          <w:tcPr>
            <w:tcW w:w="964" w:type="dxa"/>
          </w:tcPr>
          <w:p w14:paraId="0793F4E4" w14:textId="77777777" w:rsidR="00255EC0" w:rsidRPr="00F639E3" w:rsidRDefault="00255EC0" w:rsidP="00F639E3">
            <w:pPr>
              <w:pStyle w:val="Tabletextnospace"/>
              <w:jc w:val="right"/>
              <w:rPr>
                <w:sz w:val="20"/>
                <w:szCs w:val="20"/>
              </w:rPr>
            </w:pPr>
            <w:r w:rsidRPr="00F639E3">
              <w:rPr>
                <w:sz w:val="20"/>
                <w:szCs w:val="20"/>
              </w:rPr>
              <w:t>0</w:t>
            </w:r>
          </w:p>
        </w:tc>
        <w:tc>
          <w:tcPr>
            <w:tcW w:w="963" w:type="dxa"/>
          </w:tcPr>
          <w:p w14:paraId="522670FF" w14:textId="77777777" w:rsidR="00255EC0" w:rsidRPr="00F639E3" w:rsidRDefault="00255EC0" w:rsidP="00F639E3">
            <w:pPr>
              <w:pStyle w:val="Tabletextnospace"/>
              <w:jc w:val="right"/>
              <w:rPr>
                <w:sz w:val="20"/>
                <w:szCs w:val="20"/>
              </w:rPr>
            </w:pPr>
            <w:r w:rsidRPr="00F639E3">
              <w:rPr>
                <w:sz w:val="20"/>
                <w:szCs w:val="20"/>
              </w:rPr>
              <w:t>90</w:t>
            </w:r>
          </w:p>
        </w:tc>
        <w:tc>
          <w:tcPr>
            <w:tcW w:w="1375" w:type="dxa"/>
          </w:tcPr>
          <w:p w14:paraId="27C9B9E2" w14:textId="77777777" w:rsidR="00255EC0" w:rsidRPr="00F639E3" w:rsidRDefault="00255EC0" w:rsidP="00F639E3">
            <w:pPr>
              <w:pStyle w:val="Tabletextnospace"/>
              <w:jc w:val="right"/>
              <w:rPr>
                <w:sz w:val="20"/>
                <w:szCs w:val="20"/>
              </w:rPr>
            </w:pPr>
            <w:r w:rsidRPr="00F639E3">
              <w:rPr>
                <w:sz w:val="20"/>
                <w:szCs w:val="20"/>
              </w:rPr>
              <w:t>-100.0%</w:t>
            </w:r>
          </w:p>
        </w:tc>
        <w:tc>
          <w:tcPr>
            <w:tcW w:w="850" w:type="dxa"/>
          </w:tcPr>
          <w:p w14:paraId="00ECE561"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F639E3">
              <w:rPr>
                <w:rFonts w:ascii="Wingdings" w:hAnsi="Wingdings" w:cs="Wingdings"/>
                <w:position w:val="-2"/>
                <w:sz w:val="20"/>
                <w:lang w:val="en-GB"/>
              </w:rPr>
              <w:t>n</w:t>
            </w:r>
          </w:p>
        </w:tc>
      </w:tr>
      <w:tr w:rsidR="00255EC0" w:rsidRPr="00F639E3" w14:paraId="3D718B54" w14:textId="77777777" w:rsidTr="00E8460A">
        <w:trPr>
          <w:trHeight w:val="113"/>
        </w:trPr>
        <w:tc>
          <w:tcPr>
            <w:tcW w:w="9776" w:type="dxa"/>
            <w:gridSpan w:val="6"/>
          </w:tcPr>
          <w:p w14:paraId="75CFBC23" w14:textId="77777777" w:rsidR="00255EC0" w:rsidRPr="00F639E3" w:rsidRDefault="00255EC0" w:rsidP="00F639E3">
            <w:pPr>
              <w:pStyle w:val="Tabletextnospace"/>
              <w:rPr>
                <w:i/>
                <w:iCs/>
                <w:sz w:val="20"/>
                <w:szCs w:val="20"/>
              </w:rPr>
            </w:pPr>
            <w:r w:rsidRPr="00F639E3">
              <w:rPr>
                <w:i/>
                <w:iCs/>
                <w:sz w:val="20"/>
                <w:szCs w:val="20"/>
              </w:rPr>
              <w:t>No result due to the impact of coronavirus (COVID-19) on the timing of assessment and outcomes for the first round of the Community Cricket Program.</w:t>
            </w:r>
          </w:p>
        </w:tc>
      </w:tr>
      <w:tr w:rsidR="00255EC0" w:rsidRPr="00F639E3" w14:paraId="0266B498" w14:textId="77777777" w:rsidTr="00E8460A">
        <w:trPr>
          <w:trHeight w:val="113"/>
        </w:trPr>
        <w:tc>
          <w:tcPr>
            <w:tcW w:w="9776" w:type="dxa"/>
            <w:gridSpan w:val="6"/>
          </w:tcPr>
          <w:p w14:paraId="47FAFA72" w14:textId="77777777" w:rsidR="00255EC0" w:rsidRPr="00F639E3" w:rsidRDefault="00255EC0" w:rsidP="00F639E3">
            <w:pPr>
              <w:pStyle w:val="Tabletextnospace"/>
              <w:rPr>
                <w:b/>
                <w:bCs/>
                <w:sz w:val="20"/>
                <w:szCs w:val="20"/>
              </w:rPr>
            </w:pPr>
            <w:r w:rsidRPr="00F639E3">
              <w:rPr>
                <w:b/>
                <w:bCs/>
                <w:sz w:val="20"/>
                <w:szCs w:val="20"/>
              </w:rPr>
              <w:t>Cost</w:t>
            </w:r>
          </w:p>
        </w:tc>
      </w:tr>
      <w:tr w:rsidR="00255EC0" w:rsidRPr="00F639E3" w14:paraId="310A3504" w14:textId="77777777" w:rsidTr="00E8460A">
        <w:trPr>
          <w:trHeight w:val="113"/>
        </w:trPr>
        <w:tc>
          <w:tcPr>
            <w:tcW w:w="4660" w:type="dxa"/>
          </w:tcPr>
          <w:p w14:paraId="392AE224" w14:textId="77777777" w:rsidR="00255EC0" w:rsidRPr="00F639E3" w:rsidRDefault="00255EC0" w:rsidP="00F639E3">
            <w:pPr>
              <w:pStyle w:val="Tabletextnospace"/>
              <w:rPr>
                <w:b/>
                <w:bCs/>
                <w:sz w:val="20"/>
                <w:szCs w:val="20"/>
              </w:rPr>
            </w:pPr>
            <w:r w:rsidRPr="00F639E3">
              <w:rPr>
                <w:b/>
                <w:bCs/>
                <w:sz w:val="20"/>
                <w:szCs w:val="20"/>
              </w:rPr>
              <w:t>Total output cost</w:t>
            </w:r>
          </w:p>
        </w:tc>
        <w:tc>
          <w:tcPr>
            <w:tcW w:w="964" w:type="dxa"/>
          </w:tcPr>
          <w:p w14:paraId="3D325E64" w14:textId="77777777" w:rsidR="00255EC0" w:rsidRPr="00F639E3" w:rsidRDefault="00255EC0" w:rsidP="00F639E3">
            <w:pPr>
              <w:pStyle w:val="Tabletextnospace"/>
              <w:jc w:val="right"/>
              <w:rPr>
                <w:b/>
                <w:bCs/>
                <w:sz w:val="20"/>
                <w:szCs w:val="20"/>
              </w:rPr>
            </w:pPr>
            <w:r w:rsidRPr="00F639E3">
              <w:rPr>
                <w:b/>
                <w:bCs/>
                <w:sz w:val="20"/>
                <w:szCs w:val="20"/>
              </w:rPr>
              <w:t>$ million</w:t>
            </w:r>
          </w:p>
        </w:tc>
        <w:tc>
          <w:tcPr>
            <w:tcW w:w="964" w:type="dxa"/>
          </w:tcPr>
          <w:p w14:paraId="505BEE9B" w14:textId="77777777" w:rsidR="00255EC0" w:rsidRPr="00F639E3" w:rsidRDefault="00255EC0" w:rsidP="00F639E3">
            <w:pPr>
              <w:pStyle w:val="Tabletextnospace"/>
              <w:jc w:val="right"/>
              <w:rPr>
                <w:b/>
                <w:bCs/>
                <w:sz w:val="20"/>
                <w:szCs w:val="20"/>
              </w:rPr>
            </w:pPr>
            <w:r w:rsidRPr="00F639E3">
              <w:rPr>
                <w:b/>
                <w:bCs/>
                <w:sz w:val="20"/>
                <w:szCs w:val="20"/>
              </w:rPr>
              <w:t>285.5</w:t>
            </w:r>
          </w:p>
        </w:tc>
        <w:tc>
          <w:tcPr>
            <w:tcW w:w="963" w:type="dxa"/>
          </w:tcPr>
          <w:p w14:paraId="71DD86B3" w14:textId="77777777" w:rsidR="00255EC0" w:rsidRPr="00F639E3" w:rsidRDefault="00255EC0" w:rsidP="00F639E3">
            <w:pPr>
              <w:pStyle w:val="Tabletextnospace"/>
              <w:jc w:val="right"/>
              <w:rPr>
                <w:b/>
                <w:bCs/>
                <w:sz w:val="20"/>
                <w:szCs w:val="20"/>
              </w:rPr>
            </w:pPr>
            <w:r w:rsidRPr="00F639E3">
              <w:rPr>
                <w:b/>
                <w:bCs/>
                <w:sz w:val="20"/>
                <w:szCs w:val="20"/>
              </w:rPr>
              <w:t>374.9</w:t>
            </w:r>
          </w:p>
        </w:tc>
        <w:tc>
          <w:tcPr>
            <w:tcW w:w="1375" w:type="dxa"/>
          </w:tcPr>
          <w:p w14:paraId="5A856B6D" w14:textId="77777777" w:rsidR="00255EC0" w:rsidRPr="00F639E3" w:rsidRDefault="00255EC0" w:rsidP="00F639E3">
            <w:pPr>
              <w:pStyle w:val="Tabletextnospace"/>
              <w:jc w:val="right"/>
              <w:rPr>
                <w:b/>
                <w:bCs/>
                <w:sz w:val="20"/>
                <w:szCs w:val="20"/>
              </w:rPr>
            </w:pPr>
            <w:r w:rsidRPr="00F639E3">
              <w:rPr>
                <w:b/>
                <w:bCs/>
                <w:sz w:val="20"/>
                <w:szCs w:val="20"/>
              </w:rPr>
              <w:t>-24.0%</w:t>
            </w:r>
          </w:p>
        </w:tc>
        <w:tc>
          <w:tcPr>
            <w:tcW w:w="850" w:type="dxa"/>
          </w:tcPr>
          <w:p w14:paraId="4B770BBD" w14:textId="77777777" w:rsidR="00255EC0" w:rsidRPr="00F639E3" w:rsidRDefault="00255EC0" w:rsidP="00255EC0">
            <w:pPr>
              <w:suppressAutoHyphens/>
              <w:autoSpaceDE w:val="0"/>
              <w:autoSpaceDN w:val="0"/>
              <w:adjustRightInd w:val="0"/>
              <w:spacing w:after="113" w:line="220" w:lineRule="atLeast"/>
              <w:jc w:val="right"/>
              <w:textAlignment w:val="center"/>
              <w:rPr>
                <w:rFonts w:ascii="VIC Light" w:hAnsi="VIC Light" w:cs="VIC Light"/>
                <w:b/>
                <w:bCs/>
                <w:sz w:val="20"/>
                <w:lang w:val="en-GB"/>
              </w:rPr>
            </w:pPr>
            <w:r w:rsidRPr="00F639E3">
              <w:rPr>
                <w:rFonts w:ascii="Wingdings" w:hAnsi="Wingdings" w:cs="Wingdings"/>
                <w:b/>
                <w:bCs/>
                <w:position w:val="-2"/>
                <w:sz w:val="20"/>
                <w:lang w:val="en-GB"/>
              </w:rPr>
              <w:t>ü</w:t>
            </w:r>
          </w:p>
        </w:tc>
      </w:tr>
      <w:tr w:rsidR="00255EC0" w:rsidRPr="00F639E3" w14:paraId="025CBC7E" w14:textId="77777777" w:rsidTr="00E8460A">
        <w:trPr>
          <w:trHeight w:val="113"/>
        </w:trPr>
        <w:tc>
          <w:tcPr>
            <w:tcW w:w="9776" w:type="dxa"/>
            <w:gridSpan w:val="6"/>
          </w:tcPr>
          <w:p w14:paraId="6FA0AEBF" w14:textId="77777777" w:rsidR="00255EC0" w:rsidRPr="00F639E3" w:rsidRDefault="00255EC0" w:rsidP="00F639E3">
            <w:pPr>
              <w:pStyle w:val="Tabletextnospace"/>
              <w:rPr>
                <w:i/>
                <w:iCs/>
                <w:sz w:val="20"/>
                <w:szCs w:val="20"/>
              </w:rPr>
            </w:pPr>
            <w:r w:rsidRPr="00F639E3">
              <w:rPr>
                <w:i/>
                <w:iCs/>
                <w:sz w:val="20"/>
                <w:szCs w:val="20"/>
              </w:rPr>
              <w:t>The 2019–20 result was lower than budget primarily due to the timing of payments related to Major Stadia Funding program.</w:t>
            </w:r>
          </w:p>
        </w:tc>
      </w:tr>
      <w:tr w:rsidR="00255EC0" w:rsidRPr="00255EC0" w14:paraId="3AED2A10" w14:textId="77777777" w:rsidTr="00E8460A">
        <w:trPr>
          <w:trHeight w:val="113"/>
        </w:trPr>
        <w:tc>
          <w:tcPr>
            <w:tcW w:w="9776" w:type="dxa"/>
            <w:gridSpan w:val="6"/>
          </w:tcPr>
          <w:p w14:paraId="3AB7DEDA" w14:textId="77777777" w:rsidR="00255EC0" w:rsidRPr="00255EC0" w:rsidRDefault="00255EC0" w:rsidP="00F639E3">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377382A0" w14:textId="77777777" w:rsidR="00255EC0" w:rsidRPr="00255EC0" w:rsidRDefault="00255EC0" w:rsidP="00960B5D">
      <w:pPr>
        <w:pStyle w:val="Body"/>
      </w:pPr>
    </w:p>
    <w:p w14:paraId="3E6A0493" w14:textId="2A1FEA54" w:rsidR="00255EC0" w:rsidRPr="00255EC0" w:rsidRDefault="00255EC0" w:rsidP="00960B5D">
      <w:pPr>
        <w:pStyle w:val="Body"/>
      </w:pPr>
      <w:r w:rsidRPr="00255EC0">
        <w:t>Table 23 represents performance against the Tourism and Major Events output. This output maximises employment and the long-term economic benefits of tourism and major events to Victoria by developing</w:t>
      </w:r>
      <w:r w:rsidR="00960B5D">
        <w:t xml:space="preserve"> </w:t>
      </w:r>
      <w:r w:rsidRPr="00255EC0">
        <w:t>and marketing the state as a competitive destination.</w:t>
      </w:r>
    </w:p>
    <w:p w14:paraId="043E4E80" w14:textId="77777777" w:rsidR="00255EC0" w:rsidRPr="00255EC0" w:rsidRDefault="00255EC0" w:rsidP="00960B5D">
      <w:pPr>
        <w:pStyle w:val="Heading5"/>
        <w:rPr>
          <w:rFonts w:ascii="VIC Medium" w:hAnsi="VIC Medium" w:cs="VIC Medium"/>
        </w:rPr>
      </w:pPr>
      <w:r w:rsidRPr="00255EC0">
        <w:t>Table 23: Output – Tourism and Major Events</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960B5D" w14:paraId="18D8826A" w14:textId="77777777" w:rsidTr="00E8460A">
        <w:trPr>
          <w:trHeight w:val="113"/>
          <w:tblHeader/>
        </w:trPr>
        <w:tc>
          <w:tcPr>
            <w:tcW w:w="4660" w:type="dxa"/>
          </w:tcPr>
          <w:p w14:paraId="655648D5" w14:textId="77777777" w:rsidR="00255EC0" w:rsidRPr="00960B5D" w:rsidRDefault="00255EC0" w:rsidP="00960B5D">
            <w:pPr>
              <w:pStyle w:val="TableColumnheading"/>
              <w:rPr>
                <w:sz w:val="20"/>
              </w:rPr>
            </w:pPr>
            <w:r w:rsidRPr="00960B5D">
              <w:rPr>
                <w:sz w:val="20"/>
              </w:rPr>
              <w:t xml:space="preserve">Performance measures </w:t>
            </w:r>
          </w:p>
        </w:tc>
        <w:tc>
          <w:tcPr>
            <w:tcW w:w="964" w:type="dxa"/>
          </w:tcPr>
          <w:p w14:paraId="3A350665" w14:textId="77777777" w:rsidR="00255EC0" w:rsidRPr="00960B5D" w:rsidRDefault="00255EC0" w:rsidP="00960B5D">
            <w:pPr>
              <w:pStyle w:val="TableColumnheading"/>
              <w:jc w:val="right"/>
              <w:rPr>
                <w:sz w:val="20"/>
              </w:rPr>
            </w:pPr>
            <w:r w:rsidRPr="00960B5D">
              <w:rPr>
                <w:sz w:val="20"/>
              </w:rPr>
              <w:t>Unit of measure</w:t>
            </w:r>
          </w:p>
        </w:tc>
        <w:tc>
          <w:tcPr>
            <w:tcW w:w="964" w:type="dxa"/>
          </w:tcPr>
          <w:p w14:paraId="1F432390" w14:textId="77777777" w:rsidR="00255EC0" w:rsidRPr="00960B5D" w:rsidRDefault="00255EC0" w:rsidP="00960B5D">
            <w:pPr>
              <w:pStyle w:val="TableColumnheading"/>
              <w:jc w:val="right"/>
              <w:rPr>
                <w:sz w:val="20"/>
              </w:rPr>
            </w:pPr>
            <w:r w:rsidRPr="00960B5D">
              <w:rPr>
                <w:sz w:val="20"/>
              </w:rPr>
              <w:t>2019–20 actual</w:t>
            </w:r>
          </w:p>
        </w:tc>
        <w:tc>
          <w:tcPr>
            <w:tcW w:w="963" w:type="dxa"/>
          </w:tcPr>
          <w:p w14:paraId="6DB8211A" w14:textId="77777777" w:rsidR="00255EC0" w:rsidRPr="00960B5D" w:rsidRDefault="00255EC0" w:rsidP="00960B5D">
            <w:pPr>
              <w:pStyle w:val="TableColumnheading"/>
              <w:jc w:val="right"/>
              <w:rPr>
                <w:sz w:val="20"/>
              </w:rPr>
            </w:pPr>
            <w:r w:rsidRPr="00960B5D">
              <w:rPr>
                <w:sz w:val="20"/>
              </w:rPr>
              <w:t>2019–20 target</w:t>
            </w:r>
          </w:p>
        </w:tc>
        <w:tc>
          <w:tcPr>
            <w:tcW w:w="1375" w:type="dxa"/>
          </w:tcPr>
          <w:p w14:paraId="4BDAE1D3" w14:textId="77777777" w:rsidR="00255EC0" w:rsidRPr="00960B5D" w:rsidRDefault="00255EC0" w:rsidP="00960B5D">
            <w:pPr>
              <w:pStyle w:val="TableColumnheading"/>
              <w:jc w:val="right"/>
              <w:rPr>
                <w:sz w:val="20"/>
              </w:rPr>
            </w:pPr>
            <w:r w:rsidRPr="00960B5D">
              <w:rPr>
                <w:sz w:val="20"/>
              </w:rPr>
              <w:t xml:space="preserve">Performance variation (%) </w:t>
            </w:r>
          </w:p>
        </w:tc>
        <w:tc>
          <w:tcPr>
            <w:tcW w:w="850" w:type="dxa"/>
          </w:tcPr>
          <w:p w14:paraId="27162D67" w14:textId="77777777" w:rsidR="00255EC0" w:rsidRPr="00960B5D" w:rsidRDefault="00255EC0" w:rsidP="00960B5D">
            <w:pPr>
              <w:pStyle w:val="TableColumnheading"/>
              <w:jc w:val="right"/>
              <w:rPr>
                <w:sz w:val="20"/>
              </w:rPr>
            </w:pPr>
            <w:r w:rsidRPr="00960B5D">
              <w:rPr>
                <w:sz w:val="20"/>
              </w:rPr>
              <w:t xml:space="preserve">Result </w:t>
            </w:r>
          </w:p>
        </w:tc>
      </w:tr>
      <w:tr w:rsidR="00255EC0" w:rsidRPr="00960B5D" w14:paraId="0E0EE12A" w14:textId="77777777" w:rsidTr="00E8460A">
        <w:trPr>
          <w:trHeight w:val="113"/>
        </w:trPr>
        <w:tc>
          <w:tcPr>
            <w:tcW w:w="9776" w:type="dxa"/>
            <w:gridSpan w:val="6"/>
          </w:tcPr>
          <w:p w14:paraId="450FE69D" w14:textId="77777777" w:rsidR="00255EC0" w:rsidRPr="00960B5D" w:rsidRDefault="00255EC0" w:rsidP="00960B5D">
            <w:pPr>
              <w:pStyle w:val="Tabletextnospace"/>
              <w:rPr>
                <w:sz w:val="20"/>
                <w:szCs w:val="20"/>
              </w:rPr>
            </w:pPr>
            <w:r w:rsidRPr="00960B5D">
              <w:rPr>
                <w:sz w:val="20"/>
                <w:szCs w:val="20"/>
              </w:rPr>
              <w:t>Quantity</w:t>
            </w:r>
          </w:p>
        </w:tc>
      </w:tr>
      <w:tr w:rsidR="00255EC0" w:rsidRPr="00960B5D" w14:paraId="51EDF797" w14:textId="77777777" w:rsidTr="00E8460A">
        <w:trPr>
          <w:trHeight w:val="113"/>
        </w:trPr>
        <w:tc>
          <w:tcPr>
            <w:tcW w:w="4660" w:type="dxa"/>
          </w:tcPr>
          <w:p w14:paraId="6BE0D0B6" w14:textId="77777777" w:rsidR="00255EC0" w:rsidRPr="00960B5D" w:rsidRDefault="00255EC0" w:rsidP="00960B5D">
            <w:pPr>
              <w:pStyle w:val="Tabletextnospace"/>
              <w:rPr>
                <w:sz w:val="20"/>
                <w:szCs w:val="20"/>
              </w:rPr>
            </w:pPr>
            <w:r w:rsidRPr="00960B5D">
              <w:rPr>
                <w:sz w:val="20"/>
                <w:szCs w:val="20"/>
              </w:rPr>
              <w:t>Major sporting and cultural events facilitated</w:t>
            </w:r>
          </w:p>
        </w:tc>
        <w:tc>
          <w:tcPr>
            <w:tcW w:w="964" w:type="dxa"/>
          </w:tcPr>
          <w:p w14:paraId="2AB3C8C2" w14:textId="77777777" w:rsidR="00255EC0" w:rsidRPr="00960B5D" w:rsidRDefault="00255EC0" w:rsidP="00960B5D">
            <w:pPr>
              <w:pStyle w:val="Tabletextnospace"/>
              <w:jc w:val="right"/>
              <w:rPr>
                <w:sz w:val="20"/>
                <w:szCs w:val="20"/>
              </w:rPr>
            </w:pPr>
            <w:r w:rsidRPr="00960B5D">
              <w:rPr>
                <w:sz w:val="20"/>
                <w:szCs w:val="20"/>
              </w:rPr>
              <w:t>number</w:t>
            </w:r>
          </w:p>
        </w:tc>
        <w:tc>
          <w:tcPr>
            <w:tcW w:w="964" w:type="dxa"/>
          </w:tcPr>
          <w:p w14:paraId="4E299105" w14:textId="77777777" w:rsidR="00255EC0" w:rsidRPr="00960B5D" w:rsidRDefault="00255EC0" w:rsidP="00960B5D">
            <w:pPr>
              <w:pStyle w:val="Tabletextnospace"/>
              <w:jc w:val="right"/>
              <w:rPr>
                <w:sz w:val="20"/>
                <w:szCs w:val="20"/>
              </w:rPr>
            </w:pPr>
            <w:r w:rsidRPr="00960B5D">
              <w:rPr>
                <w:sz w:val="20"/>
                <w:szCs w:val="20"/>
              </w:rPr>
              <w:t>19</w:t>
            </w:r>
          </w:p>
        </w:tc>
        <w:tc>
          <w:tcPr>
            <w:tcW w:w="963" w:type="dxa"/>
          </w:tcPr>
          <w:p w14:paraId="2BAD3ECA" w14:textId="77777777" w:rsidR="00255EC0" w:rsidRPr="00960B5D" w:rsidRDefault="00255EC0" w:rsidP="00960B5D">
            <w:pPr>
              <w:pStyle w:val="Tabletextnospace"/>
              <w:jc w:val="right"/>
              <w:rPr>
                <w:sz w:val="20"/>
                <w:szCs w:val="20"/>
              </w:rPr>
            </w:pPr>
            <w:r w:rsidRPr="00960B5D">
              <w:rPr>
                <w:sz w:val="20"/>
                <w:szCs w:val="20"/>
              </w:rPr>
              <w:t>18</w:t>
            </w:r>
          </w:p>
        </w:tc>
        <w:tc>
          <w:tcPr>
            <w:tcW w:w="1375" w:type="dxa"/>
          </w:tcPr>
          <w:p w14:paraId="304E9A49" w14:textId="77777777" w:rsidR="00255EC0" w:rsidRPr="00960B5D" w:rsidRDefault="00255EC0" w:rsidP="00960B5D">
            <w:pPr>
              <w:pStyle w:val="Tabletextnospace"/>
              <w:jc w:val="right"/>
              <w:rPr>
                <w:sz w:val="20"/>
                <w:szCs w:val="20"/>
              </w:rPr>
            </w:pPr>
            <w:r w:rsidRPr="00960B5D">
              <w:rPr>
                <w:sz w:val="20"/>
                <w:szCs w:val="20"/>
              </w:rPr>
              <w:t>5.6%</w:t>
            </w:r>
          </w:p>
        </w:tc>
        <w:tc>
          <w:tcPr>
            <w:tcW w:w="850" w:type="dxa"/>
          </w:tcPr>
          <w:p w14:paraId="5281A042"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52EC9E6F" w14:textId="77777777" w:rsidTr="00E8460A">
        <w:trPr>
          <w:trHeight w:val="113"/>
        </w:trPr>
        <w:tc>
          <w:tcPr>
            <w:tcW w:w="9776" w:type="dxa"/>
            <w:gridSpan w:val="6"/>
          </w:tcPr>
          <w:p w14:paraId="3140401C" w14:textId="60C088D2" w:rsidR="00255EC0" w:rsidRPr="00960B5D" w:rsidRDefault="00255EC0" w:rsidP="00960B5D">
            <w:pPr>
              <w:pStyle w:val="Tabletext"/>
              <w:rPr>
                <w:i/>
                <w:iCs/>
                <w:sz w:val="20"/>
                <w:szCs w:val="16"/>
              </w:rPr>
            </w:pPr>
            <w:r w:rsidRPr="00960B5D">
              <w:rPr>
                <w:i/>
                <w:iCs/>
                <w:sz w:val="20"/>
                <w:szCs w:val="16"/>
              </w:rPr>
              <w:t>Higher result as the forecasted target was based on secured and potential events at the time of reporting, and Visit Victoria was able</w:t>
            </w:r>
            <w:r w:rsidR="00960B5D" w:rsidRPr="00960B5D">
              <w:rPr>
                <w:i/>
                <w:iCs/>
                <w:sz w:val="20"/>
                <w:szCs w:val="16"/>
              </w:rPr>
              <w:t xml:space="preserve"> </w:t>
            </w:r>
            <w:r w:rsidRPr="00960B5D">
              <w:rPr>
                <w:i/>
                <w:iCs/>
                <w:sz w:val="20"/>
                <w:szCs w:val="16"/>
              </w:rPr>
              <w:t>to facilitate an additional event in 2019–20.</w:t>
            </w:r>
          </w:p>
          <w:p w14:paraId="08E84D5D" w14:textId="77777777" w:rsidR="00255EC0" w:rsidRPr="00960B5D" w:rsidRDefault="00255EC0" w:rsidP="00960B5D">
            <w:pPr>
              <w:pStyle w:val="Tabletext"/>
              <w:rPr>
                <w:i/>
                <w:iCs/>
                <w:sz w:val="20"/>
                <w:szCs w:val="16"/>
              </w:rPr>
            </w:pPr>
            <w:r w:rsidRPr="00960B5D">
              <w:rPr>
                <w:i/>
                <w:iCs/>
                <w:sz w:val="20"/>
                <w:szCs w:val="16"/>
              </w:rPr>
              <w:t xml:space="preserve">Events facilitated in 2019–20 include: 2020 World Sailing Championships, Australian Open Tennis, AUS-X Open, Boomers versus USA Basketball, Cadel Evans Great Ocean Road Race, Come From Away, Festival of Sails, FIG Individual Apparatus World Cup, </w:t>
            </w:r>
            <w:proofErr w:type="spellStart"/>
            <w:r w:rsidRPr="00960B5D">
              <w:rPr>
                <w:i/>
                <w:iCs/>
                <w:sz w:val="20"/>
                <w:szCs w:val="16"/>
              </w:rPr>
              <w:t>FIM</w:t>
            </w:r>
            <w:proofErr w:type="spellEnd"/>
            <w:r w:rsidRPr="00960B5D">
              <w:rPr>
                <w:i/>
                <w:iCs/>
                <w:sz w:val="20"/>
                <w:szCs w:val="16"/>
              </w:rPr>
              <w:t xml:space="preserve"> Superbike World Championship, Harry Potter and The Cursed Child, Helpmann Awards, ICC T20 Women’s World Cup 6 Matches (incl. Final), Jayco Herald Sun Tour, Melbourne Esports Open, The Presidents Cup, UFC243, Virgin Australia Melbourne Fashion Festival, White Night Ballarat, White Night Melbourne Reimagined.</w:t>
            </w:r>
          </w:p>
        </w:tc>
      </w:tr>
      <w:tr w:rsidR="00255EC0" w:rsidRPr="00960B5D" w14:paraId="08D842AD" w14:textId="77777777" w:rsidTr="00E8460A">
        <w:trPr>
          <w:trHeight w:val="113"/>
        </w:trPr>
        <w:tc>
          <w:tcPr>
            <w:tcW w:w="4660" w:type="dxa"/>
          </w:tcPr>
          <w:p w14:paraId="5A86E443" w14:textId="77777777" w:rsidR="00255EC0" w:rsidRPr="00960B5D" w:rsidRDefault="00255EC0" w:rsidP="00960B5D">
            <w:pPr>
              <w:pStyle w:val="Tabletextnospace"/>
              <w:rPr>
                <w:sz w:val="20"/>
                <w:szCs w:val="20"/>
              </w:rPr>
            </w:pPr>
            <w:r w:rsidRPr="00960B5D">
              <w:rPr>
                <w:sz w:val="20"/>
                <w:szCs w:val="20"/>
              </w:rPr>
              <w:t>Visit Victoria's total engaged digital audience</w:t>
            </w:r>
          </w:p>
        </w:tc>
        <w:tc>
          <w:tcPr>
            <w:tcW w:w="964" w:type="dxa"/>
          </w:tcPr>
          <w:p w14:paraId="03EFB350" w14:textId="77777777" w:rsidR="00255EC0" w:rsidRPr="00960B5D" w:rsidRDefault="00255EC0" w:rsidP="00960B5D">
            <w:pPr>
              <w:pStyle w:val="Tabletextnospace"/>
              <w:jc w:val="right"/>
              <w:rPr>
                <w:sz w:val="20"/>
                <w:szCs w:val="20"/>
              </w:rPr>
            </w:pPr>
            <w:r w:rsidRPr="00960B5D">
              <w:rPr>
                <w:sz w:val="20"/>
                <w:szCs w:val="20"/>
              </w:rPr>
              <w:t>number (million)</w:t>
            </w:r>
          </w:p>
        </w:tc>
        <w:tc>
          <w:tcPr>
            <w:tcW w:w="964" w:type="dxa"/>
          </w:tcPr>
          <w:p w14:paraId="1DBEB6CB" w14:textId="77777777" w:rsidR="00255EC0" w:rsidRPr="00960B5D" w:rsidRDefault="00255EC0" w:rsidP="00960B5D">
            <w:pPr>
              <w:pStyle w:val="Tabletextnospace"/>
              <w:jc w:val="right"/>
              <w:rPr>
                <w:sz w:val="20"/>
                <w:szCs w:val="20"/>
              </w:rPr>
            </w:pPr>
            <w:r w:rsidRPr="00960B5D">
              <w:rPr>
                <w:sz w:val="20"/>
                <w:szCs w:val="20"/>
              </w:rPr>
              <w:t>5</w:t>
            </w:r>
          </w:p>
        </w:tc>
        <w:tc>
          <w:tcPr>
            <w:tcW w:w="963" w:type="dxa"/>
          </w:tcPr>
          <w:p w14:paraId="38773C19" w14:textId="77777777" w:rsidR="00255EC0" w:rsidRPr="00960B5D" w:rsidRDefault="00255EC0" w:rsidP="00960B5D">
            <w:pPr>
              <w:pStyle w:val="Tabletextnospace"/>
              <w:jc w:val="right"/>
              <w:rPr>
                <w:sz w:val="20"/>
                <w:szCs w:val="20"/>
              </w:rPr>
            </w:pPr>
            <w:r w:rsidRPr="00960B5D">
              <w:rPr>
                <w:sz w:val="20"/>
                <w:szCs w:val="20"/>
              </w:rPr>
              <w:t>5.4</w:t>
            </w:r>
          </w:p>
        </w:tc>
        <w:tc>
          <w:tcPr>
            <w:tcW w:w="1375" w:type="dxa"/>
          </w:tcPr>
          <w:p w14:paraId="51496751" w14:textId="77777777" w:rsidR="00255EC0" w:rsidRPr="00960B5D" w:rsidRDefault="00255EC0" w:rsidP="00960B5D">
            <w:pPr>
              <w:pStyle w:val="Tabletextnospace"/>
              <w:jc w:val="right"/>
              <w:rPr>
                <w:sz w:val="20"/>
                <w:szCs w:val="20"/>
              </w:rPr>
            </w:pPr>
            <w:r w:rsidRPr="00960B5D">
              <w:rPr>
                <w:sz w:val="20"/>
                <w:szCs w:val="20"/>
              </w:rPr>
              <w:t>-7.4%</w:t>
            </w:r>
          </w:p>
        </w:tc>
        <w:tc>
          <w:tcPr>
            <w:tcW w:w="850" w:type="dxa"/>
          </w:tcPr>
          <w:p w14:paraId="080D7F46"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n</w:t>
            </w:r>
          </w:p>
        </w:tc>
      </w:tr>
      <w:tr w:rsidR="00255EC0" w:rsidRPr="00960B5D" w14:paraId="0C75932E" w14:textId="77777777" w:rsidTr="00E8460A">
        <w:trPr>
          <w:trHeight w:val="113"/>
        </w:trPr>
        <w:tc>
          <w:tcPr>
            <w:tcW w:w="9776" w:type="dxa"/>
            <w:gridSpan w:val="6"/>
          </w:tcPr>
          <w:p w14:paraId="6B829AB2" w14:textId="77777777" w:rsidR="00255EC0" w:rsidRPr="00960B5D" w:rsidRDefault="00255EC0" w:rsidP="00960B5D">
            <w:pPr>
              <w:pStyle w:val="Tabletext"/>
              <w:rPr>
                <w:i/>
                <w:iCs/>
                <w:sz w:val="20"/>
                <w:szCs w:val="16"/>
              </w:rPr>
            </w:pPr>
            <w:r w:rsidRPr="00960B5D">
              <w:rPr>
                <w:i/>
                <w:iCs/>
                <w:sz w:val="20"/>
                <w:szCs w:val="16"/>
              </w:rPr>
              <w:t>Lower result due to the impact of coronavirus (COVID-19), travel restrictions and no Visit Victoria paid media activity.</w:t>
            </w:r>
          </w:p>
        </w:tc>
      </w:tr>
      <w:tr w:rsidR="00255EC0" w:rsidRPr="00960B5D" w14:paraId="662417C4" w14:textId="77777777" w:rsidTr="00E8460A">
        <w:trPr>
          <w:trHeight w:val="113"/>
        </w:trPr>
        <w:tc>
          <w:tcPr>
            <w:tcW w:w="4660" w:type="dxa"/>
          </w:tcPr>
          <w:p w14:paraId="159C1093" w14:textId="77777777" w:rsidR="00255EC0" w:rsidRPr="00960B5D" w:rsidRDefault="00255EC0" w:rsidP="00960B5D">
            <w:pPr>
              <w:pStyle w:val="Tabletextnospace"/>
              <w:keepNext/>
              <w:rPr>
                <w:sz w:val="20"/>
                <w:szCs w:val="20"/>
              </w:rPr>
            </w:pPr>
            <w:r w:rsidRPr="00960B5D">
              <w:rPr>
                <w:sz w:val="20"/>
                <w:szCs w:val="20"/>
              </w:rPr>
              <w:lastRenderedPageBreak/>
              <w:t>Visitor expenditure: domestic</w:t>
            </w:r>
          </w:p>
        </w:tc>
        <w:tc>
          <w:tcPr>
            <w:tcW w:w="964" w:type="dxa"/>
          </w:tcPr>
          <w:p w14:paraId="1F34881C" w14:textId="77777777" w:rsidR="00255EC0" w:rsidRPr="00960B5D" w:rsidRDefault="00255EC0" w:rsidP="00960B5D">
            <w:pPr>
              <w:pStyle w:val="Tabletextnospace"/>
              <w:keepNext/>
              <w:jc w:val="right"/>
              <w:rPr>
                <w:sz w:val="20"/>
                <w:szCs w:val="20"/>
              </w:rPr>
            </w:pPr>
            <w:r w:rsidRPr="00960B5D">
              <w:rPr>
                <w:sz w:val="20"/>
                <w:szCs w:val="20"/>
              </w:rPr>
              <w:t>$ billion</w:t>
            </w:r>
          </w:p>
        </w:tc>
        <w:tc>
          <w:tcPr>
            <w:tcW w:w="964" w:type="dxa"/>
          </w:tcPr>
          <w:p w14:paraId="3D565032" w14:textId="77777777" w:rsidR="00255EC0" w:rsidRPr="00960B5D" w:rsidRDefault="00255EC0" w:rsidP="00960B5D">
            <w:pPr>
              <w:pStyle w:val="Tabletextnospace"/>
              <w:keepNext/>
              <w:jc w:val="right"/>
              <w:rPr>
                <w:sz w:val="20"/>
                <w:szCs w:val="20"/>
              </w:rPr>
            </w:pPr>
            <w:r w:rsidRPr="00960B5D">
              <w:rPr>
                <w:sz w:val="20"/>
                <w:szCs w:val="20"/>
              </w:rPr>
              <w:t>23.2</w:t>
            </w:r>
          </w:p>
        </w:tc>
        <w:tc>
          <w:tcPr>
            <w:tcW w:w="963" w:type="dxa"/>
          </w:tcPr>
          <w:p w14:paraId="334F6695" w14:textId="77777777" w:rsidR="00255EC0" w:rsidRPr="00960B5D" w:rsidRDefault="00255EC0" w:rsidP="00960B5D">
            <w:pPr>
              <w:pStyle w:val="Tabletextnospace"/>
              <w:keepNext/>
              <w:jc w:val="right"/>
              <w:rPr>
                <w:sz w:val="20"/>
                <w:szCs w:val="20"/>
              </w:rPr>
            </w:pPr>
            <w:r w:rsidRPr="00960B5D">
              <w:rPr>
                <w:sz w:val="20"/>
                <w:szCs w:val="20"/>
              </w:rPr>
              <w:t>20.6</w:t>
            </w:r>
          </w:p>
        </w:tc>
        <w:tc>
          <w:tcPr>
            <w:tcW w:w="1375" w:type="dxa"/>
          </w:tcPr>
          <w:p w14:paraId="081F227F" w14:textId="77777777" w:rsidR="00255EC0" w:rsidRPr="00960B5D" w:rsidRDefault="00255EC0" w:rsidP="00960B5D">
            <w:pPr>
              <w:pStyle w:val="Tabletextnospace"/>
              <w:keepNext/>
              <w:jc w:val="right"/>
              <w:rPr>
                <w:sz w:val="20"/>
                <w:szCs w:val="20"/>
              </w:rPr>
            </w:pPr>
            <w:r w:rsidRPr="00960B5D">
              <w:rPr>
                <w:sz w:val="20"/>
                <w:szCs w:val="20"/>
              </w:rPr>
              <w:t>12.6%</w:t>
            </w:r>
          </w:p>
        </w:tc>
        <w:tc>
          <w:tcPr>
            <w:tcW w:w="850" w:type="dxa"/>
          </w:tcPr>
          <w:p w14:paraId="2D7B16BD" w14:textId="77777777" w:rsidR="00255EC0" w:rsidRPr="00960B5D" w:rsidRDefault="00255EC0" w:rsidP="00960B5D">
            <w:pPr>
              <w:keepNext/>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650FBD68" w14:textId="77777777" w:rsidTr="00E8460A">
        <w:trPr>
          <w:trHeight w:val="113"/>
        </w:trPr>
        <w:tc>
          <w:tcPr>
            <w:tcW w:w="9776" w:type="dxa"/>
            <w:gridSpan w:val="6"/>
          </w:tcPr>
          <w:p w14:paraId="11B0A282" w14:textId="77777777" w:rsidR="00255EC0" w:rsidRPr="00960B5D" w:rsidRDefault="00255EC0" w:rsidP="00960B5D">
            <w:pPr>
              <w:pStyle w:val="Tabletext"/>
              <w:rPr>
                <w:i/>
                <w:iCs/>
                <w:sz w:val="20"/>
                <w:szCs w:val="16"/>
              </w:rPr>
            </w:pPr>
            <w:r w:rsidRPr="00960B5D">
              <w:rPr>
                <w:i/>
                <w:iCs/>
                <w:sz w:val="20"/>
                <w:szCs w:val="16"/>
              </w:rPr>
              <w:t>Higher result due to growth in total domestic expenditure in Victoria following a strong 2019 calendar year (and shift to 100 per cent mobile phone interviewing from January 2019 which had an upward influence on survey results).</w:t>
            </w:r>
          </w:p>
          <w:p w14:paraId="405702B5"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National Visitor Survey published in July 2020.</w:t>
            </w:r>
          </w:p>
        </w:tc>
      </w:tr>
      <w:tr w:rsidR="00255EC0" w:rsidRPr="00960B5D" w14:paraId="09AB4DCE" w14:textId="77777777" w:rsidTr="00E8460A">
        <w:trPr>
          <w:trHeight w:val="113"/>
        </w:trPr>
        <w:tc>
          <w:tcPr>
            <w:tcW w:w="4660" w:type="dxa"/>
          </w:tcPr>
          <w:p w14:paraId="27E22EF3" w14:textId="77777777" w:rsidR="00255EC0" w:rsidRPr="00960B5D" w:rsidRDefault="00255EC0" w:rsidP="00960B5D">
            <w:pPr>
              <w:pStyle w:val="Tabletextnospace"/>
              <w:rPr>
                <w:sz w:val="20"/>
                <w:szCs w:val="20"/>
              </w:rPr>
            </w:pPr>
            <w:r w:rsidRPr="00960B5D">
              <w:rPr>
                <w:sz w:val="20"/>
                <w:szCs w:val="20"/>
              </w:rPr>
              <w:t>Visitor expenditure: international</w:t>
            </w:r>
          </w:p>
        </w:tc>
        <w:tc>
          <w:tcPr>
            <w:tcW w:w="964" w:type="dxa"/>
          </w:tcPr>
          <w:p w14:paraId="2B2FF6E5" w14:textId="77777777" w:rsidR="00255EC0" w:rsidRPr="00960B5D" w:rsidRDefault="00255EC0" w:rsidP="00960B5D">
            <w:pPr>
              <w:pStyle w:val="Tabletextnospace"/>
              <w:jc w:val="right"/>
              <w:rPr>
                <w:sz w:val="20"/>
                <w:szCs w:val="20"/>
              </w:rPr>
            </w:pPr>
            <w:r w:rsidRPr="00960B5D">
              <w:rPr>
                <w:sz w:val="20"/>
                <w:szCs w:val="20"/>
              </w:rPr>
              <w:t>$ billion</w:t>
            </w:r>
          </w:p>
        </w:tc>
        <w:tc>
          <w:tcPr>
            <w:tcW w:w="964" w:type="dxa"/>
          </w:tcPr>
          <w:p w14:paraId="6A1F8821" w14:textId="77777777" w:rsidR="00255EC0" w:rsidRPr="00960B5D" w:rsidRDefault="00255EC0" w:rsidP="00960B5D">
            <w:pPr>
              <w:pStyle w:val="Tabletextnospace"/>
              <w:jc w:val="right"/>
              <w:rPr>
                <w:sz w:val="20"/>
                <w:szCs w:val="20"/>
              </w:rPr>
            </w:pPr>
            <w:r w:rsidRPr="00960B5D">
              <w:rPr>
                <w:sz w:val="20"/>
                <w:szCs w:val="20"/>
              </w:rPr>
              <w:t>8.1</w:t>
            </w:r>
          </w:p>
        </w:tc>
        <w:tc>
          <w:tcPr>
            <w:tcW w:w="963" w:type="dxa"/>
          </w:tcPr>
          <w:p w14:paraId="56B64B21" w14:textId="77777777" w:rsidR="00255EC0" w:rsidRPr="00960B5D" w:rsidRDefault="00255EC0" w:rsidP="00960B5D">
            <w:pPr>
              <w:pStyle w:val="Tabletextnospace"/>
              <w:jc w:val="right"/>
              <w:rPr>
                <w:sz w:val="20"/>
                <w:szCs w:val="20"/>
              </w:rPr>
            </w:pPr>
            <w:r w:rsidRPr="00960B5D">
              <w:rPr>
                <w:sz w:val="20"/>
                <w:szCs w:val="20"/>
              </w:rPr>
              <w:t>8.7</w:t>
            </w:r>
          </w:p>
        </w:tc>
        <w:tc>
          <w:tcPr>
            <w:tcW w:w="1375" w:type="dxa"/>
          </w:tcPr>
          <w:p w14:paraId="2A6D1578" w14:textId="77777777" w:rsidR="00255EC0" w:rsidRPr="00960B5D" w:rsidRDefault="00255EC0" w:rsidP="00960B5D">
            <w:pPr>
              <w:pStyle w:val="Tabletextnospace"/>
              <w:jc w:val="right"/>
              <w:rPr>
                <w:sz w:val="20"/>
                <w:szCs w:val="20"/>
              </w:rPr>
            </w:pPr>
            <w:r w:rsidRPr="00960B5D">
              <w:rPr>
                <w:sz w:val="20"/>
                <w:szCs w:val="20"/>
              </w:rPr>
              <w:t>-6.9%</w:t>
            </w:r>
          </w:p>
        </w:tc>
        <w:tc>
          <w:tcPr>
            <w:tcW w:w="850" w:type="dxa"/>
          </w:tcPr>
          <w:p w14:paraId="35DD6653"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n</w:t>
            </w:r>
          </w:p>
        </w:tc>
      </w:tr>
      <w:tr w:rsidR="00255EC0" w:rsidRPr="00960B5D" w14:paraId="1113C7FD" w14:textId="77777777" w:rsidTr="00E8460A">
        <w:trPr>
          <w:trHeight w:val="113"/>
        </w:trPr>
        <w:tc>
          <w:tcPr>
            <w:tcW w:w="9776" w:type="dxa"/>
            <w:gridSpan w:val="6"/>
          </w:tcPr>
          <w:p w14:paraId="0BD48E89" w14:textId="77777777" w:rsidR="00255EC0" w:rsidRPr="00960B5D" w:rsidRDefault="00255EC0" w:rsidP="00960B5D">
            <w:pPr>
              <w:pStyle w:val="Tabletext"/>
              <w:rPr>
                <w:i/>
                <w:iCs/>
                <w:sz w:val="20"/>
                <w:szCs w:val="16"/>
              </w:rPr>
            </w:pPr>
            <w:r w:rsidRPr="00960B5D">
              <w:rPr>
                <w:i/>
                <w:iCs/>
                <w:sz w:val="20"/>
                <w:szCs w:val="16"/>
              </w:rPr>
              <w:t>Lower result due to the impact of coronavirus (COVID-19) and associated restrictions on international travel.</w:t>
            </w:r>
          </w:p>
          <w:p w14:paraId="746CE82C"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International Visitor Survey published in July 2020.</w:t>
            </w:r>
          </w:p>
        </w:tc>
      </w:tr>
      <w:tr w:rsidR="00255EC0" w:rsidRPr="00960B5D" w14:paraId="79458375" w14:textId="77777777" w:rsidTr="00E8460A">
        <w:trPr>
          <w:trHeight w:val="113"/>
        </w:trPr>
        <w:tc>
          <w:tcPr>
            <w:tcW w:w="4660" w:type="dxa"/>
          </w:tcPr>
          <w:p w14:paraId="3EEBECE2" w14:textId="77777777" w:rsidR="00255EC0" w:rsidRPr="00960B5D" w:rsidRDefault="00255EC0" w:rsidP="00960B5D">
            <w:pPr>
              <w:pStyle w:val="Tabletextnospace"/>
              <w:rPr>
                <w:sz w:val="20"/>
                <w:szCs w:val="20"/>
              </w:rPr>
            </w:pPr>
            <w:r w:rsidRPr="00960B5D">
              <w:rPr>
                <w:sz w:val="20"/>
                <w:szCs w:val="20"/>
              </w:rPr>
              <w:t>Visitor expenditure: regional Victoria (domestic)</w:t>
            </w:r>
          </w:p>
        </w:tc>
        <w:tc>
          <w:tcPr>
            <w:tcW w:w="964" w:type="dxa"/>
          </w:tcPr>
          <w:p w14:paraId="7BEB67E0" w14:textId="77777777" w:rsidR="00255EC0" w:rsidRPr="00960B5D" w:rsidRDefault="00255EC0" w:rsidP="00960B5D">
            <w:pPr>
              <w:pStyle w:val="Tabletextnospace"/>
              <w:jc w:val="right"/>
              <w:rPr>
                <w:sz w:val="20"/>
                <w:szCs w:val="20"/>
              </w:rPr>
            </w:pPr>
            <w:r w:rsidRPr="00960B5D">
              <w:rPr>
                <w:sz w:val="20"/>
                <w:szCs w:val="20"/>
              </w:rPr>
              <w:t>$ billion</w:t>
            </w:r>
          </w:p>
        </w:tc>
        <w:tc>
          <w:tcPr>
            <w:tcW w:w="964" w:type="dxa"/>
          </w:tcPr>
          <w:p w14:paraId="10FCEB0C" w14:textId="77777777" w:rsidR="00255EC0" w:rsidRPr="00960B5D" w:rsidRDefault="00255EC0" w:rsidP="00960B5D">
            <w:pPr>
              <w:pStyle w:val="Tabletextnospace"/>
              <w:jc w:val="right"/>
              <w:rPr>
                <w:sz w:val="20"/>
                <w:szCs w:val="20"/>
              </w:rPr>
            </w:pPr>
            <w:r w:rsidRPr="00960B5D">
              <w:rPr>
                <w:sz w:val="20"/>
                <w:szCs w:val="20"/>
              </w:rPr>
              <w:t>11.3</w:t>
            </w:r>
          </w:p>
        </w:tc>
        <w:tc>
          <w:tcPr>
            <w:tcW w:w="963" w:type="dxa"/>
          </w:tcPr>
          <w:p w14:paraId="51D1E9C6" w14:textId="77777777" w:rsidR="00255EC0" w:rsidRPr="00960B5D" w:rsidRDefault="00255EC0" w:rsidP="00960B5D">
            <w:pPr>
              <w:pStyle w:val="Tabletextnospace"/>
              <w:jc w:val="right"/>
              <w:rPr>
                <w:sz w:val="20"/>
                <w:szCs w:val="20"/>
              </w:rPr>
            </w:pPr>
            <w:r w:rsidRPr="00960B5D">
              <w:rPr>
                <w:sz w:val="20"/>
                <w:szCs w:val="20"/>
              </w:rPr>
              <w:t>9.9</w:t>
            </w:r>
          </w:p>
        </w:tc>
        <w:tc>
          <w:tcPr>
            <w:tcW w:w="1375" w:type="dxa"/>
          </w:tcPr>
          <w:p w14:paraId="7D023687" w14:textId="77777777" w:rsidR="00255EC0" w:rsidRPr="00960B5D" w:rsidRDefault="00255EC0" w:rsidP="00960B5D">
            <w:pPr>
              <w:pStyle w:val="Tabletextnospace"/>
              <w:jc w:val="right"/>
              <w:rPr>
                <w:sz w:val="20"/>
                <w:szCs w:val="20"/>
              </w:rPr>
            </w:pPr>
            <w:r w:rsidRPr="00960B5D">
              <w:rPr>
                <w:sz w:val="20"/>
                <w:szCs w:val="20"/>
              </w:rPr>
              <w:t>14.1%</w:t>
            </w:r>
          </w:p>
        </w:tc>
        <w:tc>
          <w:tcPr>
            <w:tcW w:w="850" w:type="dxa"/>
          </w:tcPr>
          <w:p w14:paraId="58F2E4EF"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30B551B7" w14:textId="77777777" w:rsidTr="00E8460A">
        <w:trPr>
          <w:trHeight w:val="113"/>
        </w:trPr>
        <w:tc>
          <w:tcPr>
            <w:tcW w:w="9776" w:type="dxa"/>
            <w:gridSpan w:val="6"/>
          </w:tcPr>
          <w:p w14:paraId="7AD10926" w14:textId="77777777" w:rsidR="00255EC0" w:rsidRPr="00960B5D" w:rsidRDefault="00255EC0" w:rsidP="00960B5D">
            <w:pPr>
              <w:pStyle w:val="Tabletext"/>
              <w:rPr>
                <w:i/>
                <w:iCs/>
                <w:sz w:val="20"/>
                <w:szCs w:val="16"/>
              </w:rPr>
            </w:pPr>
            <w:r w:rsidRPr="00960B5D">
              <w:rPr>
                <w:i/>
                <w:iCs/>
                <w:sz w:val="20"/>
                <w:szCs w:val="16"/>
              </w:rPr>
              <w:t>Higher result due to growth in total domestic expenditure in regional Victoria following a strong 2019 calendar year (and shift to 100 per cent mobile phone interviewing from January 2019 which had an upward influence on survey results).</w:t>
            </w:r>
          </w:p>
          <w:p w14:paraId="4058FB81"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National Visitor Survey published in July 2020.</w:t>
            </w:r>
          </w:p>
        </w:tc>
      </w:tr>
      <w:tr w:rsidR="00255EC0" w:rsidRPr="00960B5D" w14:paraId="14EF557A" w14:textId="77777777" w:rsidTr="00E8460A">
        <w:trPr>
          <w:trHeight w:val="113"/>
        </w:trPr>
        <w:tc>
          <w:tcPr>
            <w:tcW w:w="4660" w:type="dxa"/>
          </w:tcPr>
          <w:p w14:paraId="370CA8C1" w14:textId="77777777" w:rsidR="00255EC0" w:rsidRPr="00960B5D" w:rsidRDefault="00255EC0" w:rsidP="00960B5D">
            <w:pPr>
              <w:pStyle w:val="Tabletextnospace"/>
              <w:rPr>
                <w:sz w:val="20"/>
                <w:szCs w:val="20"/>
              </w:rPr>
            </w:pPr>
            <w:r w:rsidRPr="00960B5D">
              <w:rPr>
                <w:sz w:val="20"/>
                <w:szCs w:val="20"/>
              </w:rPr>
              <w:t>Visitor expenditure: regional Victoria (international)</w:t>
            </w:r>
          </w:p>
        </w:tc>
        <w:tc>
          <w:tcPr>
            <w:tcW w:w="964" w:type="dxa"/>
          </w:tcPr>
          <w:p w14:paraId="7BB2D4B1" w14:textId="77777777" w:rsidR="00255EC0" w:rsidRPr="00960B5D" w:rsidRDefault="00255EC0" w:rsidP="00960B5D">
            <w:pPr>
              <w:pStyle w:val="Tabletextnospace"/>
              <w:jc w:val="right"/>
              <w:rPr>
                <w:sz w:val="20"/>
                <w:szCs w:val="20"/>
              </w:rPr>
            </w:pPr>
            <w:r w:rsidRPr="00960B5D">
              <w:rPr>
                <w:sz w:val="20"/>
                <w:szCs w:val="20"/>
              </w:rPr>
              <w:t>$ million</w:t>
            </w:r>
          </w:p>
        </w:tc>
        <w:tc>
          <w:tcPr>
            <w:tcW w:w="964" w:type="dxa"/>
          </w:tcPr>
          <w:p w14:paraId="16968FAD" w14:textId="77777777" w:rsidR="00255EC0" w:rsidRPr="00960B5D" w:rsidRDefault="00255EC0" w:rsidP="00960B5D">
            <w:pPr>
              <w:pStyle w:val="Tabletextnospace"/>
              <w:jc w:val="right"/>
              <w:rPr>
                <w:sz w:val="20"/>
                <w:szCs w:val="20"/>
              </w:rPr>
            </w:pPr>
            <w:r w:rsidRPr="00960B5D">
              <w:rPr>
                <w:sz w:val="20"/>
                <w:szCs w:val="20"/>
              </w:rPr>
              <w:t>538</w:t>
            </w:r>
          </w:p>
        </w:tc>
        <w:tc>
          <w:tcPr>
            <w:tcW w:w="963" w:type="dxa"/>
          </w:tcPr>
          <w:p w14:paraId="29129F9D" w14:textId="77777777" w:rsidR="00255EC0" w:rsidRPr="00960B5D" w:rsidRDefault="00255EC0" w:rsidP="00960B5D">
            <w:pPr>
              <w:pStyle w:val="Tabletextnospace"/>
              <w:jc w:val="right"/>
              <w:rPr>
                <w:sz w:val="20"/>
                <w:szCs w:val="20"/>
              </w:rPr>
            </w:pPr>
            <w:r w:rsidRPr="00960B5D">
              <w:rPr>
                <w:sz w:val="20"/>
                <w:szCs w:val="20"/>
              </w:rPr>
              <w:t>580</w:t>
            </w:r>
          </w:p>
        </w:tc>
        <w:tc>
          <w:tcPr>
            <w:tcW w:w="1375" w:type="dxa"/>
          </w:tcPr>
          <w:p w14:paraId="4A82139D" w14:textId="77777777" w:rsidR="00255EC0" w:rsidRPr="00960B5D" w:rsidRDefault="00255EC0" w:rsidP="00960B5D">
            <w:pPr>
              <w:pStyle w:val="Tabletextnospace"/>
              <w:jc w:val="right"/>
              <w:rPr>
                <w:sz w:val="20"/>
                <w:szCs w:val="20"/>
              </w:rPr>
            </w:pPr>
            <w:r w:rsidRPr="00960B5D">
              <w:rPr>
                <w:sz w:val="20"/>
                <w:szCs w:val="20"/>
              </w:rPr>
              <w:t>-7.2%</w:t>
            </w:r>
          </w:p>
        </w:tc>
        <w:tc>
          <w:tcPr>
            <w:tcW w:w="850" w:type="dxa"/>
          </w:tcPr>
          <w:p w14:paraId="7B37561B"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n</w:t>
            </w:r>
          </w:p>
        </w:tc>
      </w:tr>
      <w:tr w:rsidR="00255EC0" w:rsidRPr="00960B5D" w14:paraId="4DC0F4AE" w14:textId="77777777" w:rsidTr="00E8460A">
        <w:trPr>
          <w:trHeight w:val="113"/>
        </w:trPr>
        <w:tc>
          <w:tcPr>
            <w:tcW w:w="9776" w:type="dxa"/>
            <w:gridSpan w:val="6"/>
          </w:tcPr>
          <w:p w14:paraId="3CAEF2FA" w14:textId="77777777" w:rsidR="00255EC0" w:rsidRPr="00960B5D" w:rsidRDefault="00255EC0" w:rsidP="00960B5D">
            <w:pPr>
              <w:pStyle w:val="Tabletext"/>
              <w:rPr>
                <w:i/>
                <w:iCs/>
                <w:sz w:val="20"/>
                <w:szCs w:val="16"/>
              </w:rPr>
            </w:pPr>
            <w:r w:rsidRPr="00960B5D">
              <w:rPr>
                <w:i/>
                <w:iCs/>
                <w:sz w:val="20"/>
                <w:szCs w:val="16"/>
              </w:rPr>
              <w:t>Lower result due to the impact of coronavirus (COVID-19) and associated restrictions on international travel.</w:t>
            </w:r>
          </w:p>
          <w:p w14:paraId="1EAC2981"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International Visitor Survey published in July 2020.</w:t>
            </w:r>
          </w:p>
        </w:tc>
      </w:tr>
      <w:tr w:rsidR="00255EC0" w:rsidRPr="00960B5D" w14:paraId="21228861" w14:textId="77777777" w:rsidTr="00E8460A">
        <w:trPr>
          <w:trHeight w:val="113"/>
        </w:trPr>
        <w:tc>
          <w:tcPr>
            <w:tcW w:w="4660" w:type="dxa"/>
          </w:tcPr>
          <w:p w14:paraId="7E77A79A" w14:textId="77777777" w:rsidR="00255EC0" w:rsidRPr="00960B5D" w:rsidRDefault="00255EC0" w:rsidP="00960B5D">
            <w:pPr>
              <w:pStyle w:val="Tabletextnospace"/>
              <w:rPr>
                <w:sz w:val="20"/>
                <w:szCs w:val="20"/>
              </w:rPr>
            </w:pPr>
            <w:r w:rsidRPr="00960B5D">
              <w:rPr>
                <w:sz w:val="20"/>
                <w:szCs w:val="20"/>
              </w:rPr>
              <w:t>Visitor expenditure: regional Victoria (intrastate overnight)</w:t>
            </w:r>
          </w:p>
        </w:tc>
        <w:tc>
          <w:tcPr>
            <w:tcW w:w="964" w:type="dxa"/>
          </w:tcPr>
          <w:p w14:paraId="4F65AA78" w14:textId="77777777" w:rsidR="00255EC0" w:rsidRPr="00960B5D" w:rsidRDefault="00255EC0" w:rsidP="00960B5D">
            <w:pPr>
              <w:pStyle w:val="Tabletextnospace"/>
              <w:jc w:val="right"/>
              <w:rPr>
                <w:sz w:val="20"/>
                <w:szCs w:val="20"/>
              </w:rPr>
            </w:pPr>
            <w:r w:rsidRPr="00960B5D">
              <w:rPr>
                <w:sz w:val="20"/>
                <w:szCs w:val="20"/>
              </w:rPr>
              <w:t>$ billion</w:t>
            </w:r>
          </w:p>
        </w:tc>
        <w:tc>
          <w:tcPr>
            <w:tcW w:w="964" w:type="dxa"/>
          </w:tcPr>
          <w:p w14:paraId="0A498A40" w14:textId="77777777" w:rsidR="00255EC0" w:rsidRPr="00960B5D" w:rsidRDefault="00255EC0" w:rsidP="00960B5D">
            <w:pPr>
              <w:pStyle w:val="Tabletextnospace"/>
              <w:jc w:val="right"/>
              <w:rPr>
                <w:sz w:val="20"/>
                <w:szCs w:val="20"/>
              </w:rPr>
            </w:pPr>
            <w:r w:rsidRPr="00960B5D">
              <w:rPr>
                <w:sz w:val="20"/>
                <w:szCs w:val="20"/>
              </w:rPr>
              <w:t>5.8</w:t>
            </w:r>
          </w:p>
        </w:tc>
        <w:tc>
          <w:tcPr>
            <w:tcW w:w="963" w:type="dxa"/>
          </w:tcPr>
          <w:p w14:paraId="424965C2" w14:textId="77777777" w:rsidR="00255EC0" w:rsidRPr="00960B5D" w:rsidRDefault="00255EC0" w:rsidP="00960B5D">
            <w:pPr>
              <w:pStyle w:val="Tabletextnospace"/>
              <w:jc w:val="right"/>
              <w:rPr>
                <w:sz w:val="20"/>
                <w:szCs w:val="20"/>
              </w:rPr>
            </w:pPr>
            <w:r w:rsidRPr="00960B5D">
              <w:rPr>
                <w:sz w:val="20"/>
                <w:szCs w:val="20"/>
              </w:rPr>
              <w:t>5.1</w:t>
            </w:r>
          </w:p>
        </w:tc>
        <w:tc>
          <w:tcPr>
            <w:tcW w:w="1375" w:type="dxa"/>
          </w:tcPr>
          <w:p w14:paraId="14D19946" w14:textId="77777777" w:rsidR="00255EC0" w:rsidRPr="00960B5D" w:rsidRDefault="00255EC0" w:rsidP="00960B5D">
            <w:pPr>
              <w:pStyle w:val="Tabletextnospace"/>
              <w:jc w:val="right"/>
              <w:rPr>
                <w:sz w:val="20"/>
                <w:szCs w:val="20"/>
              </w:rPr>
            </w:pPr>
            <w:r w:rsidRPr="00960B5D">
              <w:rPr>
                <w:sz w:val="20"/>
                <w:szCs w:val="20"/>
              </w:rPr>
              <w:t>13.7%</w:t>
            </w:r>
          </w:p>
        </w:tc>
        <w:tc>
          <w:tcPr>
            <w:tcW w:w="850" w:type="dxa"/>
          </w:tcPr>
          <w:p w14:paraId="47F1C515"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4B6DF80B" w14:textId="77777777" w:rsidTr="00E8460A">
        <w:trPr>
          <w:trHeight w:val="113"/>
        </w:trPr>
        <w:tc>
          <w:tcPr>
            <w:tcW w:w="9776" w:type="dxa"/>
            <w:gridSpan w:val="6"/>
          </w:tcPr>
          <w:p w14:paraId="44D6AB3C" w14:textId="18671991" w:rsidR="00255EC0" w:rsidRPr="00960B5D" w:rsidRDefault="00255EC0" w:rsidP="00960B5D">
            <w:pPr>
              <w:pStyle w:val="Tabletext"/>
              <w:rPr>
                <w:i/>
                <w:iCs/>
                <w:sz w:val="20"/>
                <w:szCs w:val="16"/>
              </w:rPr>
            </w:pPr>
            <w:r w:rsidRPr="00960B5D">
              <w:rPr>
                <w:i/>
                <w:iCs/>
                <w:sz w:val="20"/>
                <w:szCs w:val="16"/>
              </w:rPr>
              <w:t>Higher result due to growth in intrastate overnight expenditure in regional Victoria following a strong 2019 calendar year (and shift</w:t>
            </w:r>
            <w:r w:rsidR="00960B5D">
              <w:rPr>
                <w:i/>
                <w:iCs/>
                <w:sz w:val="20"/>
                <w:szCs w:val="16"/>
              </w:rPr>
              <w:t xml:space="preserve"> </w:t>
            </w:r>
            <w:r w:rsidRPr="00960B5D">
              <w:rPr>
                <w:i/>
                <w:iCs/>
                <w:sz w:val="20"/>
                <w:szCs w:val="16"/>
              </w:rPr>
              <w:t>to 100 per cent mobile phone interviewing from January 2019 which had an upward influence on survey results).</w:t>
            </w:r>
          </w:p>
          <w:p w14:paraId="7A73E6E6"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National Visitor Survey published in July 2020.</w:t>
            </w:r>
          </w:p>
        </w:tc>
      </w:tr>
      <w:tr w:rsidR="00255EC0" w:rsidRPr="00960B5D" w14:paraId="4888E764" w14:textId="77777777" w:rsidTr="00E8460A">
        <w:trPr>
          <w:trHeight w:val="113"/>
        </w:trPr>
        <w:tc>
          <w:tcPr>
            <w:tcW w:w="4660" w:type="dxa"/>
          </w:tcPr>
          <w:p w14:paraId="54D1ACD0" w14:textId="77777777" w:rsidR="00255EC0" w:rsidRPr="00960B5D" w:rsidRDefault="00255EC0" w:rsidP="00960B5D">
            <w:pPr>
              <w:pStyle w:val="Tabletextnospace"/>
              <w:rPr>
                <w:sz w:val="20"/>
                <w:szCs w:val="20"/>
              </w:rPr>
            </w:pPr>
            <w:r w:rsidRPr="00960B5D">
              <w:rPr>
                <w:sz w:val="20"/>
                <w:szCs w:val="20"/>
              </w:rPr>
              <w:t>Visitors (domestic overnight)</w:t>
            </w:r>
          </w:p>
        </w:tc>
        <w:tc>
          <w:tcPr>
            <w:tcW w:w="964" w:type="dxa"/>
          </w:tcPr>
          <w:p w14:paraId="0ADF9A35" w14:textId="77777777" w:rsidR="00255EC0" w:rsidRPr="00960B5D" w:rsidRDefault="00255EC0" w:rsidP="00960B5D">
            <w:pPr>
              <w:pStyle w:val="Tabletextnospace"/>
              <w:jc w:val="right"/>
              <w:rPr>
                <w:sz w:val="20"/>
                <w:szCs w:val="20"/>
              </w:rPr>
            </w:pPr>
            <w:r w:rsidRPr="00960B5D">
              <w:rPr>
                <w:sz w:val="20"/>
                <w:szCs w:val="20"/>
              </w:rPr>
              <w:t>number (million)</w:t>
            </w:r>
          </w:p>
        </w:tc>
        <w:tc>
          <w:tcPr>
            <w:tcW w:w="964" w:type="dxa"/>
          </w:tcPr>
          <w:p w14:paraId="3F2B9349" w14:textId="77777777" w:rsidR="00255EC0" w:rsidRPr="00960B5D" w:rsidRDefault="00255EC0" w:rsidP="00960B5D">
            <w:pPr>
              <w:pStyle w:val="Tabletextnospace"/>
              <w:jc w:val="right"/>
              <w:rPr>
                <w:sz w:val="20"/>
                <w:szCs w:val="20"/>
              </w:rPr>
            </w:pPr>
            <w:r w:rsidRPr="00960B5D">
              <w:rPr>
                <w:sz w:val="20"/>
                <w:szCs w:val="20"/>
              </w:rPr>
              <w:t>28.3</w:t>
            </w:r>
          </w:p>
        </w:tc>
        <w:tc>
          <w:tcPr>
            <w:tcW w:w="963" w:type="dxa"/>
          </w:tcPr>
          <w:p w14:paraId="05BE1B8F" w14:textId="77777777" w:rsidR="00255EC0" w:rsidRPr="00960B5D" w:rsidRDefault="00255EC0" w:rsidP="00960B5D">
            <w:pPr>
              <w:pStyle w:val="Tabletextnospace"/>
              <w:jc w:val="right"/>
              <w:rPr>
                <w:sz w:val="20"/>
                <w:szCs w:val="20"/>
              </w:rPr>
            </w:pPr>
            <w:r w:rsidRPr="00960B5D">
              <w:rPr>
                <w:sz w:val="20"/>
                <w:szCs w:val="20"/>
              </w:rPr>
              <w:t>26</w:t>
            </w:r>
          </w:p>
        </w:tc>
        <w:tc>
          <w:tcPr>
            <w:tcW w:w="1375" w:type="dxa"/>
          </w:tcPr>
          <w:p w14:paraId="6933EDBA" w14:textId="77777777" w:rsidR="00255EC0" w:rsidRPr="00960B5D" w:rsidRDefault="00255EC0" w:rsidP="00960B5D">
            <w:pPr>
              <w:pStyle w:val="Tabletextnospace"/>
              <w:jc w:val="right"/>
              <w:rPr>
                <w:sz w:val="20"/>
                <w:szCs w:val="20"/>
              </w:rPr>
            </w:pPr>
            <w:r w:rsidRPr="00960B5D">
              <w:rPr>
                <w:sz w:val="20"/>
                <w:szCs w:val="20"/>
              </w:rPr>
              <w:t>8.8%</w:t>
            </w:r>
          </w:p>
        </w:tc>
        <w:tc>
          <w:tcPr>
            <w:tcW w:w="850" w:type="dxa"/>
          </w:tcPr>
          <w:p w14:paraId="0833DBEE"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4FB62D48" w14:textId="77777777" w:rsidTr="00E8460A">
        <w:trPr>
          <w:trHeight w:val="113"/>
        </w:trPr>
        <w:tc>
          <w:tcPr>
            <w:tcW w:w="9776" w:type="dxa"/>
            <w:gridSpan w:val="6"/>
          </w:tcPr>
          <w:p w14:paraId="4721CE6E" w14:textId="77777777" w:rsidR="00255EC0" w:rsidRPr="00960B5D" w:rsidRDefault="00255EC0" w:rsidP="00960B5D">
            <w:pPr>
              <w:pStyle w:val="Tabletext"/>
              <w:rPr>
                <w:i/>
                <w:iCs/>
                <w:sz w:val="20"/>
                <w:szCs w:val="16"/>
              </w:rPr>
            </w:pPr>
            <w:r w:rsidRPr="00960B5D">
              <w:rPr>
                <w:i/>
                <w:iCs/>
                <w:sz w:val="20"/>
                <w:szCs w:val="16"/>
              </w:rPr>
              <w:t>Higher result due to growth in domestic overnight visitor trips in Victoria, following a strong 2019 calendar year (and shift to 100 per cent mobile phone interviewing from January 2019 which had an upward influence on survey results).</w:t>
            </w:r>
          </w:p>
          <w:p w14:paraId="76F92966"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National Visitor Survey published in July 2020.</w:t>
            </w:r>
          </w:p>
        </w:tc>
      </w:tr>
      <w:tr w:rsidR="00255EC0" w:rsidRPr="00960B5D" w14:paraId="75860F20" w14:textId="77777777" w:rsidTr="00E8460A">
        <w:trPr>
          <w:trHeight w:val="113"/>
        </w:trPr>
        <w:tc>
          <w:tcPr>
            <w:tcW w:w="4660" w:type="dxa"/>
          </w:tcPr>
          <w:p w14:paraId="1AF40D7B" w14:textId="77777777" w:rsidR="00255EC0" w:rsidRPr="00960B5D" w:rsidRDefault="00255EC0" w:rsidP="00960B5D">
            <w:pPr>
              <w:pStyle w:val="Tabletextnospace"/>
              <w:rPr>
                <w:sz w:val="20"/>
                <w:szCs w:val="20"/>
              </w:rPr>
            </w:pPr>
            <w:r w:rsidRPr="00960B5D">
              <w:rPr>
                <w:sz w:val="20"/>
                <w:szCs w:val="20"/>
              </w:rPr>
              <w:t>Visitors (international)</w:t>
            </w:r>
          </w:p>
        </w:tc>
        <w:tc>
          <w:tcPr>
            <w:tcW w:w="964" w:type="dxa"/>
          </w:tcPr>
          <w:p w14:paraId="1FB5F7DC" w14:textId="77777777" w:rsidR="00255EC0" w:rsidRPr="00960B5D" w:rsidRDefault="00255EC0" w:rsidP="00960B5D">
            <w:pPr>
              <w:pStyle w:val="Tabletextnospace"/>
              <w:jc w:val="right"/>
              <w:rPr>
                <w:sz w:val="20"/>
                <w:szCs w:val="20"/>
              </w:rPr>
            </w:pPr>
            <w:r w:rsidRPr="00960B5D">
              <w:rPr>
                <w:sz w:val="20"/>
                <w:szCs w:val="20"/>
              </w:rPr>
              <w:t>number (million)</w:t>
            </w:r>
          </w:p>
        </w:tc>
        <w:tc>
          <w:tcPr>
            <w:tcW w:w="964" w:type="dxa"/>
          </w:tcPr>
          <w:p w14:paraId="22F27409" w14:textId="77777777" w:rsidR="00255EC0" w:rsidRPr="00960B5D" w:rsidRDefault="00255EC0" w:rsidP="00960B5D">
            <w:pPr>
              <w:pStyle w:val="Tabletextnospace"/>
              <w:jc w:val="right"/>
              <w:rPr>
                <w:sz w:val="20"/>
                <w:szCs w:val="20"/>
              </w:rPr>
            </w:pPr>
            <w:r w:rsidRPr="00960B5D">
              <w:rPr>
                <w:sz w:val="20"/>
                <w:szCs w:val="20"/>
              </w:rPr>
              <w:t>2.8</w:t>
            </w:r>
          </w:p>
        </w:tc>
        <w:tc>
          <w:tcPr>
            <w:tcW w:w="963" w:type="dxa"/>
          </w:tcPr>
          <w:p w14:paraId="4A5A5130" w14:textId="77777777" w:rsidR="00255EC0" w:rsidRPr="00960B5D" w:rsidRDefault="00255EC0" w:rsidP="00960B5D">
            <w:pPr>
              <w:pStyle w:val="Tabletextnospace"/>
              <w:jc w:val="right"/>
              <w:rPr>
                <w:sz w:val="20"/>
                <w:szCs w:val="20"/>
              </w:rPr>
            </w:pPr>
            <w:r w:rsidRPr="00960B5D">
              <w:rPr>
                <w:sz w:val="20"/>
                <w:szCs w:val="20"/>
              </w:rPr>
              <w:t>3.2</w:t>
            </w:r>
          </w:p>
        </w:tc>
        <w:tc>
          <w:tcPr>
            <w:tcW w:w="1375" w:type="dxa"/>
          </w:tcPr>
          <w:p w14:paraId="05E98910" w14:textId="77777777" w:rsidR="00255EC0" w:rsidRPr="00960B5D" w:rsidRDefault="00255EC0" w:rsidP="00960B5D">
            <w:pPr>
              <w:pStyle w:val="Tabletextnospace"/>
              <w:jc w:val="right"/>
              <w:rPr>
                <w:sz w:val="20"/>
                <w:szCs w:val="20"/>
              </w:rPr>
            </w:pPr>
            <w:r w:rsidRPr="00960B5D">
              <w:rPr>
                <w:sz w:val="20"/>
                <w:szCs w:val="20"/>
              </w:rPr>
              <w:t>-12.5%</w:t>
            </w:r>
          </w:p>
        </w:tc>
        <w:tc>
          <w:tcPr>
            <w:tcW w:w="850" w:type="dxa"/>
          </w:tcPr>
          <w:p w14:paraId="6B3BF07E"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n</w:t>
            </w:r>
          </w:p>
        </w:tc>
      </w:tr>
      <w:tr w:rsidR="00255EC0" w:rsidRPr="00960B5D" w14:paraId="04736444" w14:textId="77777777" w:rsidTr="00E8460A">
        <w:trPr>
          <w:trHeight w:val="113"/>
        </w:trPr>
        <w:tc>
          <w:tcPr>
            <w:tcW w:w="9776" w:type="dxa"/>
            <w:gridSpan w:val="6"/>
          </w:tcPr>
          <w:p w14:paraId="2AF2C0B2" w14:textId="77777777" w:rsidR="00960B5D" w:rsidRDefault="00255EC0" w:rsidP="00960B5D">
            <w:pPr>
              <w:pStyle w:val="Tabletext"/>
              <w:rPr>
                <w:i/>
                <w:iCs/>
                <w:sz w:val="20"/>
                <w:szCs w:val="16"/>
              </w:rPr>
            </w:pPr>
            <w:r w:rsidRPr="00960B5D">
              <w:rPr>
                <w:i/>
                <w:iCs/>
                <w:sz w:val="20"/>
                <w:szCs w:val="16"/>
              </w:rPr>
              <w:t>Lower result due to the impact of coronavirus (COVID-19) and associated restrictions on international travel.</w:t>
            </w:r>
          </w:p>
          <w:p w14:paraId="32FF3A7C" w14:textId="05DE1E5E" w:rsidR="00255EC0" w:rsidRPr="00960B5D" w:rsidRDefault="00255EC0" w:rsidP="00960B5D">
            <w:pPr>
              <w:pStyle w:val="Tabletext"/>
              <w:rPr>
                <w:i/>
                <w:iCs/>
                <w:sz w:val="20"/>
                <w:szCs w:val="16"/>
              </w:rPr>
            </w:pPr>
            <w:r w:rsidRPr="00960B5D">
              <w:rPr>
                <w:i/>
                <w:iCs/>
                <w:sz w:val="20"/>
                <w:szCs w:val="16"/>
              </w:rPr>
              <w:t>This is the latest available data to March 2020 from the International Visitor Survey published in July 2020.</w:t>
            </w:r>
          </w:p>
        </w:tc>
      </w:tr>
      <w:tr w:rsidR="00255EC0" w:rsidRPr="00960B5D" w14:paraId="274BC467" w14:textId="77777777" w:rsidTr="00E8460A">
        <w:trPr>
          <w:trHeight w:val="113"/>
        </w:trPr>
        <w:tc>
          <w:tcPr>
            <w:tcW w:w="4660" w:type="dxa"/>
          </w:tcPr>
          <w:p w14:paraId="59DA478A" w14:textId="77777777" w:rsidR="00255EC0" w:rsidRPr="00960B5D" w:rsidRDefault="00255EC0" w:rsidP="00960B5D">
            <w:pPr>
              <w:pStyle w:val="Tabletextnospace"/>
              <w:keepNext/>
              <w:rPr>
                <w:sz w:val="20"/>
                <w:szCs w:val="20"/>
              </w:rPr>
            </w:pPr>
            <w:r w:rsidRPr="00960B5D">
              <w:rPr>
                <w:sz w:val="20"/>
                <w:szCs w:val="20"/>
              </w:rPr>
              <w:lastRenderedPageBreak/>
              <w:t>Visitors: regional Victoria (intrastate overnight)</w:t>
            </w:r>
          </w:p>
        </w:tc>
        <w:tc>
          <w:tcPr>
            <w:tcW w:w="964" w:type="dxa"/>
          </w:tcPr>
          <w:p w14:paraId="25F753DF" w14:textId="77777777" w:rsidR="00255EC0" w:rsidRPr="00960B5D" w:rsidRDefault="00255EC0" w:rsidP="00960B5D">
            <w:pPr>
              <w:pStyle w:val="Tabletextnospace"/>
              <w:keepNext/>
              <w:jc w:val="right"/>
              <w:rPr>
                <w:sz w:val="20"/>
                <w:szCs w:val="20"/>
              </w:rPr>
            </w:pPr>
            <w:r w:rsidRPr="00960B5D">
              <w:rPr>
                <w:sz w:val="20"/>
                <w:szCs w:val="20"/>
              </w:rPr>
              <w:t>number (million)</w:t>
            </w:r>
          </w:p>
        </w:tc>
        <w:tc>
          <w:tcPr>
            <w:tcW w:w="964" w:type="dxa"/>
          </w:tcPr>
          <w:p w14:paraId="1C596A94" w14:textId="77777777" w:rsidR="00255EC0" w:rsidRPr="00960B5D" w:rsidRDefault="00255EC0" w:rsidP="00960B5D">
            <w:pPr>
              <w:pStyle w:val="Tabletextnospace"/>
              <w:keepNext/>
              <w:jc w:val="right"/>
              <w:rPr>
                <w:sz w:val="20"/>
                <w:szCs w:val="20"/>
              </w:rPr>
            </w:pPr>
            <w:r w:rsidRPr="00960B5D">
              <w:rPr>
                <w:sz w:val="20"/>
                <w:szCs w:val="20"/>
              </w:rPr>
              <w:t>15.6</w:t>
            </w:r>
          </w:p>
        </w:tc>
        <w:tc>
          <w:tcPr>
            <w:tcW w:w="963" w:type="dxa"/>
          </w:tcPr>
          <w:p w14:paraId="2D5A7E11" w14:textId="77777777" w:rsidR="00255EC0" w:rsidRPr="00960B5D" w:rsidRDefault="00255EC0" w:rsidP="00960B5D">
            <w:pPr>
              <w:pStyle w:val="Tabletextnospace"/>
              <w:keepNext/>
              <w:jc w:val="right"/>
              <w:rPr>
                <w:sz w:val="20"/>
                <w:szCs w:val="20"/>
              </w:rPr>
            </w:pPr>
            <w:r w:rsidRPr="00960B5D">
              <w:rPr>
                <w:sz w:val="20"/>
                <w:szCs w:val="20"/>
              </w:rPr>
              <w:t>14.1</w:t>
            </w:r>
          </w:p>
        </w:tc>
        <w:tc>
          <w:tcPr>
            <w:tcW w:w="1375" w:type="dxa"/>
          </w:tcPr>
          <w:p w14:paraId="03A324E7" w14:textId="77777777" w:rsidR="00255EC0" w:rsidRPr="00960B5D" w:rsidRDefault="00255EC0" w:rsidP="00960B5D">
            <w:pPr>
              <w:pStyle w:val="Tabletextnospace"/>
              <w:keepNext/>
              <w:jc w:val="right"/>
              <w:rPr>
                <w:sz w:val="20"/>
                <w:szCs w:val="20"/>
              </w:rPr>
            </w:pPr>
            <w:r w:rsidRPr="00960B5D">
              <w:rPr>
                <w:sz w:val="20"/>
                <w:szCs w:val="20"/>
              </w:rPr>
              <w:t>10.6%</w:t>
            </w:r>
          </w:p>
        </w:tc>
        <w:tc>
          <w:tcPr>
            <w:tcW w:w="850" w:type="dxa"/>
          </w:tcPr>
          <w:p w14:paraId="24CB536A" w14:textId="77777777" w:rsidR="00255EC0" w:rsidRPr="00960B5D" w:rsidRDefault="00255EC0" w:rsidP="00960B5D">
            <w:pPr>
              <w:keepNext/>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2083D099" w14:textId="77777777" w:rsidTr="00E8460A">
        <w:trPr>
          <w:trHeight w:val="113"/>
        </w:trPr>
        <w:tc>
          <w:tcPr>
            <w:tcW w:w="9776" w:type="dxa"/>
            <w:gridSpan w:val="6"/>
          </w:tcPr>
          <w:p w14:paraId="20BA746B" w14:textId="77777777" w:rsidR="00255EC0" w:rsidRPr="00960B5D" w:rsidRDefault="00255EC0" w:rsidP="00960B5D">
            <w:pPr>
              <w:pStyle w:val="Tabletext"/>
              <w:rPr>
                <w:i/>
                <w:iCs/>
                <w:sz w:val="20"/>
                <w:szCs w:val="16"/>
              </w:rPr>
            </w:pPr>
            <w:r w:rsidRPr="00960B5D">
              <w:rPr>
                <w:i/>
                <w:iCs/>
                <w:sz w:val="20"/>
                <w:szCs w:val="16"/>
              </w:rPr>
              <w:t>Higher result due to growth on intrastate overnight visitors in regional Victoria, following a strong 2019 calendar year (and shift to 100 per cent mobile phone interviewing from January 2019 which had an upward influence on survey results).</w:t>
            </w:r>
          </w:p>
          <w:p w14:paraId="2C10EDE9" w14:textId="77777777" w:rsidR="00255EC0" w:rsidRPr="00960B5D" w:rsidRDefault="00255EC0" w:rsidP="00960B5D">
            <w:pPr>
              <w:pStyle w:val="Tabletext"/>
              <w:rPr>
                <w:i/>
                <w:iCs/>
                <w:sz w:val="20"/>
                <w:szCs w:val="16"/>
              </w:rPr>
            </w:pPr>
            <w:r w:rsidRPr="00960B5D">
              <w:rPr>
                <w:i/>
                <w:iCs/>
                <w:sz w:val="20"/>
                <w:szCs w:val="16"/>
              </w:rPr>
              <w:t>This is the latest available data to March 2020 from the National Visitor Survey published in July 2020.</w:t>
            </w:r>
          </w:p>
        </w:tc>
      </w:tr>
      <w:tr w:rsidR="00255EC0" w:rsidRPr="00960B5D" w14:paraId="4C16DA0A" w14:textId="77777777" w:rsidTr="00E8460A">
        <w:trPr>
          <w:trHeight w:val="113"/>
        </w:trPr>
        <w:tc>
          <w:tcPr>
            <w:tcW w:w="9776" w:type="dxa"/>
            <w:gridSpan w:val="6"/>
          </w:tcPr>
          <w:p w14:paraId="7BE645F6" w14:textId="77777777" w:rsidR="00255EC0" w:rsidRPr="00960B5D" w:rsidRDefault="00255EC0" w:rsidP="00960B5D">
            <w:pPr>
              <w:pStyle w:val="Tabletextnospace"/>
              <w:rPr>
                <w:b/>
                <w:bCs/>
                <w:sz w:val="20"/>
                <w:szCs w:val="20"/>
              </w:rPr>
            </w:pPr>
            <w:r w:rsidRPr="00960B5D">
              <w:rPr>
                <w:b/>
                <w:bCs/>
                <w:sz w:val="20"/>
                <w:szCs w:val="20"/>
              </w:rPr>
              <w:t>Quality</w:t>
            </w:r>
          </w:p>
        </w:tc>
      </w:tr>
      <w:tr w:rsidR="00255EC0" w:rsidRPr="00960B5D" w14:paraId="7ABE789A" w14:textId="77777777" w:rsidTr="00E8460A">
        <w:trPr>
          <w:trHeight w:val="113"/>
        </w:trPr>
        <w:tc>
          <w:tcPr>
            <w:tcW w:w="4660" w:type="dxa"/>
          </w:tcPr>
          <w:p w14:paraId="23B78C39" w14:textId="77777777" w:rsidR="00255EC0" w:rsidRPr="00960B5D" w:rsidRDefault="00255EC0" w:rsidP="00960B5D">
            <w:pPr>
              <w:pStyle w:val="Tabletextnospace"/>
              <w:rPr>
                <w:sz w:val="20"/>
                <w:szCs w:val="20"/>
              </w:rPr>
            </w:pPr>
            <w:r w:rsidRPr="00960B5D">
              <w:rPr>
                <w:sz w:val="20"/>
                <w:szCs w:val="20"/>
              </w:rPr>
              <w:t>Value of media coverage generated: domestic</w:t>
            </w:r>
          </w:p>
        </w:tc>
        <w:tc>
          <w:tcPr>
            <w:tcW w:w="964" w:type="dxa"/>
          </w:tcPr>
          <w:p w14:paraId="538B3156" w14:textId="77777777" w:rsidR="00255EC0" w:rsidRPr="00960B5D" w:rsidRDefault="00255EC0" w:rsidP="00960B5D">
            <w:pPr>
              <w:pStyle w:val="Tabletextnospace"/>
              <w:jc w:val="right"/>
              <w:rPr>
                <w:sz w:val="20"/>
                <w:szCs w:val="20"/>
              </w:rPr>
            </w:pPr>
            <w:r w:rsidRPr="00960B5D">
              <w:rPr>
                <w:sz w:val="20"/>
                <w:szCs w:val="20"/>
              </w:rPr>
              <w:t>$ million</w:t>
            </w:r>
          </w:p>
        </w:tc>
        <w:tc>
          <w:tcPr>
            <w:tcW w:w="964" w:type="dxa"/>
          </w:tcPr>
          <w:p w14:paraId="1DF086C9" w14:textId="77777777" w:rsidR="00255EC0" w:rsidRPr="00960B5D" w:rsidRDefault="00255EC0" w:rsidP="00960B5D">
            <w:pPr>
              <w:pStyle w:val="Tabletextnospace"/>
              <w:jc w:val="right"/>
              <w:rPr>
                <w:sz w:val="20"/>
                <w:szCs w:val="20"/>
              </w:rPr>
            </w:pPr>
            <w:r w:rsidRPr="00960B5D">
              <w:rPr>
                <w:sz w:val="20"/>
                <w:szCs w:val="20"/>
              </w:rPr>
              <w:t>39</w:t>
            </w:r>
          </w:p>
        </w:tc>
        <w:tc>
          <w:tcPr>
            <w:tcW w:w="963" w:type="dxa"/>
          </w:tcPr>
          <w:p w14:paraId="2F6F9EFE" w14:textId="77777777" w:rsidR="00255EC0" w:rsidRPr="00960B5D" w:rsidRDefault="00255EC0" w:rsidP="00960B5D">
            <w:pPr>
              <w:pStyle w:val="Tabletextnospace"/>
              <w:jc w:val="right"/>
              <w:rPr>
                <w:sz w:val="20"/>
                <w:szCs w:val="20"/>
              </w:rPr>
            </w:pPr>
            <w:r w:rsidRPr="00960B5D">
              <w:rPr>
                <w:sz w:val="20"/>
                <w:szCs w:val="20"/>
              </w:rPr>
              <w:t>22</w:t>
            </w:r>
          </w:p>
        </w:tc>
        <w:tc>
          <w:tcPr>
            <w:tcW w:w="1375" w:type="dxa"/>
          </w:tcPr>
          <w:p w14:paraId="6833452C" w14:textId="77777777" w:rsidR="00255EC0" w:rsidRPr="00960B5D" w:rsidRDefault="00255EC0" w:rsidP="00960B5D">
            <w:pPr>
              <w:pStyle w:val="Tabletextnospace"/>
              <w:jc w:val="right"/>
              <w:rPr>
                <w:sz w:val="20"/>
                <w:szCs w:val="20"/>
              </w:rPr>
            </w:pPr>
            <w:r w:rsidRPr="00960B5D">
              <w:rPr>
                <w:sz w:val="20"/>
                <w:szCs w:val="20"/>
              </w:rPr>
              <w:t>77.3%</w:t>
            </w:r>
          </w:p>
        </w:tc>
        <w:tc>
          <w:tcPr>
            <w:tcW w:w="850" w:type="dxa"/>
          </w:tcPr>
          <w:p w14:paraId="11F18D17"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59D98DA6" w14:textId="77777777" w:rsidTr="00E8460A">
        <w:trPr>
          <w:trHeight w:val="113"/>
        </w:trPr>
        <w:tc>
          <w:tcPr>
            <w:tcW w:w="9776" w:type="dxa"/>
            <w:gridSpan w:val="6"/>
          </w:tcPr>
          <w:p w14:paraId="7825B68F" w14:textId="77777777" w:rsidR="00255EC0" w:rsidRPr="00960B5D" w:rsidRDefault="00255EC0" w:rsidP="00960B5D">
            <w:pPr>
              <w:pStyle w:val="Tabletext"/>
              <w:rPr>
                <w:i/>
                <w:iCs/>
                <w:sz w:val="20"/>
                <w:szCs w:val="16"/>
              </w:rPr>
            </w:pPr>
            <w:r w:rsidRPr="00960B5D">
              <w:rPr>
                <w:i/>
                <w:iCs/>
                <w:sz w:val="20"/>
                <w:szCs w:val="16"/>
              </w:rPr>
              <w:t xml:space="preserve">Higher result due to the promotion of </w:t>
            </w:r>
            <w:proofErr w:type="gramStart"/>
            <w:r w:rsidRPr="00960B5D">
              <w:rPr>
                <w:i/>
                <w:iCs/>
                <w:sz w:val="20"/>
                <w:szCs w:val="16"/>
              </w:rPr>
              <w:t>a number of</w:t>
            </w:r>
            <w:proofErr w:type="gramEnd"/>
            <w:r w:rsidRPr="00960B5D">
              <w:rPr>
                <w:i/>
                <w:iCs/>
                <w:sz w:val="20"/>
                <w:szCs w:val="16"/>
              </w:rPr>
              <w:t xml:space="preserve"> activities. </w:t>
            </w:r>
          </w:p>
        </w:tc>
      </w:tr>
      <w:tr w:rsidR="00255EC0" w:rsidRPr="00960B5D" w14:paraId="0923486E" w14:textId="77777777" w:rsidTr="00E8460A">
        <w:trPr>
          <w:trHeight w:val="113"/>
        </w:trPr>
        <w:tc>
          <w:tcPr>
            <w:tcW w:w="4660" w:type="dxa"/>
          </w:tcPr>
          <w:p w14:paraId="0A1C0355" w14:textId="77777777" w:rsidR="00255EC0" w:rsidRPr="00960B5D" w:rsidRDefault="00255EC0" w:rsidP="00960B5D">
            <w:pPr>
              <w:pStyle w:val="Tabletextnospace"/>
              <w:rPr>
                <w:sz w:val="20"/>
                <w:szCs w:val="20"/>
              </w:rPr>
            </w:pPr>
            <w:r w:rsidRPr="00960B5D">
              <w:rPr>
                <w:sz w:val="20"/>
                <w:szCs w:val="20"/>
              </w:rPr>
              <w:t>Value of media coverage generated: international</w:t>
            </w:r>
          </w:p>
        </w:tc>
        <w:tc>
          <w:tcPr>
            <w:tcW w:w="964" w:type="dxa"/>
          </w:tcPr>
          <w:p w14:paraId="6FB8882D" w14:textId="77777777" w:rsidR="00255EC0" w:rsidRPr="00960B5D" w:rsidRDefault="00255EC0" w:rsidP="00960B5D">
            <w:pPr>
              <w:pStyle w:val="Tabletextnospace"/>
              <w:jc w:val="right"/>
              <w:rPr>
                <w:sz w:val="20"/>
                <w:szCs w:val="20"/>
              </w:rPr>
            </w:pPr>
            <w:r w:rsidRPr="00960B5D">
              <w:rPr>
                <w:sz w:val="20"/>
                <w:szCs w:val="20"/>
              </w:rPr>
              <w:t>$ million</w:t>
            </w:r>
          </w:p>
        </w:tc>
        <w:tc>
          <w:tcPr>
            <w:tcW w:w="964" w:type="dxa"/>
          </w:tcPr>
          <w:p w14:paraId="154D1E50" w14:textId="77777777" w:rsidR="00255EC0" w:rsidRPr="00960B5D" w:rsidRDefault="00255EC0" w:rsidP="00960B5D">
            <w:pPr>
              <w:pStyle w:val="Tabletextnospace"/>
              <w:jc w:val="right"/>
              <w:rPr>
                <w:sz w:val="20"/>
                <w:szCs w:val="20"/>
              </w:rPr>
            </w:pPr>
            <w:r w:rsidRPr="00960B5D">
              <w:rPr>
                <w:sz w:val="20"/>
                <w:szCs w:val="20"/>
              </w:rPr>
              <w:t>52</w:t>
            </w:r>
          </w:p>
        </w:tc>
        <w:tc>
          <w:tcPr>
            <w:tcW w:w="963" w:type="dxa"/>
          </w:tcPr>
          <w:p w14:paraId="4A908F32" w14:textId="77777777" w:rsidR="00255EC0" w:rsidRPr="00960B5D" w:rsidRDefault="00255EC0" w:rsidP="00960B5D">
            <w:pPr>
              <w:pStyle w:val="Tabletextnospace"/>
              <w:jc w:val="right"/>
              <w:rPr>
                <w:sz w:val="20"/>
                <w:szCs w:val="20"/>
              </w:rPr>
            </w:pPr>
            <w:r w:rsidRPr="00960B5D">
              <w:rPr>
                <w:sz w:val="20"/>
                <w:szCs w:val="20"/>
              </w:rPr>
              <w:t>46</w:t>
            </w:r>
          </w:p>
        </w:tc>
        <w:tc>
          <w:tcPr>
            <w:tcW w:w="1375" w:type="dxa"/>
          </w:tcPr>
          <w:p w14:paraId="26D24A7B" w14:textId="77777777" w:rsidR="00255EC0" w:rsidRPr="00960B5D" w:rsidRDefault="00255EC0" w:rsidP="00960B5D">
            <w:pPr>
              <w:pStyle w:val="Tabletextnospace"/>
              <w:jc w:val="right"/>
              <w:rPr>
                <w:sz w:val="20"/>
                <w:szCs w:val="20"/>
              </w:rPr>
            </w:pPr>
            <w:r w:rsidRPr="00960B5D">
              <w:rPr>
                <w:sz w:val="20"/>
                <w:szCs w:val="20"/>
              </w:rPr>
              <w:t>13.0%</w:t>
            </w:r>
          </w:p>
        </w:tc>
        <w:tc>
          <w:tcPr>
            <w:tcW w:w="850" w:type="dxa"/>
          </w:tcPr>
          <w:p w14:paraId="6C8017F0"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960B5D" w14:paraId="3870CDAC" w14:textId="77777777" w:rsidTr="00E8460A">
        <w:trPr>
          <w:trHeight w:val="113"/>
        </w:trPr>
        <w:tc>
          <w:tcPr>
            <w:tcW w:w="9776" w:type="dxa"/>
            <w:gridSpan w:val="6"/>
          </w:tcPr>
          <w:p w14:paraId="299E495A" w14:textId="77777777" w:rsidR="00255EC0" w:rsidRPr="00960B5D" w:rsidRDefault="00255EC0" w:rsidP="00960B5D">
            <w:pPr>
              <w:pStyle w:val="Tabletext"/>
              <w:rPr>
                <w:i/>
                <w:iCs/>
                <w:sz w:val="20"/>
                <w:szCs w:val="16"/>
              </w:rPr>
            </w:pPr>
            <w:r w:rsidRPr="00960B5D">
              <w:rPr>
                <w:i/>
                <w:iCs/>
                <w:sz w:val="20"/>
                <w:szCs w:val="16"/>
              </w:rPr>
              <w:t>Higher result due to virtual trips to Victoria.</w:t>
            </w:r>
          </w:p>
        </w:tc>
      </w:tr>
      <w:tr w:rsidR="00255EC0" w:rsidRPr="00960B5D" w14:paraId="3FD98AAB" w14:textId="77777777" w:rsidTr="00E8460A">
        <w:trPr>
          <w:trHeight w:val="113"/>
        </w:trPr>
        <w:tc>
          <w:tcPr>
            <w:tcW w:w="9776" w:type="dxa"/>
            <w:gridSpan w:val="6"/>
          </w:tcPr>
          <w:p w14:paraId="5A8F205E" w14:textId="77777777" w:rsidR="00255EC0" w:rsidRPr="00960B5D" w:rsidRDefault="00255EC0" w:rsidP="00960B5D">
            <w:pPr>
              <w:pStyle w:val="Tabletextnospace"/>
              <w:rPr>
                <w:b/>
                <w:bCs/>
                <w:sz w:val="20"/>
                <w:szCs w:val="20"/>
              </w:rPr>
            </w:pPr>
            <w:r w:rsidRPr="00960B5D">
              <w:rPr>
                <w:b/>
                <w:bCs/>
                <w:sz w:val="20"/>
                <w:szCs w:val="20"/>
              </w:rPr>
              <w:t>Timeliness</w:t>
            </w:r>
          </w:p>
        </w:tc>
      </w:tr>
      <w:tr w:rsidR="00255EC0" w:rsidRPr="00960B5D" w14:paraId="6C5F1A9E" w14:textId="77777777" w:rsidTr="00E8460A">
        <w:trPr>
          <w:trHeight w:val="113"/>
        </w:trPr>
        <w:tc>
          <w:tcPr>
            <w:tcW w:w="4660" w:type="dxa"/>
          </w:tcPr>
          <w:p w14:paraId="17A997C4" w14:textId="77777777" w:rsidR="00255EC0" w:rsidRPr="00960B5D" w:rsidRDefault="00255EC0" w:rsidP="00960B5D">
            <w:pPr>
              <w:pStyle w:val="Tabletextnospace"/>
              <w:rPr>
                <w:sz w:val="20"/>
                <w:szCs w:val="20"/>
              </w:rPr>
            </w:pPr>
            <w:r w:rsidRPr="00960B5D">
              <w:rPr>
                <w:sz w:val="20"/>
                <w:szCs w:val="20"/>
              </w:rPr>
              <w:t>Completion of post-event reports and economic</w:t>
            </w:r>
            <w:r w:rsidRPr="00960B5D">
              <w:rPr>
                <w:sz w:val="20"/>
                <w:szCs w:val="20"/>
              </w:rPr>
              <w:br/>
              <w:t>impact assessments of each event (where required)</w:t>
            </w:r>
            <w:r w:rsidRPr="00960B5D">
              <w:rPr>
                <w:sz w:val="20"/>
                <w:szCs w:val="20"/>
              </w:rPr>
              <w:br/>
              <w:t>within agreed timeframes</w:t>
            </w:r>
          </w:p>
        </w:tc>
        <w:tc>
          <w:tcPr>
            <w:tcW w:w="964" w:type="dxa"/>
          </w:tcPr>
          <w:p w14:paraId="60300548" w14:textId="77777777" w:rsidR="00255EC0" w:rsidRPr="00960B5D" w:rsidRDefault="00255EC0" w:rsidP="00960B5D">
            <w:pPr>
              <w:pStyle w:val="Tabletextnospace"/>
              <w:jc w:val="right"/>
              <w:rPr>
                <w:sz w:val="20"/>
                <w:szCs w:val="20"/>
              </w:rPr>
            </w:pPr>
            <w:r w:rsidRPr="00960B5D">
              <w:rPr>
                <w:sz w:val="20"/>
                <w:szCs w:val="20"/>
              </w:rPr>
              <w:t>per cent</w:t>
            </w:r>
          </w:p>
        </w:tc>
        <w:tc>
          <w:tcPr>
            <w:tcW w:w="964" w:type="dxa"/>
          </w:tcPr>
          <w:p w14:paraId="2D477526" w14:textId="77777777" w:rsidR="00255EC0" w:rsidRPr="00960B5D" w:rsidRDefault="00255EC0" w:rsidP="00960B5D">
            <w:pPr>
              <w:pStyle w:val="Tabletextnospace"/>
              <w:jc w:val="right"/>
              <w:rPr>
                <w:sz w:val="20"/>
                <w:szCs w:val="20"/>
              </w:rPr>
            </w:pPr>
            <w:r w:rsidRPr="00960B5D">
              <w:rPr>
                <w:sz w:val="20"/>
                <w:szCs w:val="20"/>
              </w:rPr>
              <w:t>100</w:t>
            </w:r>
          </w:p>
        </w:tc>
        <w:tc>
          <w:tcPr>
            <w:tcW w:w="963" w:type="dxa"/>
          </w:tcPr>
          <w:p w14:paraId="2965EC0D" w14:textId="77777777" w:rsidR="00255EC0" w:rsidRPr="00960B5D" w:rsidRDefault="00255EC0" w:rsidP="00960B5D">
            <w:pPr>
              <w:pStyle w:val="Tabletextnospace"/>
              <w:jc w:val="right"/>
              <w:rPr>
                <w:sz w:val="20"/>
                <w:szCs w:val="20"/>
              </w:rPr>
            </w:pPr>
            <w:r w:rsidRPr="00960B5D">
              <w:rPr>
                <w:sz w:val="20"/>
                <w:szCs w:val="20"/>
              </w:rPr>
              <w:t>100</w:t>
            </w:r>
          </w:p>
        </w:tc>
        <w:tc>
          <w:tcPr>
            <w:tcW w:w="1375" w:type="dxa"/>
          </w:tcPr>
          <w:p w14:paraId="461D7FDF" w14:textId="77777777" w:rsidR="00255EC0" w:rsidRPr="00960B5D" w:rsidRDefault="00255EC0" w:rsidP="00960B5D">
            <w:pPr>
              <w:pStyle w:val="Tabletextnospace"/>
              <w:jc w:val="right"/>
              <w:rPr>
                <w:sz w:val="20"/>
                <w:szCs w:val="20"/>
              </w:rPr>
            </w:pPr>
            <w:r w:rsidRPr="00960B5D">
              <w:rPr>
                <w:sz w:val="20"/>
                <w:szCs w:val="20"/>
              </w:rPr>
              <w:t>0.0%</w:t>
            </w:r>
          </w:p>
        </w:tc>
        <w:tc>
          <w:tcPr>
            <w:tcW w:w="850" w:type="dxa"/>
          </w:tcPr>
          <w:p w14:paraId="74BF5CFC" w14:textId="77777777" w:rsidR="00255EC0" w:rsidRPr="00960B5D"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960B5D">
              <w:rPr>
                <w:rFonts w:ascii="Wingdings" w:hAnsi="Wingdings" w:cs="Wingdings"/>
                <w:position w:val="-2"/>
                <w:sz w:val="20"/>
                <w:lang w:val="en-GB"/>
              </w:rPr>
              <w:t>ü</w:t>
            </w:r>
          </w:p>
        </w:tc>
      </w:tr>
      <w:tr w:rsidR="00255EC0" w:rsidRPr="00C4734E" w14:paraId="19840568" w14:textId="77777777" w:rsidTr="00E8460A">
        <w:trPr>
          <w:trHeight w:val="113"/>
        </w:trPr>
        <w:tc>
          <w:tcPr>
            <w:tcW w:w="9776" w:type="dxa"/>
            <w:gridSpan w:val="6"/>
          </w:tcPr>
          <w:p w14:paraId="178D0EF8" w14:textId="77777777" w:rsidR="00255EC0" w:rsidRPr="00C4734E" w:rsidRDefault="00255EC0" w:rsidP="00960B5D">
            <w:pPr>
              <w:pStyle w:val="Tabletextnospace"/>
              <w:rPr>
                <w:b/>
                <w:bCs/>
                <w:sz w:val="20"/>
                <w:szCs w:val="20"/>
              </w:rPr>
            </w:pPr>
            <w:r w:rsidRPr="00C4734E">
              <w:rPr>
                <w:b/>
                <w:bCs/>
                <w:sz w:val="20"/>
                <w:szCs w:val="20"/>
              </w:rPr>
              <w:t>Cost</w:t>
            </w:r>
          </w:p>
        </w:tc>
      </w:tr>
      <w:tr w:rsidR="00255EC0" w:rsidRPr="00C4734E" w14:paraId="2420D174" w14:textId="77777777" w:rsidTr="00E8460A">
        <w:trPr>
          <w:trHeight w:val="113"/>
        </w:trPr>
        <w:tc>
          <w:tcPr>
            <w:tcW w:w="4660" w:type="dxa"/>
          </w:tcPr>
          <w:p w14:paraId="78D01AEE" w14:textId="77777777" w:rsidR="00255EC0" w:rsidRPr="00C4734E" w:rsidRDefault="00255EC0" w:rsidP="00960B5D">
            <w:pPr>
              <w:pStyle w:val="Tabletextnospace"/>
              <w:rPr>
                <w:b/>
                <w:bCs/>
                <w:sz w:val="20"/>
                <w:szCs w:val="20"/>
              </w:rPr>
            </w:pPr>
            <w:r w:rsidRPr="00C4734E">
              <w:rPr>
                <w:b/>
                <w:bCs/>
                <w:sz w:val="20"/>
                <w:szCs w:val="20"/>
              </w:rPr>
              <w:t>Total output cost</w:t>
            </w:r>
          </w:p>
        </w:tc>
        <w:tc>
          <w:tcPr>
            <w:tcW w:w="964" w:type="dxa"/>
          </w:tcPr>
          <w:p w14:paraId="62A6067C" w14:textId="77777777" w:rsidR="00255EC0" w:rsidRPr="00C4734E" w:rsidRDefault="00255EC0" w:rsidP="00960B5D">
            <w:pPr>
              <w:pStyle w:val="Tabletextnospace"/>
              <w:jc w:val="right"/>
              <w:rPr>
                <w:b/>
                <w:bCs/>
                <w:sz w:val="20"/>
                <w:szCs w:val="20"/>
              </w:rPr>
            </w:pPr>
            <w:r w:rsidRPr="00C4734E">
              <w:rPr>
                <w:b/>
                <w:bCs/>
                <w:sz w:val="20"/>
                <w:szCs w:val="20"/>
              </w:rPr>
              <w:t>$ million</w:t>
            </w:r>
          </w:p>
        </w:tc>
        <w:tc>
          <w:tcPr>
            <w:tcW w:w="964" w:type="dxa"/>
          </w:tcPr>
          <w:p w14:paraId="16539DCA" w14:textId="77777777" w:rsidR="00255EC0" w:rsidRPr="00C4734E" w:rsidRDefault="00255EC0" w:rsidP="00960B5D">
            <w:pPr>
              <w:pStyle w:val="Tabletextnospace"/>
              <w:jc w:val="right"/>
              <w:rPr>
                <w:b/>
                <w:bCs/>
                <w:sz w:val="20"/>
                <w:szCs w:val="20"/>
              </w:rPr>
            </w:pPr>
            <w:r w:rsidRPr="00C4734E">
              <w:rPr>
                <w:b/>
                <w:bCs/>
                <w:sz w:val="20"/>
                <w:szCs w:val="20"/>
              </w:rPr>
              <w:t>228.4</w:t>
            </w:r>
          </w:p>
        </w:tc>
        <w:tc>
          <w:tcPr>
            <w:tcW w:w="963" w:type="dxa"/>
          </w:tcPr>
          <w:p w14:paraId="20D90096" w14:textId="77777777" w:rsidR="00255EC0" w:rsidRPr="00C4734E" w:rsidRDefault="00255EC0" w:rsidP="00960B5D">
            <w:pPr>
              <w:pStyle w:val="Tabletextnospace"/>
              <w:jc w:val="right"/>
              <w:rPr>
                <w:b/>
                <w:bCs/>
                <w:sz w:val="20"/>
                <w:szCs w:val="20"/>
              </w:rPr>
            </w:pPr>
            <w:r w:rsidRPr="00C4734E">
              <w:rPr>
                <w:b/>
                <w:bCs/>
                <w:sz w:val="20"/>
                <w:szCs w:val="20"/>
              </w:rPr>
              <w:t>123.5</w:t>
            </w:r>
          </w:p>
        </w:tc>
        <w:tc>
          <w:tcPr>
            <w:tcW w:w="1375" w:type="dxa"/>
          </w:tcPr>
          <w:p w14:paraId="3FF848CB" w14:textId="77777777" w:rsidR="00255EC0" w:rsidRPr="00C4734E" w:rsidRDefault="00255EC0" w:rsidP="00960B5D">
            <w:pPr>
              <w:pStyle w:val="Tabletextnospace"/>
              <w:jc w:val="right"/>
              <w:rPr>
                <w:b/>
                <w:bCs/>
                <w:sz w:val="20"/>
                <w:szCs w:val="20"/>
              </w:rPr>
            </w:pPr>
            <w:r w:rsidRPr="00C4734E">
              <w:rPr>
                <w:b/>
                <w:bCs/>
                <w:sz w:val="20"/>
                <w:szCs w:val="20"/>
              </w:rPr>
              <w:t>85.0%</w:t>
            </w:r>
          </w:p>
        </w:tc>
        <w:tc>
          <w:tcPr>
            <w:tcW w:w="850" w:type="dxa"/>
          </w:tcPr>
          <w:p w14:paraId="330D6678" w14:textId="77777777" w:rsidR="00255EC0" w:rsidRPr="00C4734E" w:rsidRDefault="00255EC0" w:rsidP="00255EC0">
            <w:pPr>
              <w:suppressAutoHyphens/>
              <w:autoSpaceDE w:val="0"/>
              <w:autoSpaceDN w:val="0"/>
              <w:adjustRightInd w:val="0"/>
              <w:spacing w:after="113" w:line="220" w:lineRule="atLeast"/>
              <w:jc w:val="right"/>
              <w:textAlignment w:val="center"/>
              <w:rPr>
                <w:rFonts w:ascii="VIC Light" w:hAnsi="VIC Light" w:cs="VIC Light"/>
                <w:b/>
                <w:bCs/>
                <w:sz w:val="20"/>
                <w:lang w:val="en-GB"/>
              </w:rPr>
            </w:pPr>
            <w:r w:rsidRPr="00C4734E">
              <w:rPr>
                <w:rFonts w:ascii="Wingdings" w:hAnsi="Wingdings" w:cs="Wingdings"/>
                <w:b/>
                <w:bCs/>
                <w:position w:val="-2"/>
                <w:sz w:val="20"/>
                <w:lang w:val="en-GB"/>
              </w:rPr>
              <w:t>n</w:t>
            </w:r>
          </w:p>
        </w:tc>
      </w:tr>
      <w:tr w:rsidR="00255EC0" w:rsidRPr="00C4734E" w14:paraId="745DCC44" w14:textId="77777777" w:rsidTr="00E8460A">
        <w:trPr>
          <w:trHeight w:val="113"/>
        </w:trPr>
        <w:tc>
          <w:tcPr>
            <w:tcW w:w="9776" w:type="dxa"/>
            <w:gridSpan w:val="6"/>
          </w:tcPr>
          <w:p w14:paraId="1A100A09" w14:textId="77777777" w:rsidR="00255EC0" w:rsidRPr="00C4734E" w:rsidRDefault="00255EC0" w:rsidP="00C4734E">
            <w:pPr>
              <w:pStyle w:val="Tabletext"/>
              <w:rPr>
                <w:i/>
                <w:iCs/>
                <w:sz w:val="20"/>
                <w:szCs w:val="16"/>
              </w:rPr>
            </w:pPr>
            <w:r w:rsidRPr="00C4734E">
              <w:rPr>
                <w:i/>
                <w:iCs/>
                <w:sz w:val="20"/>
                <w:szCs w:val="16"/>
              </w:rPr>
              <w:t>The 2019–20 result was higher than budget due to additional major events funding that was held centrally until contractual arrangements were finalised.</w:t>
            </w:r>
          </w:p>
        </w:tc>
      </w:tr>
      <w:tr w:rsidR="00255EC0" w:rsidRPr="00255EC0" w14:paraId="3145BCC3" w14:textId="77777777" w:rsidTr="00E8460A">
        <w:trPr>
          <w:trHeight w:val="113"/>
        </w:trPr>
        <w:tc>
          <w:tcPr>
            <w:tcW w:w="9776" w:type="dxa"/>
            <w:gridSpan w:val="6"/>
          </w:tcPr>
          <w:p w14:paraId="4D72341B" w14:textId="77777777" w:rsidR="00255EC0" w:rsidRPr="00255EC0" w:rsidRDefault="00255EC0" w:rsidP="00960B5D">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5B674D38" w14:textId="77777777" w:rsidR="00255EC0" w:rsidRPr="00255EC0" w:rsidRDefault="00255EC0" w:rsidP="00C4734E">
      <w:pPr>
        <w:pStyle w:val="Body"/>
      </w:pPr>
    </w:p>
    <w:p w14:paraId="250A4905" w14:textId="77777777" w:rsidR="00255EC0" w:rsidRPr="00255EC0" w:rsidRDefault="00255EC0" w:rsidP="00C4734E">
      <w:pPr>
        <w:pStyle w:val="Heading3"/>
      </w:pPr>
      <w:r w:rsidRPr="00255EC0">
        <w:t xml:space="preserve">Objective 6: Promote productive and </w:t>
      </w:r>
      <w:proofErr w:type="gramStart"/>
      <w:r w:rsidRPr="00255EC0">
        <w:t>sustainably-used</w:t>
      </w:r>
      <w:proofErr w:type="gramEnd"/>
      <w:r w:rsidRPr="00255EC0">
        <w:t xml:space="preserve"> natural resources</w:t>
      </w:r>
    </w:p>
    <w:p w14:paraId="169FF8F8" w14:textId="5920808D" w:rsidR="00255EC0" w:rsidRPr="00255EC0" w:rsidRDefault="00255EC0" w:rsidP="00C4734E">
      <w:pPr>
        <w:pStyle w:val="Body"/>
      </w:pPr>
      <w:r w:rsidRPr="00255EC0">
        <w:t xml:space="preserve">This objective supports more productive, globally competitive, </w:t>
      </w:r>
      <w:proofErr w:type="gramStart"/>
      <w:r w:rsidRPr="00255EC0">
        <w:t>sustainable</w:t>
      </w:r>
      <w:proofErr w:type="gramEnd"/>
      <w:r w:rsidRPr="00255EC0">
        <w:t xml:space="preserve"> and jobs-rich agriculture, food and fibre, and resources sectors and creates the conditions to grow the forestry and game resource economies. The department delivers</w:t>
      </w:r>
      <w:r w:rsidR="00C4734E">
        <w:t xml:space="preserve"> </w:t>
      </w:r>
      <w:r w:rsidRPr="00255EC0">
        <w:t>the objective in collaboration with partners,</w:t>
      </w:r>
      <w:r w:rsidR="00C4734E">
        <w:t xml:space="preserve"> </w:t>
      </w:r>
      <w:r w:rsidRPr="00255EC0">
        <w:t xml:space="preserve">local </w:t>
      </w:r>
      <w:proofErr w:type="gramStart"/>
      <w:r w:rsidRPr="00255EC0">
        <w:t>communities</w:t>
      </w:r>
      <w:proofErr w:type="gramEnd"/>
      <w:r w:rsidRPr="00255EC0">
        <w:t xml:space="preserve"> and industry to deliver</w:t>
      </w:r>
      <w:r w:rsidR="00C4734E">
        <w:t xml:space="preserve"> </w:t>
      </w:r>
      <w:r w:rsidRPr="00255EC0">
        <w:t>outcomes that provide benefits to all Victorians.</w:t>
      </w:r>
    </w:p>
    <w:p w14:paraId="6BA547DC" w14:textId="77777777" w:rsidR="00C4734E" w:rsidRDefault="00C4734E">
      <w:pPr>
        <w:rPr>
          <w:rFonts w:ascii="Arial" w:hAnsi="Arial" w:cs="Arial"/>
          <w:spacing w:val="-1"/>
          <w:sz w:val="28"/>
          <w:szCs w:val="28"/>
          <w:lang w:val="en-GB"/>
        </w:rPr>
      </w:pPr>
      <w:r>
        <w:br w:type="page"/>
      </w:r>
    </w:p>
    <w:p w14:paraId="121F05C2" w14:textId="7A856CA1" w:rsidR="00255EC0" w:rsidRPr="00255EC0" w:rsidRDefault="00255EC0" w:rsidP="00C4734E">
      <w:pPr>
        <w:pStyle w:val="Heading3"/>
      </w:pPr>
      <w:r w:rsidRPr="00255EC0">
        <w:lastRenderedPageBreak/>
        <w:t>Progress towards achieving</w:t>
      </w:r>
      <w:r w:rsidR="00C4734E">
        <w:t xml:space="preserve"> </w:t>
      </w:r>
      <w:r w:rsidRPr="00255EC0">
        <w:t>this objective</w:t>
      </w:r>
    </w:p>
    <w:p w14:paraId="4B2C97C7" w14:textId="77777777" w:rsidR="00255EC0" w:rsidRPr="00255EC0" w:rsidRDefault="00255EC0" w:rsidP="00C4734E">
      <w:pPr>
        <w:pStyle w:val="Body"/>
      </w:pPr>
      <w:r w:rsidRPr="00255EC0">
        <w:t>In 2019–20, the department reported progress against this objective using the following objective indicators and outputs:</w:t>
      </w:r>
    </w:p>
    <w:p w14:paraId="685BC33F" w14:textId="77777777" w:rsidR="00255EC0" w:rsidRPr="00255EC0" w:rsidRDefault="00255EC0" w:rsidP="00C4734E">
      <w:pPr>
        <w:pStyle w:val="Heading4"/>
      </w:pPr>
      <w:r w:rsidRPr="00255EC0">
        <w:t>Objective Indicators</w:t>
      </w:r>
    </w:p>
    <w:p w14:paraId="235E4099" w14:textId="77777777" w:rsidR="00255EC0" w:rsidRPr="00255EC0" w:rsidRDefault="00255EC0" w:rsidP="00C4734E">
      <w:pPr>
        <w:pStyle w:val="L1Bullets"/>
      </w:pPr>
      <w:r w:rsidRPr="00255EC0">
        <w:t>Value of Victorian agriculture production</w:t>
      </w:r>
    </w:p>
    <w:p w14:paraId="71E0F8F5" w14:textId="77777777" w:rsidR="00255EC0" w:rsidRPr="00255EC0" w:rsidRDefault="00255EC0" w:rsidP="00C4734E">
      <w:pPr>
        <w:pStyle w:val="L1Bullets"/>
      </w:pPr>
      <w:r w:rsidRPr="00255EC0">
        <w:t>Value of Victorian food and fibre exports</w:t>
      </w:r>
    </w:p>
    <w:p w14:paraId="5EBBC4DD" w14:textId="77777777" w:rsidR="00255EC0" w:rsidRPr="00255EC0" w:rsidRDefault="00255EC0" w:rsidP="00C4734E">
      <w:pPr>
        <w:pStyle w:val="L1Bullets"/>
      </w:pPr>
      <w:r w:rsidRPr="00255EC0">
        <w:t>Metres drilled for minerals exploration in Victoria</w:t>
      </w:r>
    </w:p>
    <w:p w14:paraId="647C47D9" w14:textId="77777777" w:rsidR="00255EC0" w:rsidRPr="00255EC0" w:rsidRDefault="00255EC0" w:rsidP="00C4734E">
      <w:pPr>
        <w:pStyle w:val="L1Bulletslast"/>
      </w:pPr>
      <w:r w:rsidRPr="00255EC0">
        <w:t>Level of production of minerals and extractives</w:t>
      </w:r>
    </w:p>
    <w:p w14:paraId="0EDD2973" w14:textId="77777777" w:rsidR="00255EC0" w:rsidRPr="00C4734E" w:rsidRDefault="00255EC0" w:rsidP="00C4734E">
      <w:pPr>
        <w:pStyle w:val="Heading4"/>
      </w:pPr>
      <w:r w:rsidRPr="00C4734E">
        <w:t>Outputs</w:t>
      </w:r>
    </w:p>
    <w:p w14:paraId="558BDD8B" w14:textId="77777777" w:rsidR="00255EC0" w:rsidRPr="00255EC0" w:rsidRDefault="00255EC0" w:rsidP="00C4734E">
      <w:pPr>
        <w:pStyle w:val="L1Bullets"/>
      </w:pPr>
      <w:r w:rsidRPr="00255EC0">
        <w:t>Agriculture</w:t>
      </w:r>
    </w:p>
    <w:p w14:paraId="71BF033F" w14:textId="28AE584C" w:rsidR="00255EC0" w:rsidRPr="00255EC0" w:rsidRDefault="00255EC0" w:rsidP="00C4734E">
      <w:pPr>
        <w:pStyle w:val="L2Bullets"/>
      </w:pPr>
      <w:r w:rsidRPr="00255EC0">
        <w:t>Agriculture Industry Development</w:t>
      </w:r>
      <w:r w:rsidR="00C4734E">
        <w:t xml:space="preserve"> </w:t>
      </w:r>
      <w:r w:rsidRPr="00255EC0">
        <w:t>and Regulation</w:t>
      </w:r>
    </w:p>
    <w:p w14:paraId="47EC7B5A" w14:textId="77777777" w:rsidR="00255EC0" w:rsidRPr="00255EC0" w:rsidRDefault="00255EC0" w:rsidP="00C4734E">
      <w:pPr>
        <w:pStyle w:val="L2Bullets"/>
      </w:pPr>
      <w:r w:rsidRPr="00255EC0">
        <w:t>Agriculture Research</w:t>
      </w:r>
    </w:p>
    <w:p w14:paraId="56450216" w14:textId="77777777" w:rsidR="00255EC0" w:rsidRPr="00255EC0" w:rsidRDefault="00255EC0" w:rsidP="00C4734E">
      <w:pPr>
        <w:pStyle w:val="L2Bullets"/>
      </w:pPr>
      <w:r w:rsidRPr="00255EC0">
        <w:t>Biosecurity and Agriculture Services</w:t>
      </w:r>
    </w:p>
    <w:p w14:paraId="306DF064" w14:textId="5BD56573" w:rsidR="00255EC0" w:rsidRPr="00C4734E" w:rsidRDefault="00255EC0" w:rsidP="00C4734E">
      <w:pPr>
        <w:pStyle w:val="L2Bullets"/>
      </w:pPr>
      <w:r w:rsidRPr="00C4734E">
        <w:t>Sustainably manage forest</w:t>
      </w:r>
      <w:r w:rsidR="00C4734E">
        <w:t xml:space="preserve"> </w:t>
      </w:r>
      <w:r w:rsidRPr="00C4734E">
        <w:t>and game resources</w:t>
      </w:r>
    </w:p>
    <w:p w14:paraId="04AC0379" w14:textId="77777777" w:rsidR="00255EC0" w:rsidRPr="00255EC0" w:rsidRDefault="00255EC0" w:rsidP="00C4734E">
      <w:pPr>
        <w:pStyle w:val="L1Bulletslast"/>
      </w:pPr>
      <w:r w:rsidRPr="00255EC0">
        <w:t>Resources</w:t>
      </w:r>
    </w:p>
    <w:p w14:paraId="560DF5F3" w14:textId="02802AE8" w:rsidR="00255EC0" w:rsidRPr="00255EC0" w:rsidRDefault="00255EC0" w:rsidP="00C4734E">
      <w:pPr>
        <w:pStyle w:val="Body"/>
      </w:pPr>
      <w:r w:rsidRPr="00255EC0">
        <w:t xml:space="preserve">The department supports a productive, globally </w:t>
      </w:r>
      <w:proofErr w:type="gramStart"/>
      <w:r w:rsidRPr="00255EC0">
        <w:t>competitive</w:t>
      </w:r>
      <w:proofErr w:type="gramEnd"/>
      <w:r w:rsidRPr="00255EC0">
        <w:t xml:space="preserve"> and sustainable Victorian economy</w:t>
      </w:r>
      <w:r w:rsidR="00C4734E">
        <w:t xml:space="preserve"> </w:t>
      </w:r>
      <w:r w:rsidRPr="00255EC0">
        <w:t>for the state’s innovative and resilient agriculture, food and fibre sector. The department works with the community and industry to enhance productivity; connect the sector with international markets and create jobs; support growth; maintain effective biosecurity and improve the welfare</w:t>
      </w:r>
      <w:r w:rsidR="00C4734E">
        <w:t xml:space="preserve"> </w:t>
      </w:r>
      <w:r w:rsidRPr="00255EC0">
        <w:t>of domestic and production animals.</w:t>
      </w:r>
    </w:p>
    <w:p w14:paraId="7510AB23" w14:textId="77777777" w:rsidR="00255EC0" w:rsidRPr="00255EC0" w:rsidRDefault="00255EC0" w:rsidP="00C4734E">
      <w:pPr>
        <w:pStyle w:val="Heading4"/>
      </w:pPr>
      <w:r w:rsidRPr="00255EC0">
        <w:t>Indicator: Value of Victorian agriculture production</w:t>
      </w:r>
    </w:p>
    <w:p w14:paraId="1B825B86" w14:textId="77777777" w:rsidR="00255EC0" w:rsidRPr="00255EC0" w:rsidRDefault="00255EC0" w:rsidP="00C4734E">
      <w:pPr>
        <w:pStyle w:val="Heading5"/>
      </w:pPr>
      <w:r w:rsidRPr="00255EC0">
        <w:t>Table 24: Value of Victorian agriculture production</w:t>
      </w:r>
    </w:p>
    <w:tbl>
      <w:tblPr>
        <w:tblStyle w:val="TableGrid"/>
        <w:tblW w:w="9638" w:type="dxa"/>
        <w:tblLayout w:type="fixed"/>
        <w:tblLook w:val="0020" w:firstRow="1" w:lastRow="0" w:firstColumn="0" w:lastColumn="0" w:noHBand="0" w:noVBand="0"/>
      </w:tblPr>
      <w:tblGrid>
        <w:gridCol w:w="4195"/>
        <w:gridCol w:w="1340"/>
        <w:gridCol w:w="1341"/>
        <w:gridCol w:w="1341"/>
        <w:gridCol w:w="1421"/>
      </w:tblGrid>
      <w:tr w:rsidR="00255EC0" w:rsidRPr="00C4734E" w14:paraId="435B02A4" w14:textId="77777777" w:rsidTr="00E8460A">
        <w:trPr>
          <w:trHeight w:val="113"/>
        </w:trPr>
        <w:tc>
          <w:tcPr>
            <w:tcW w:w="4195" w:type="dxa"/>
          </w:tcPr>
          <w:p w14:paraId="72FDD641" w14:textId="77777777" w:rsidR="00255EC0" w:rsidRPr="00C4734E" w:rsidRDefault="00255EC0" w:rsidP="00C4734E">
            <w:pPr>
              <w:pStyle w:val="TableColumnheading"/>
              <w:rPr>
                <w:sz w:val="20"/>
                <w:szCs w:val="18"/>
              </w:rPr>
            </w:pPr>
            <w:r w:rsidRPr="00C4734E">
              <w:rPr>
                <w:sz w:val="20"/>
                <w:szCs w:val="18"/>
              </w:rPr>
              <w:t>Measure (unit of measure)</w:t>
            </w:r>
          </w:p>
        </w:tc>
        <w:tc>
          <w:tcPr>
            <w:tcW w:w="1340" w:type="dxa"/>
          </w:tcPr>
          <w:p w14:paraId="0F116CC2" w14:textId="77777777" w:rsidR="00255EC0" w:rsidRPr="00C4734E" w:rsidRDefault="00255EC0" w:rsidP="00C4734E">
            <w:pPr>
              <w:pStyle w:val="TableColumnheading"/>
              <w:jc w:val="right"/>
              <w:rPr>
                <w:sz w:val="20"/>
                <w:szCs w:val="18"/>
              </w:rPr>
            </w:pPr>
            <w:r w:rsidRPr="00C4734E">
              <w:rPr>
                <w:sz w:val="20"/>
                <w:szCs w:val="18"/>
              </w:rPr>
              <w:t>2016–17</w:t>
            </w:r>
          </w:p>
        </w:tc>
        <w:tc>
          <w:tcPr>
            <w:tcW w:w="1341" w:type="dxa"/>
          </w:tcPr>
          <w:p w14:paraId="2A860CBE" w14:textId="77777777" w:rsidR="00255EC0" w:rsidRPr="00C4734E" w:rsidRDefault="00255EC0" w:rsidP="00C4734E">
            <w:pPr>
              <w:pStyle w:val="TableColumnheading"/>
              <w:jc w:val="right"/>
              <w:rPr>
                <w:sz w:val="20"/>
                <w:szCs w:val="18"/>
              </w:rPr>
            </w:pPr>
            <w:r w:rsidRPr="00C4734E">
              <w:rPr>
                <w:sz w:val="20"/>
                <w:szCs w:val="18"/>
              </w:rPr>
              <w:t>2017–18</w:t>
            </w:r>
          </w:p>
        </w:tc>
        <w:tc>
          <w:tcPr>
            <w:tcW w:w="1341" w:type="dxa"/>
          </w:tcPr>
          <w:p w14:paraId="73A3ACB0" w14:textId="77777777" w:rsidR="00255EC0" w:rsidRPr="00C4734E" w:rsidRDefault="00255EC0" w:rsidP="00C4734E">
            <w:pPr>
              <w:pStyle w:val="TableColumnheading"/>
              <w:jc w:val="right"/>
              <w:rPr>
                <w:sz w:val="20"/>
                <w:szCs w:val="18"/>
              </w:rPr>
            </w:pPr>
            <w:r w:rsidRPr="00C4734E">
              <w:rPr>
                <w:sz w:val="20"/>
                <w:szCs w:val="18"/>
              </w:rPr>
              <w:t>2018–19</w:t>
            </w:r>
          </w:p>
        </w:tc>
        <w:tc>
          <w:tcPr>
            <w:tcW w:w="1421" w:type="dxa"/>
          </w:tcPr>
          <w:p w14:paraId="6924C9B5" w14:textId="77777777" w:rsidR="00255EC0" w:rsidRPr="00C4734E" w:rsidRDefault="00255EC0" w:rsidP="00C4734E">
            <w:pPr>
              <w:pStyle w:val="TableColumnheading"/>
              <w:jc w:val="right"/>
              <w:rPr>
                <w:sz w:val="20"/>
                <w:szCs w:val="18"/>
              </w:rPr>
            </w:pPr>
            <w:r w:rsidRPr="00C4734E">
              <w:rPr>
                <w:sz w:val="20"/>
                <w:szCs w:val="18"/>
              </w:rPr>
              <w:t>2019–20</w:t>
            </w:r>
          </w:p>
        </w:tc>
      </w:tr>
      <w:tr w:rsidR="00255EC0" w:rsidRPr="00C4734E" w14:paraId="09E9ED6F" w14:textId="77777777" w:rsidTr="00E8460A">
        <w:trPr>
          <w:trHeight w:val="113"/>
        </w:trPr>
        <w:tc>
          <w:tcPr>
            <w:tcW w:w="4195" w:type="dxa"/>
          </w:tcPr>
          <w:p w14:paraId="158117E9" w14:textId="77777777" w:rsidR="00255EC0" w:rsidRPr="00C4734E" w:rsidRDefault="00255EC0" w:rsidP="00C4734E">
            <w:pPr>
              <w:pStyle w:val="Tabletextnospace"/>
              <w:rPr>
                <w:sz w:val="20"/>
              </w:rPr>
            </w:pPr>
            <w:r w:rsidRPr="00C4734E">
              <w:rPr>
                <w:sz w:val="20"/>
              </w:rPr>
              <w:t>Gross value of Victorian agriculture production</w:t>
            </w:r>
            <w:r w:rsidRPr="00C4734E">
              <w:rPr>
                <w:sz w:val="20"/>
              </w:rPr>
              <w:br/>
              <w:t>($ billion)</w:t>
            </w:r>
          </w:p>
        </w:tc>
        <w:tc>
          <w:tcPr>
            <w:tcW w:w="1340" w:type="dxa"/>
          </w:tcPr>
          <w:p w14:paraId="147F0051" w14:textId="77777777" w:rsidR="00255EC0" w:rsidRPr="00C4734E" w:rsidRDefault="00255EC0" w:rsidP="00C4734E">
            <w:pPr>
              <w:pStyle w:val="Tabletextnospace"/>
              <w:jc w:val="right"/>
              <w:rPr>
                <w:sz w:val="20"/>
              </w:rPr>
            </w:pPr>
            <w:r w:rsidRPr="00C4734E">
              <w:rPr>
                <w:sz w:val="20"/>
              </w:rPr>
              <w:t>14.0</w:t>
            </w:r>
          </w:p>
        </w:tc>
        <w:tc>
          <w:tcPr>
            <w:tcW w:w="1341" w:type="dxa"/>
          </w:tcPr>
          <w:p w14:paraId="673BDF84" w14:textId="77777777" w:rsidR="00255EC0" w:rsidRPr="00C4734E" w:rsidRDefault="00255EC0" w:rsidP="00C4734E">
            <w:pPr>
              <w:pStyle w:val="Tabletextnospace"/>
              <w:jc w:val="right"/>
              <w:rPr>
                <w:sz w:val="20"/>
              </w:rPr>
            </w:pPr>
            <w:r w:rsidRPr="00C4734E">
              <w:rPr>
                <w:sz w:val="20"/>
              </w:rPr>
              <w:t>14.9</w:t>
            </w:r>
          </w:p>
        </w:tc>
        <w:tc>
          <w:tcPr>
            <w:tcW w:w="1341" w:type="dxa"/>
          </w:tcPr>
          <w:p w14:paraId="7EFABEB7" w14:textId="77777777" w:rsidR="00255EC0" w:rsidRPr="00C4734E" w:rsidRDefault="00255EC0" w:rsidP="00C4734E">
            <w:pPr>
              <w:pStyle w:val="Tabletextnospace"/>
              <w:jc w:val="right"/>
              <w:rPr>
                <w:sz w:val="20"/>
              </w:rPr>
            </w:pPr>
            <w:r w:rsidRPr="00C4734E">
              <w:rPr>
                <w:sz w:val="20"/>
              </w:rPr>
              <w:t>15.8</w:t>
            </w:r>
          </w:p>
        </w:tc>
        <w:tc>
          <w:tcPr>
            <w:tcW w:w="1421" w:type="dxa"/>
          </w:tcPr>
          <w:p w14:paraId="747364AB" w14:textId="77777777" w:rsidR="00255EC0" w:rsidRPr="00C4734E" w:rsidRDefault="00255EC0" w:rsidP="00C4734E">
            <w:pPr>
              <w:pStyle w:val="Tabletextnospace"/>
              <w:jc w:val="right"/>
              <w:rPr>
                <w:sz w:val="20"/>
              </w:rPr>
            </w:pPr>
            <w:r w:rsidRPr="00C4734E">
              <w:rPr>
                <w:sz w:val="20"/>
              </w:rPr>
              <w:t>Data available</w:t>
            </w:r>
            <w:r w:rsidRPr="00C4734E">
              <w:rPr>
                <w:sz w:val="20"/>
              </w:rPr>
              <w:br/>
              <w:t>May 2021</w:t>
            </w:r>
          </w:p>
        </w:tc>
      </w:tr>
    </w:tbl>
    <w:p w14:paraId="6E4671CB" w14:textId="77777777" w:rsidR="00255EC0" w:rsidRPr="00255EC0" w:rsidRDefault="00255EC0" w:rsidP="00C4734E">
      <w:pPr>
        <w:pStyle w:val="Body"/>
      </w:pPr>
    </w:p>
    <w:p w14:paraId="1F887AF9" w14:textId="1912C993" w:rsidR="00255EC0" w:rsidRPr="00255EC0" w:rsidRDefault="00255EC0" w:rsidP="00C4734E">
      <w:pPr>
        <w:pStyle w:val="Heading5"/>
      </w:pPr>
      <w:r w:rsidRPr="00255EC0">
        <w:t>Figure 21: Gross value of Victorian</w:t>
      </w:r>
      <w:r w:rsidR="00C4734E">
        <w:t xml:space="preserve"> </w:t>
      </w:r>
      <w:r w:rsidRPr="00255EC0">
        <w:t>agriculture production</w:t>
      </w:r>
    </w:p>
    <w:p w14:paraId="51E2709B" w14:textId="1D7CA64B" w:rsidR="00255EC0" w:rsidRPr="00255EC0" w:rsidRDefault="00C4734E" w:rsidP="00C4734E">
      <w:pPr>
        <w:pStyle w:val="Body"/>
      </w:pPr>
      <w:r>
        <w:rPr>
          <w:noProof/>
        </w:rPr>
        <w:drawing>
          <wp:inline distT="0" distB="0" distL="0" distR="0" wp14:anchorId="52045DD1" wp14:editId="3D0FEEEA">
            <wp:extent cx="2047875" cy="1323975"/>
            <wp:effectExtent l="0" t="0" r="0" b="9525"/>
            <wp:docPr id="26" name="Graphic 26" descr="Figure 21: Gross value of Victorian agriculture produc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Figure 21: Gross value of Victorian agriculture production graph"/>
                    <pic:cNvPicPr/>
                  </pic:nvPicPr>
                  <pic:blipFill>
                    <a:blip r:embed="rId52">
                      <a:extLst>
                        <a:ext uri="{96DAC541-7B7A-43D3-8B79-37D633B846F1}">
                          <asvg:svgBlip xmlns:asvg="http://schemas.microsoft.com/office/drawing/2016/SVG/main" r:embed="rId53"/>
                        </a:ext>
                      </a:extLst>
                    </a:blip>
                    <a:stretch>
                      <a:fillRect/>
                    </a:stretch>
                  </pic:blipFill>
                  <pic:spPr>
                    <a:xfrm>
                      <a:off x="0" y="0"/>
                      <a:ext cx="2047875" cy="1323975"/>
                    </a:xfrm>
                    <a:prstGeom prst="rect">
                      <a:avLst/>
                    </a:prstGeom>
                  </pic:spPr>
                </pic:pic>
              </a:graphicData>
            </a:graphic>
          </wp:inline>
        </w:drawing>
      </w:r>
    </w:p>
    <w:p w14:paraId="7706D574" w14:textId="5BB3F50A" w:rsidR="00255EC0" w:rsidRPr="00255EC0" w:rsidRDefault="00255EC0" w:rsidP="00C4734E">
      <w:pPr>
        <w:pStyle w:val="Body"/>
      </w:pPr>
      <w:r w:rsidRPr="00255EC0">
        <w:t>The total value of agriculture production in Victoria increased by seven per cent to $15.8 billion</w:t>
      </w:r>
      <w:r w:rsidR="00C4734E">
        <w:t xml:space="preserve"> </w:t>
      </w:r>
      <w:r w:rsidRPr="00255EC0">
        <w:t>in 2018–19 (the latest available data), compared</w:t>
      </w:r>
      <w:r w:rsidR="00C4734E">
        <w:t xml:space="preserve"> </w:t>
      </w:r>
      <w:r w:rsidRPr="00255EC0">
        <w:t>to $14.9 billion in 2017–18. There were increases</w:t>
      </w:r>
      <w:r w:rsidR="00C4734E">
        <w:t xml:space="preserve"> </w:t>
      </w:r>
      <w:r w:rsidRPr="00255EC0">
        <w:t>in the value of production in broadacre livestock, dairy and horticulture industries driven by strong export and domestic prices. The value of broadacre crop production increased due to the seasonal conditions and strong feed grain market.</w:t>
      </w:r>
    </w:p>
    <w:p w14:paraId="5C37B99A" w14:textId="4B8565D6" w:rsidR="00255EC0" w:rsidRPr="00255EC0" w:rsidRDefault="00255EC0" w:rsidP="00C4734E">
      <w:pPr>
        <w:pStyle w:val="Body"/>
      </w:pPr>
      <w:r w:rsidRPr="00255EC0">
        <w:lastRenderedPageBreak/>
        <w:t>Dry seasonal conditions prevailed in 2019–20</w:t>
      </w:r>
      <w:r w:rsidR="00C4734E">
        <w:t xml:space="preserve"> </w:t>
      </w:r>
      <w:r w:rsidRPr="00255EC0">
        <w:t>across parts of the state, particularly in East</w:t>
      </w:r>
      <w:r w:rsidR="00C4734E">
        <w:t xml:space="preserve"> </w:t>
      </w:r>
      <w:r w:rsidRPr="00255EC0">
        <w:t>and Central Gippsland and the far North West.</w:t>
      </w:r>
      <w:r w:rsidR="00C4734E">
        <w:t xml:space="preserve"> </w:t>
      </w:r>
      <w:r w:rsidRPr="00255EC0">
        <w:t>The Victorian Government’s Drought Support package provided support to affected farming families and their communities. This included Resilience Grants, Household Relief payments, farm machinery grants, mental health support, small business support and community resilience initiatives. Agriculture Victoria staff facilitated technical support activities for impacted</w:t>
      </w:r>
      <w:r w:rsidR="00C4734E">
        <w:t xml:space="preserve"> </w:t>
      </w:r>
      <w:r w:rsidRPr="00255EC0">
        <w:t>farm businesses.</w:t>
      </w:r>
    </w:p>
    <w:p w14:paraId="5FBDFF0D" w14:textId="0F95ACF1" w:rsidR="00255EC0" w:rsidRPr="00255EC0" w:rsidRDefault="00255EC0" w:rsidP="00C4734E">
      <w:pPr>
        <w:pStyle w:val="Body"/>
      </w:pPr>
      <w:r w:rsidRPr="00255EC0">
        <w:t>Agriculture Victoria also led efforts to deliver</w:t>
      </w:r>
      <w:r w:rsidR="00C4734E">
        <w:t xml:space="preserve"> </w:t>
      </w:r>
      <w:r w:rsidRPr="00255EC0">
        <w:t>animal welfare relief, agricultural loss and</w:t>
      </w:r>
      <w:r w:rsidR="00C4734E">
        <w:t xml:space="preserve"> </w:t>
      </w:r>
      <w:r w:rsidRPr="00255EC0">
        <w:t>damage assessment and recovery services</w:t>
      </w:r>
      <w:r w:rsidR="00C4734E">
        <w:t xml:space="preserve"> </w:t>
      </w:r>
      <w:r w:rsidRPr="00255EC0">
        <w:t>to primary producers impacted by the 2019–20 summer bushfires. This included technical</w:t>
      </w:r>
      <w:r w:rsidR="00C4734E">
        <w:t xml:space="preserve"> </w:t>
      </w:r>
      <w:r w:rsidRPr="00255EC0">
        <w:t>support activities for farm businesses on feeding, watering and management of stock, pasture management and climate information.</w:t>
      </w:r>
    </w:p>
    <w:p w14:paraId="16EE7BDA" w14:textId="7EEB68DE" w:rsidR="00255EC0" w:rsidRPr="00255EC0" w:rsidRDefault="00255EC0" w:rsidP="00C4734E">
      <w:pPr>
        <w:pStyle w:val="Body"/>
      </w:pPr>
      <w:r w:rsidRPr="00255EC0">
        <w:t>The Rural Financial Counselling Service,</w:t>
      </w:r>
      <w:r w:rsidR="00C4734E">
        <w:t xml:space="preserve"> </w:t>
      </w:r>
      <w:r w:rsidRPr="00255EC0">
        <w:t>which provides free and impartial financial counselling to farmers and related small</w:t>
      </w:r>
      <w:r w:rsidR="00C4734E">
        <w:t xml:space="preserve"> </w:t>
      </w:r>
      <w:r w:rsidRPr="00255EC0">
        <w:t>businesses experiencing, or at risk of, financial hardship saw increased demand for services</w:t>
      </w:r>
      <w:r w:rsidR="00C4734E">
        <w:t xml:space="preserve"> </w:t>
      </w:r>
      <w:r w:rsidRPr="00255EC0">
        <w:t>due to drought, bushfires and the coronavirus (COVID-19) pandemic. The cumulative impact resulted in a record 1900 active clients</w:t>
      </w:r>
      <w:r w:rsidR="00C4734E">
        <w:t xml:space="preserve"> </w:t>
      </w:r>
      <w:proofErr w:type="gramStart"/>
      <w:r w:rsidRPr="00255EC0">
        <w:t>at</w:t>
      </w:r>
      <w:proofErr w:type="gramEnd"/>
      <w:r w:rsidRPr="00255EC0">
        <w:t xml:space="preserve"> 30 June 2020.</w:t>
      </w:r>
    </w:p>
    <w:p w14:paraId="561223C6" w14:textId="1A02205A" w:rsidR="00255EC0" w:rsidRPr="00255EC0" w:rsidRDefault="00255EC0" w:rsidP="00C4734E">
      <w:pPr>
        <w:pStyle w:val="Body"/>
      </w:pPr>
      <w:r w:rsidRPr="00255EC0">
        <w:t>Agriculture Victoria has continued to support</w:t>
      </w:r>
      <w:r w:rsidR="00C4734E">
        <w:t xml:space="preserve"> </w:t>
      </w:r>
      <w:r w:rsidRPr="00255EC0">
        <w:t>the agriculture sector to respond to climate change. The government endorsed the establishment</w:t>
      </w:r>
      <w:r w:rsidR="00C4734E">
        <w:t xml:space="preserve"> </w:t>
      </w:r>
      <w:r w:rsidRPr="00255EC0">
        <w:t>of the Victorian Agriculture and Climate Change Council just prior to the end of 2019–20.</w:t>
      </w:r>
      <w:r w:rsidR="00C4734E">
        <w:t xml:space="preserve"> </w:t>
      </w:r>
      <w:r w:rsidRPr="00255EC0">
        <w:t>Victoria maintained a strong presence in national climate change initiatives, leading the preparation of advice to Agriculture Ministers on a nationally coordinated approach to support the sector.</w:t>
      </w:r>
      <w:r w:rsidR="00C4734E">
        <w:t xml:space="preserve"> </w:t>
      </w:r>
      <w:r w:rsidRPr="00255EC0">
        <w:t>This culminated in the Agriculture and Climate Change work program, unanimously endorsed</w:t>
      </w:r>
      <w:r w:rsidR="00C4734E">
        <w:t xml:space="preserve"> </w:t>
      </w:r>
      <w:r w:rsidRPr="00255EC0">
        <w:t xml:space="preserve">by the Agriculture </w:t>
      </w:r>
      <w:proofErr w:type="gramStart"/>
      <w:r w:rsidRPr="00255EC0">
        <w:t>Ministers</w:t>
      </w:r>
      <w:proofErr w:type="gramEnd"/>
      <w:r w:rsidRPr="00255EC0">
        <w:t xml:space="preserve"> and led to establishment of the Climate Change Task Group to oversee implementation.</w:t>
      </w:r>
    </w:p>
    <w:p w14:paraId="60914AAA" w14:textId="77777777" w:rsidR="00255EC0" w:rsidRPr="00255EC0" w:rsidRDefault="00255EC0" w:rsidP="00C4734E">
      <w:pPr>
        <w:pStyle w:val="Body"/>
      </w:pPr>
      <w:r w:rsidRPr="00255EC0">
        <w:t xml:space="preserve">The department’s long-term research and innovation partnerships with industry, academia and the value chain are supporting the Victorian agriculture sector to embrace </w:t>
      </w:r>
      <w:proofErr w:type="spellStart"/>
      <w:r w:rsidRPr="00255EC0">
        <w:t>AgTech</w:t>
      </w:r>
      <w:proofErr w:type="spellEnd"/>
      <w:r w:rsidRPr="00255EC0">
        <w:t xml:space="preserve">, digital technologies and make the transition to smart farms. Agriculture Victoria has developed sensor-based technologies for real time estimates of pasture yield at plot and paddock scales. These technologies have the potential to improve pasture utilisation by up to 20 per cent and increase dairy farm profitability. Agriculture Victoria also integrates </w:t>
      </w:r>
      <w:proofErr w:type="spellStart"/>
      <w:r w:rsidRPr="00255EC0">
        <w:t>AgTech</w:t>
      </w:r>
      <w:proofErr w:type="spellEnd"/>
      <w:r w:rsidRPr="00255EC0">
        <w:t xml:space="preserve"> and multidisciplinary team approaches in pulse genetic improvement to optimise yield and yield stability across an expanded range of pulse-growing regions. Grain growers are provided with better varieties faster, which enhances growers’ profitability.</w:t>
      </w:r>
    </w:p>
    <w:p w14:paraId="40EA4BC7" w14:textId="3C9A628D" w:rsidR="00255EC0" w:rsidRPr="00255EC0" w:rsidRDefault="00255EC0" w:rsidP="00414916">
      <w:pPr>
        <w:pStyle w:val="Body"/>
      </w:pPr>
      <w:r w:rsidRPr="00255EC0">
        <w:t>Innovation on-farming has been enhanced</w:t>
      </w:r>
      <w:r w:rsidR="00414916">
        <w:t xml:space="preserve"> </w:t>
      </w:r>
      <w:r w:rsidRPr="00255EC0">
        <w:t>by implementation of the government’s Digital</w:t>
      </w:r>
      <w:r w:rsidR="00414916">
        <w:t xml:space="preserve"> </w:t>
      </w:r>
      <w:r w:rsidRPr="00255EC0">
        <w:t>Agriculture Strategy. The $12 million On-Farm</w:t>
      </w:r>
      <w:r w:rsidR="00414916">
        <w:t xml:space="preserve"> </w:t>
      </w:r>
      <w:r w:rsidRPr="00255EC0">
        <w:t>Internet of Things Trial delivered network</w:t>
      </w:r>
      <w:r w:rsidR="00414916">
        <w:t xml:space="preserve"> </w:t>
      </w:r>
      <w:r w:rsidRPr="00255EC0">
        <w:t>infrastructure across four trial regions and four</w:t>
      </w:r>
      <w:r w:rsidR="00414916">
        <w:t xml:space="preserve"> </w:t>
      </w:r>
      <w:r w:rsidRPr="00255EC0">
        <w:t xml:space="preserve">Agriculture Victoria </w:t>
      </w:r>
      <w:proofErr w:type="spellStart"/>
      <w:r w:rsidRPr="00255EC0">
        <w:t>SmartFarms</w:t>
      </w:r>
      <w:proofErr w:type="spellEnd"/>
      <w:r w:rsidRPr="00255EC0">
        <w:t>. Agriculture</w:t>
      </w:r>
      <w:r w:rsidR="00414916">
        <w:t xml:space="preserve"> </w:t>
      </w:r>
      <w:r w:rsidRPr="00255EC0">
        <w:t>Victoria has also delivered ongoing research</w:t>
      </w:r>
      <w:r w:rsidR="00414916">
        <w:t xml:space="preserve"> </w:t>
      </w:r>
      <w:r w:rsidRPr="00255EC0">
        <w:t>and innovation programs providing productivity</w:t>
      </w:r>
      <w:r w:rsidR="00414916">
        <w:t xml:space="preserve"> </w:t>
      </w:r>
      <w:r w:rsidRPr="00255EC0">
        <w:t>and sustainability benefits to Victoria’s farmers.</w:t>
      </w:r>
      <w:r w:rsidR="00414916">
        <w:t xml:space="preserve"> </w:t>
      </w:r>
      <w:r w:rsidRPr="00255EC0">
        <w:t>The $30 million Agriculture Energy Investment</w:t>
      </w:r>
      <w:r w:rsidR="00414916">
        <w:t xml:space="preserve"> </w:t>
      </w:r>
      <w:r w:rsidRPr="00255EC0">
        <w:t>Plan delivered seven million dollars in on-farm energy assessments and $10 million in grants</w:t>
      </w:r>
      <w:r w:rsidR="00414916">
        <w:t xml:space="preserve"> </w:t>
      </w:r>
      <w:r w:rsidRPr="00255EC0">
        <w:t xml:space="preserve">to farmers to improve their energy efficiency. </w:t>
      </w:r>
    </w:p>
    <w:p w14:paraId="32DC06A4" w14:textId="2B52A8F6" w:rsidR="00255EC0" w:rsidRPr="00255EC0" w:rsidRDefault="00255EC0" w:rsidP="00414916">
      <w:pPr>
        <w:pStyle w:val="Body"/>
      </w:pPr>
      <w:r w:rsidRPr="00255EC0">
        <w:t>Through Animal Welfare Victoria, the department has responsibility for implementing the government’s Animal Welfare Action Plan. Activity has improved the management of pet sales with the implementation of the Pet Exchange Register. Delivery of Round eight of the Animal Welfare Fund Grants Program has enabled shelters and foster carers to purchase equipment or upgrade or expand their services and not-for-profit and community</w:t>
      </w:r>
      <w:r w:rsidR="00414916">
        <w:t xml:space="preserve"> </w:t>
      </w:r>
      <w:r w:rsidRPr="00255EC0">
        <w:t>vet clinics to maintain and expand their services</w:t>
      </w:r>
      <w:r w:rsidR="00414916">
        <w:t xml:space="preserve"> </w:t>
      </w:r>
      <w:r w:rsidRPr="00255EC0">
        <w:t>in areas of need around Victoria.</w:t>
      </w:r>
    </w:p>
    <w:p w14:paraId="5CB684B3" w14:textId="77777777" w:rsidR="00255EC0" w:rsidRPr="00255EC0" w:rsidRDefault="00255EC0" w:rsidP="00414916">
      <w:pPr>
        <w:pStyle w:val="Heading4"/>
      </w:pPr>
      <w:r w:rsidRPr="00255EC0">
        <w:lastRenderedPageBreak/>
        <w:t>Indicator: Value of Victorian food and fibre exports</w:t>
      </w:r>
    </w:p>
    <w:p w14:paraId="610DB5D8" w14:textId="77777777" w:rsidR="00255EC0" w:rsidRPr="00255EC0" w:rsidRDefault="00255EC0" w:rsidP="00414916">
      <w:pPr>
        <w:pStyle w:val="Heading5"/>
      </w:pPr>
      <w:r w:rsidRPr="00255EC0">
        <w:t>Table 25: Value of Victorian food and fibre exports</w:t>
      </w:r>
    </w:p>
    <w:tbl>
      <w:tblPr>
        <w:tblStyle w:val="TableGrid"/>
        <w:tblW w:w="9638" w:type="dxa"/>
        <w:tblLayout w:type="fixed"/>
        <w:tblLook w:val="0020" w:firstRow="1" w:lastRow="0" w:firstColumn="0" w:lastColumn="0" w:noHBand="0" w:noVBand="0"/>
      </w:tblPr>
      <w:tblGrid>
        <w:gridCol w:w="4195"/>
        <w:gridCol w:w="1340"/>
        <w:gridCol w:w="1341"/>
        <w:gridCol w:w="1341"/>
        <w:gridCol w:w="1421"/>
      </w:tblGrid>
      <w:tr w:rsidR="00255EC0" w:rsidRPr="00414916" w14:paraId="52E7291E" w14:textId="77777777" w:rsidTr="00E8460A">
        <w:trPr>
          <w:trHeight w:val="113"/>
        </w:trPr>
        <w:tc>
          <w:tcPr>
            <w:tcW w:w="4195" w:type="dxa"/>
          </w:tcPr>
          <w:p w14:paraId="6606121B" w14:textId="77777777" w:rsidR="00255EC0" w:rsidRPr="00414916" w:rsidRDefault="00255EC0" w:rsidP="00414916">
            <w:pPr>
              <w:pStyle w:val="TableColumnheading"/>
              <w:rPr>
                <w:sz w:val="20"/>
                <w:szCs w:val="18"/>
              </w:rPr>
            </w:pPr>
            <w:r w:rsidRPr="00414916">
              <w:rPr>
                <w:sz w:val="20"/>
                <w:szCs w:val="18"/>
              </w:rPr>
              <w:t>Measure (unit of measure)</w:t>
            </w:r>
          </w:p>
        </w:tc>
        <w:tc>
          <w:tcPr>
            <w:tcW w:w="1340" w:type="dxa"/>
          </w:tcPr>
          <w:p w14:paraId="11F19291" w14:textId="77777777" w:rsidR="00255EC0" w:rsidRPr="00414916" w:rsidRDefault="00255EC0" w:rsidP="00414916">
            <w:pPr>
              <w:pStyle w:val="TableColumnheading"/>
              <w:jc w:val="right"/>
              <w:rPr>
                <w:sz w:val="20"/>
                <w:szCs w:val="18"/>
              </w:rPr>
            </w:pPr>
            <w:r w:rsidRPr="00414916">
              <w:rPr>
                <w:sz w:val="20"/>
                <w:szCs w:val="18"/>
              </w:rPr>
              <w:t>2016–17</w:t>
            </w:r>
          </w:p>
        </w:tc>
        <w:tc>
          <w:tcPr>
            <w:tcW w:w="1341" w:type="dxa"/>
          </w:tcPr>
          <w:p w14:paraId="7B9088B5" w14:textId="77777777" w:rsidR="00255EC0" w:rsidRPr="00414916" w:rsidRDefault="00255EC0" w:rsidP="00414916">
            <w:pPr>
              <w:pStyle w:val="TableColumnheading"/>
              <w:jc w:val="right"/>
              <w:rPr>
                <w:sz w:val="20"/>
                <w:szCs w:val="18"/>
              </w:rPr>
            </w:pPr>
            <w:r w:rsidRPr="00414916">
              <w:rPr>
                <w:sz w:val="20"/>
                <w:szCs w:val="18"/>
              </w:rPr>
              <w:t>2017–18</w:t>
            </w:r>
          </w:p>
        </w:tc>
        <w:tc>
          <w:tcPr>
            <w:tcW w:w="1341" w:type="dxa"/>
          </w:tcPr>
          <w:p w14:paraId="72D98542" w14:textId="77777777" w:rsidR="00255EC0" w:rsidRPr="00414916" w:rsidRDefault="00255EC0" w:rsidP="00414916">
            <w:pPr>
              <w:pStyle w:val="TableColumnheading"/>
              <w:jc w:val="right"/>
              <w:rPr>
                <w:sz w:val="20"/>
                <w:szCs w:val="18"/>
              </w:rPr>
            </w:pPr>
            <w:r w:rsidRPr="00414916">
              <w:rPr>
                <w:sz w:val="20"/>
                <w:szCs w:val="18"/>
              </w:rPr>
              <w:t>2018–19</w:t>
            </w:r>
          </w:p>
        </w:tc>
        <w:tc>
          <w:tcPr>
            <w:tcW w:w="1421" w:type="dxa"/>
          </w:tcPr>
          <w:p w14:paraId="1DDA1869" w14:textId="77777777" w:rsidR="00255EC0" w:rsidRPr="00414916" w:rsidRDefault="00255EC0" w:rsidP="00414916">
            <w:pPr>
              <w:pStyle w:val="TableColumnheading"/>
              <w:jc w:val="right"/>
              <w:rPr>
                <w:sz w:val="20"/>
                <w:szCs w:val="18"/>
              </w:rPr>
            </w:pPr>
            <w:r w:rsidRPr="00414916">
              <w:rPr>
                <w:sz w:val="20"/>
                <w:szCs w:val="18"/>
              </w:rPr>
              <w:t>2019–20</w:t>
            </w:r>
          </w:p>
        </w:tc>
      </w:tr>
      <w:tr w:rsidR="00255EC0" w:rsidRPr="00414916" w14:paraId="7BD11A02" w14:textId="77777777" w:rsidTr="00E8460A">
        <w:trPr>
          <w:trHeight w:val="113"/>
        </w:trPr>
        <w:tc>
          <w:tcPr>
            <w:tcW w:w="4195" w:type="dxa"/>
          </w:tcPr>
          <w:p w14:paraId="09214DDA" w14:textId="77777777" w:rsidR="00255EC0" w:rsidRPr="00414916" w:rsidRDefault="00255EC0" w:rsidP="00414916">
            <w:pPr>
              <w:pStyle w:val="Tabletextnospace"/>
              <w:rPr>
                <w:sz w:val="20"/>
              </w:rPr>
            </w:pPr>
            <w:r w:rsidRPr="00414916">
              <w:rPr>
                <w:sz w:val="20"/>
              </w:rPr>
              <w:t>Food and fibre exports from Victoria</w:t>
            </w:r>
            <w:r w:rsidRPr="00414916">
              <w:rPr>
                <w:sz w:val="20"/>
              </w:rPr>
              <w:br/>
              <w:t>($ billion)</w:t>
            </w:r>
          </w:p>
        </w:tc>
        <w:tc>
          <w:tcPr>
            <w:tcW w:w="1340" w:type="dxa"/>
          </w:tcPr>
          <w:p w14:paraId="5DB45187" w14:textId="77777777" w:rsidR="00255EC0" w:rsidRPr="00414916" w:rsidRDefault="00255EC0" w:rsidP="00414916">
            <w:pPr>
              <w:pStyle w:val="Tabletextnospace"/>
              <w:jc w:val="right"/>
              <w:rPr>
                <w:sz w:val="20"/>
              </w:rPr>
            </w:pPr>
            <w:r w:rsidRPr="00414916">
              <w:rPr>
                <w:sz w:val="20"/>
              </w:rPr>
              <w:t>12.8</w:t>
            </w:r>
          </w:p>
        </w:tc>
        <w:tc>
          <w:tcPr>
            <w:tcW w:w="1341" w:type="dxa"/>
          </w:tcPr>
          <w:p w14:paraId="69A87DC2" w14:textId="77777777" w:rsidR="00255EC0" w:rsidRPr="00414916" w:rsidRDefault="00255EC0" w:rsidP="00414916">
            <w:pPr>
              <w:pStyle w:val="Tabletextnospace"/>
              <w:jc w:val="right"/>
              <w:rPr>
                <w:sz w:val="20"/>
              </w:rPr>
            </w:pPr>
            <w:r w:rsidRPr="00414916">
              <w:rPr>
                <w:sz w:val="20"/>
              </w:rPr>
              <w:t>14.1</w:t>
            </w:r>
          </w:p>
        </w:tc>
        <w:tc>
          <w:tcPr>
            <w:tcW w:w="1341" w:type="dxa"/>
          </w:tcPr>
          <w:p w14:paraId="7FED73E2" w14:textId="77777777" w:rsidR="00255EC0" w:rsidRPr="00414916" w:rsidRDefault="00255EC0" w:rsidP="00414916">
            <w:pPr>
              <w:pStyle w:val="Tabletextnospace"/>
              <w:jc w:val="right"/>
              <w:rPr>
                <w:sz w:val="20"/>
              </w:rPr>
            </w:pPr>
            <w:r w:rsidRPr="00414916">
              <w:rPr>
                <w:sz w:val="20"/>
              </w:rPr>
              <w:t>14.2</w:t>
            </w:r>
          </w:p>
        </w:tc>
        <w:tc>
          <w:tcPr>
            <w:tcW w:w="1421" w:type="dxa"/>
          </w:tcPr>
          <w:p w14:paraId="5383A155" w14:textId="77777777" w:rsidR="00255EC0" w:rsidRPr="00414916" w:rsidRDefault="00255EC0" w:rsidP="00414916">
            <w:pPr>
              <w:pStyle w:val="Tabletextnospace"/>
              <w:jc w:val="right"/>
              <w:rPr>
                <w:sz w:val="20"/>
              </w:rPr>
            </w:pPr>
            <w:r w:rsidRPr="00414916">
              <w:rPr>
                <w:sz w:val="20"/>
              </w:rPr>
              <w:t>Data available</w:t>
            </w:r>
            <w:r w:rsidRPr="00414916">
              <w:rPr>
                <w:sz w:val="20"/>
              </w:rPr>
              <w:br/>
              <w:t>May 2021</w:t>
            </w:r>
          </w:p>
        </w:tc>
      </w:tr>
    </w:tbl>
    <w:p w14:paraId="1FDFC0A8" w14:textId="77777777" w:rsidR="00255EC0" w:rsidRPr="00255EC0" w:rsidRDefault="00255EC0" w:rsidP="00414916">
      <w:pPr>
        <w:pStyle w:val="Body"/>
      </w:pPr>
    </w:p>
    <w:p w14:paraId="65EE9F4E" w14:textId="77777777" w:rsidR="00255EC0" w:rsidRPr="00255EC0" w:rsidRDefault="00255EC0" w:rsidP="00414916">
      <w:pPr>
        <w:pStyle w:val="Heading5"/>
      </w:pPr>
      <w:r w:rsidRPr="00255EC0">
        <w:t>Figure 22: Food and fibre exports from Victoria</w:t>
      </w:r>
    </w:p>
    <w:p w14:paraId="0E626EF9" w14:textId="7CB052E3" w:rsidR="00255EC0" w:rsidRPr="00255EC0" w:rsidRDefault="00414916" w:rsidP="00414916">
      <w:pPr>
        <w:pStyle w:val="Body"/>
      </w:pPr>
      <w:r>
        <w:rPr>
          <w:noProof/>
        </w:rPr>
        <w:drawing>
          <wp:inline distT="0" distB="0" distL="0" distR="0" wp14:anchorId="1368CE85" wp14:editId="4D4FCFAD">
            <wp:extent cx="2057400" cy="1323975"/>
            <wp:effectExtent l="0" t="0" r="0" b="9525"/>
            <wp:docPr id="27" name="Graphic 27" descr="Figure 22: Food and fibre exports from Victori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Figure 22: Food and fibre exports from Victoria graph"/>
                    <pic:cNvPicPr/>
                  </pic:nvPicPr>
                  <pic:blipFill>
                    <a:blip r:embed="rId54">
                      <a:extLst>
                        <a:ext uri="{96DAC541-7B7A-43D3-8B79-37D633B846F1}">
                          <asvg:svgBlip xmlns:asvg="http://schemas.microsoft.com/office/drawing/2016/SVG/main" r:embed="rId55"/>
                        </a:ext>
                      </a:extLst>
                    </a:blip>
                    <a:stretch>
                      <a:fillRect/>
                    </a:stretch>
                  </pic:blipFill>
                  <pic:spPr>
                    <a:xfrm>
                      <a:off x="0" y="0"/>
                      <a:ext cx="2057400" cy="1323975"/>
                    </a:xfrm>
                    <a:prstGeom prst="rect">
                      <a:avLst/>
                    </a:prstGeom>
                  </pic:spPr>
                </pic:pic>
              </a:graphicData>
            </a:graphic>
          </wp:inline>
        </w:drawing>
      </w:r>
    </w:p>
    <w:p w14:paraId="7147EEB1" w14:textId="77777777" w:rsidR="00255EC0" w:rsidRPr="00255EC0" w:rsidRDefault="00255EC0" w:rsidP="00414916">
      <w:pPr>
        <w:pStyle w:val="Body"/>
      </w:pPr>
      <w:r w:rsidRPr="00255EC0">
        <w:t xml:space="preserve">The government has a target to grow Victorian food and fibre exports to $20 billion per annum by 2030. In 2018–19, Victoria maintained its strong export performance, generating food and fibre exports valued at $14.2 billion despite challenges caused by drought and dry seasonal conditions. This was an increase of $98 million on the previous year– keeping Victoria as the nation’s largest food and fibre exporter with 27 per cent of the national total. </w:t>
      </w:r>
    </w:p>
    <w:p w14:paraId="6F9CEAE4" w14:textId="26372EDF" w:rsidR="00255EC0" w:rsidRPr="00255EC0" w:rsidRDefault="00255EC0" w:rsidP="00414916">
      <w:pPr>
        <w:pStyle w:val="Body"/>
      </w:pPr>
      <w:r w:rsidRPr="00255EC0">
        <w:t>The value of Victorian food and fibre exports in</w:t>
      </w:r>
      <w:r w:rsidR="00414916">
        <w:t xml:space="preserve"> </w:t>
      </w:r>
      <w:r w:rsidRPr="00255EC0">
        <w:t xml:space="preserve">2018–19 increased by one per cent on the previous year. This was accompanied by a 31 per cent decline in volume, mostly due to lower grain production caused by seasonal conditions and Victorian grain being sold domestically to support the national shortfall. High value exports – especially meat, </w:t>
      </w:r>
      <w:proofErr w:type="gramStart"/>
      <w:r w:rsidRPr="00255EC0">
        <w:t>wool</w:t>
      </w:r>
      <w:proofErr w:type="gramEnd"/>
      <w:r w:rsidRPr="00255EC0">
        <w:t xml:space="preserve"> and dairy – collectively accounted for 57 per cent of the total value of the state’s food and fibre exports. </w:t>
      </w:r>
    </w:p>
    <w:p w14:paraId="0D1DD6EE" w14:textId="0B877F02" w:rsidR="00255EC0" w:rsidRPr="00255EC0" w:rsidRDefault="00255EC0" w:rsidP="00414916">
      <w:pPr>
        <w:pStyle w:val="Body"/>
      </w:pPr>
      <w:r w:rsidRPr="00255EC0">
        <w:t>The value of food exports alone was $10.4 billion,</w:t>
      </w:r>
      <w:r w:rsidR="00414916">
        <w:t xml:space="preserve"> </w:t>
      </w:r>
      <w:r w:rsidRPr="00255EC0">
        <w:t>an increase of $175 million on the previous year.</w:t>
      </w:r>
      <w:r w:rsidR="00414916">
        <w:t xml:space="preserve"> </w:t>
      </w:r>
      <w:r w:rsidRPr="00255EC0">
        <w:t>The value of fibre exports decreased by $77 million on the previous year to $3.8 billion in response</w:t>
      </w:r>
      <w:r w:rsidR="00414916">
        <w:t xml:space="preserve"> </w:t>
      </w:r>
      <w:r w:rsidRPr="00255EC0">
        <w:t>to market volatility and seasonal conditions.</w:t>
      </w:r>
      <w:r w:rsidR="00414916">
        <w:t xml:space="preserve"> </w:t>
      </w:r>
      <w:r w:rsidRPr="00255EC0">
        <w:t>Victoria is the second largest wool producing state and the largest wool exporter, producing 23 per cent of Australia’s total wool accounting for 52 per cent</w:t>
      </w:r>
      <w:r w:rsidR="00414916">
        <w:t xml:space="preserve"> </w:t>
      </w:r>
      <w:r w:rsidRPr="00255EC0">
        <w:t xml:space="preserve">of the nation’s exports in 2018–19. </w:t>
      </w:r>
    </w:p>
    <w:p w14:paraId="4CCB326A" w14:textId="77777777" w:rsidR="00255EC0" w:rsidRPr="00255EC0" w:rsidRDefault="00255EC0" w:rsidP="00414916">
      <w:pPr>
        <w:pStyle w:val="Body"/>
      </w:pPr>
      <w:r w:rsidRPr="00255EC0">
        <w:t xml:space="preserve">Export performance for Victorian meat products remained strong despite challenging domestic conditions. The meat industry had a particularly strong year, increasing export value by 23 per cent to $4.1 billion, making meat Victoria’s most valuable food and fibre export. </w:t>
      </w:r>
    </w:p>
    <w:p w14:paraId="2A59F110" w14:textId="12D3290E" w:rsidR="00255EC0" w:rsidRPr="00255EC0" w:rsidRDefault="00255EC0" w:rsidP="00414916">
      <w:pPr>
        <w:pStyle w:val="Body"/>
      </w:pPr>
      <w:r w:rsidRPr="00255EC0">
        <w:t>Meat exports from Victoria were valued</w:t>
      </w:r>
      <w:r w:rsidR="00414916">
        <w:t xml:space="preserve"> </w:t>
      </w:r>
      <w:r w:rsidRPr="00255EC0">
        <w:t>at $4.1 billion in 2018–19, an increase of $765 million (23</w:t>
      </w:r>
      <w:r w:rsidR="00414916">
        <w:t> </w:t>
      </w:r>
      <w:r w:rsidRPr="00255EC0">
        <w:t xml:space="preserve">per cent) </w:t>
      </w:r>
      <w:proofErr w:type="gramStart"/>
      <w:r w:rsidRPr="00255EC0">
        <w:t>on</w:t>
      </w:r>
      <w:proofErr w:type="gramEnd"/>
      <w:r w:rsidRPr="00255EC0">
        <w:t xml:space="preserve"> 2017–18. Beef ($1.75 billion) and sheep meat ($1.73 billion) were the most valuable meat export categories, comprising 84 per cent of Victorian meat exports. The USA was Victoria’s largest meat export destination at $1.019 billion. Meat exports to China increased by $214</w:t>
      </w:r>
      <w:r w:rsidR="00414916">
        <w:t> </w:t>
      </w:r>
      <w:r w:rsidRPr="00255EC0">
        <w:t>million</w:t>
      </w:r>
      <w:r w:rsidR="00414916">
        <w:t xml:space="preserve"> </w:t>
      </w:r>
      <w:r w:rsidRPr="00255EC0">
        <w:t>to $687 million (up 45 per cent).</w:t>
      </w:r>
    </w:p>
    <w:p w14:paraId="2836441F" w14:textId="4D72A023" w:rsidR="00255EC0" w:rsidRPr="00255EC0" w:rsidRDefault="00255EC0" w:rsidP="00414916">
      <w:pPr>
        <w:pStyle w:val="Body"/>
      </w:pPr>
      <w:r w:rsidRPr="00255EC0">
        <w:t>Despite the challenging seasonal conditions reducing domestic milk production, the value</w:t>
      </w:r>
      <w:r w:rsidR="00414916">
        <w:t xml:space="preserve"> </w:t>
      </w:r>
      <w:r w:rsidRPr="00255EC0">
        <w:t>of Victorian dairy exports increased by two</w:t>
      </w:r>
      <w:r w:rsidR="00414916">
        <w:t xml:space="preserve"> </w:t>
      </w:r>
      <w:r w:rsidRPr="00255EC0">
        <w:t>per cent to $1.95 billion in 2018–19. The major markets saw strong growth, especially in China</w:t>
      </w:r>
      <w:r w:rsidR="00414916">
        <w:t xml:space="preserve"> </w:t>
      </w:r>
      <w:r w:rsidRPr="00255EC0">
        <w:t>(14 per cent), and Taiwan (14 per cent) with sales</w:t>
      </w:r>
      <w:r w:rsidR="00414916">
        <w:t xml:space="preserve"> </w:t>
      </w:r>
      <w:r w:rsidRPr="00255EC0">
        <w:t>of $472</w:t>
      </w:r>
      <w:r w:rsidR="00414916">
        <w:t> </w:t>
      </w:r>
      <w:r w:rsidRPr="00255EC0">
        <w:t xml:space="preserve">million and </w:t>
      </w:r>
      <w:proofErr w:type="gramStart"/>
      <w:r w:rsidRPr="00255EC0">
        <w:t>$67 million</w:t>
      </w:r>
      <w:proofErr w:type="gramEnd"/>
      <w:r w:rsidRPr="00255EC0">
        <w:t xml:space="preserve"> respectively.</w:t>
      </w:r>
      <w:r w:rsidR="00414916">
        <w:t xml:space="preserve"> </w:t>
      </w:r>
      <w:r w:rsidRPr="00255EC0">
        <w:t>Exports to South Korea decreased by 12 per cent and Hong Kong, Taiwan and Philippines also</w:t>
      </w:r>
      <w:r w:rsidR="00414916">
        <w:t xml:space="preserve"> </w:t>
      </w:r>
      <w:r w:rsidRPr="00255EC0">
        <w:t>saw minor declines. China overtook Japan</w:t>
      </w:r>
      <w:r w:rsidR="00414916">
        <w:t xml:space="preserve"> </w:t>
      </w:r>
      <w:r w:rsidRPr="00255EC0">
        <w:t>as the largest export market for dairy products</w:t>
      </w:r>
      <w:r w:rsidR="00414916">
        <w:t xml:space="preserve"> </w:t>
      </w:r>
      <w:r w:rsidRPr="00255EC0">
        <w:t>in 2018–19, valued at $472 million, despite exports</w:t>
      </w:r>
      <w:r w:rsidR="00414916">
        <w:t xml:space="preserve"> </w:t>
      </w:r>
      <w:r w:rsidRPr="00255EC0">
        <w:t>to Japan increasing $10 million (two per cent)</w:t>
      </w:r>
      <w:r w:rsidR="00414916">
        <w:t xml:space="preserve"> </w:t>
      </w:r>
      <w:r w:rsidRPr="00255EC0">
        <w:t>to $452 million.</w:t>
      </w:r>
    </w:p>
    <w:p w14:paraId="44E01056" w14:textId="04C34B48" w:rsidR="00255EC0" w:rsidRPr="00255EC0" w:rsidRDefault="00255EC0" w:rsidP="00414916">
      <w:pPr>
        <w:pStyle w:val="Body"/>
      </w:pPr>
      <w:r w:rsidRPr="00255EC0">
        <w:lastRenderedPageBreak/>
        <w:t xml:space="preserve">Dry conditions during harvest rounded off </w:t>
      </w:r>
      <w:proofErr w:type="gramStart"/>
      <w:r w:rsidRPr="00255EC0">
        <w:t>a very successful</w:t>
      </w:r>
      <w:proofErr w:type="gramEnd"/>
      <w:r w:rsidRPr="00255EC0">
        <w:t xml:space="preserve"> 2018–19 season for Victorian horticulture. Exports increased by 38 per cent to be valued at $1.6 billion. China was the major market for Victorian horticultural exports increasing by 133 per cent</w:t>
      </w:r>
      <w:r w:rsidR="00414916">
        <w:t xml:space="preserve"> </w:t>
      </w:r>
      <w:r w:rsidRPr="00255EC0">
        <w:t>and accounting for 36 per cent of the total value</w:t>
      </w:r>
      <w:r w:rsidR="00414916">
        <w:t xml:space="preserve"> </w:t>
      </w:r>
      <w:r w:rsidRPr="00255EC0">
        <w:t xml:space="preserve">of horticulture exports. </w:t>
      </w:r>
    </w:p>
    <w:p w14:paraId="62DF7A1F" w14:textId="5099FCE4" w:rsidR="00255EC0" w:rsidRPr="00255EC0" w:rsidRDefault="00255EC0" w:rsidP="00414916">
      <w:pPr>
        <w:pStyle w:val="Body"/>
      </w:pPr>
      <w:r w:rsidRPr="00255EC0">
        <w:t>Table grapes and almonds had a record-breaking year reaching over half a billion dollars in exports. Victoria exported 91 per cent of Australia’s table grapes valued at $504 million (up 43 per cent)</w:t>
      </w:r>
      <w:r w:rsidR="00414916">
        <w:t xml:space="preserve"> </w:t>
      </w:r>
      <w:proofErr w:type="gramStart"/>
      <w:r w:rsidRPr="00255EC0">
        <w:t>on</w:t>
      </w:r>
      <w:proofErr w:type="gramEnd"/>
      <w:r w:rsidRPr="00255EC0">
        <w:t xml:space="preserve"> 2017–18. China was the largest market for table grapes valued at $199 million (up 39 per cent on 2017–18). Almond exports from Victoria increased by 63 per cent in value compared to the previous year. </w:t>
      </w:r>
    </w:p>
    <w:p w14:paraId="325CF105" w14:textId="77777777" w:rsidR="00255EC0" w:rsidRPr="00255EC0" w:rsidRDefault="00255EC0" w:rsidP="00414916">
      <w:pPr>
        <w:pStyle w:val="Body"/>
      </w:pPr>
      <w:r w:rsidRPr="00255EC0">
        <w:t>Agriculture Victoria is working with industry to deliver consistent high-quality products that meet consumer expectations and build trust for Australian products among overseas consumers.</w:t>
      </w:r>
    </w:p>
    <w:p w14:paraId="32972D07" w14:textId="77777777" w:rsidR="00255EC0" w:rsidRPr="00255EC0" w:rsidRDefault="00255EC0" w:rsidP="00414916">
      <w:pPr>
        <w:pStyle w:val="Body"/>
      </w:pPr>
      <w:r w:rsidRPr="00255EC0">
        <w:t xml:space="preserve">A key component in expanding Victoria’s agriculture exports is the eight million dollar Growing Food and Fibre Markets program. the program involved a partnership between the Victorian Government and Citrus Australia to trial traceability technologies along the citrus supply chain from tree to table. </w:t>
      </w:r>
    </w:p>
    <w:p w14:paraId="62C5177C" w14:textId="271D0B91" w:rsidR="00255EC0" w:rsidRPr="00255EC0" w:rsidRDefault="00255EC0" w:rsidP="00414916">
      <w:pPr>
        <w:pStyle w:val="Body"/>
      </w:pPr>
      <w:r w:rsidRPr="00255EC0">
        <w:t>In 2020, the trial used fingerprint labelling</w:t>
      </w:r>
      <w:r w:rsidR="00414916">
        <w:t xml:space="preserve"> </w:t>
      </w:r>
      <w:r w:rsidRPr="00255EC0">
        <w:t>and blockchain technologies to trace more than</w:t>
      </w:r>
      <w:r w:rsidR="00414916">
        <w:t xml:space="preserve"> </w:t>
      </w:r>
      <w:r w:rsidRPr="00255EC0">
        <w:t>400,000 kilograms of premium varieties of oranges</w:t>
      </w:r>
      <w:r w:rsidR="00414916">
        <w:t xml:space="preserve"> </w:t>
      </w:r>
      <w:r w:rsidRPr="00255EC0">
        <w:t>to over 50 retail stores in China. The trial has</w:t>
      </w:r>
      <w:r w:rsidR="00414916">
        <w:t xml:space="preserve"> </w:t>
      </w:r>
      <w:r w:rsidRPr="00255EC0">
        <w:t>boosted the export potential of the citrus industry</w:t>
      </w:r>
      <w:r w:rsidR="00414916">
        <w:t xml:space="preserve"> </w:t>
      </w:r>
      <w:r w:rsidRPr="00255EC0">
        <w:t>by improving the ability to trace produce across</w:t>
      </w:r>
      <w:r w:rsidR="00414916">
        <w:t xml:space="preserve"> </w:t>
      </w:r>
      <w:r w:rsidRPr="00255EC0">
        <w:t>supply chains. It also enables demonstration of</w:t>
      </w:r>
      <w:r w:rsidR="00414916">
        <w:t xml:space="preserve"> </w:t>
      </w:r>
      <w:r w:rsidRPr="00255EC0">
        <w:t>the premium quality attributes of Victorian produce in increasingly competitive global markets.</w:t>
      </w:r>
    </w:p>
    <w:p w14:paraId="3E22DE44" w14:textId="77777777" w:rsidR="00255EC0" w:rsidRPr="00255EC0" w:rsidRDefault="00255EC0" w:rsidP="00414916">
      <w:pPr>
        <w:pStyle w:val="Body"/>
      </w:pPr>
      <w:r w:rsidRPr="00255EC0">
        <w:t>In addition, trials of an innovative approach to managing Queensland fruit fly (</w:t>
      </w:r>
      <w:proofErr w:type="spellStart"/>
      <w:r w:rsidRPr="00255EC0">
        <w:t>QFF</w:t>
      </w:r>
      <w:proofErr w:type="spellEnd"/>
      <w:r w:rsidRPr="00255EC0">
        <w:t xml:space="preserve">) that commenced in 2018-19 resulted in over 1000 tonnes of cherries and berries being produced with no detections of </w:t>
      </w:r>
      <w:proofErr w:type="spellStart"/>
      <w:r w:rsidRPr="00255EC0">
        <w:t>QFF</w:t>
      </w:r>
      <w:proofErr w:type="spellEnd"/>
      <w:r w:rsidRPr="00255EC0">
        <w:t xml:space="preserve">. These projects were delivered in collaboration with Citrus Australia, Cherry Growers Australia, Hort Innovation and CSIRO, who worked alongside our Agriculture Victoria Researchers. </w:t>
      </w:r>
    </w:p>
    <w:p w14:paraId="5AB5B7F5" w14:textId="76E01F16" w:rsidR="00255EC0" w:rsidRPr="00255EC0" w:rsidRDefault="00255EC0" w:rsidP="00414916">
      <w:pPr>
        <w:pStyle w:val="Body"/>
      </w:pPr>
      <w:r w:rsidRPr="00255EC0">
        <w:t>The state invested in strengthening its food safety</w:t>
      </w:r>
      <w:r w:rsidR="00414916">
        <w:t xml:space="preserve"> </w:t>
      </w:r>
      <w:r w:rsidRPr="00255EC0">
        <w:t>systems by using whole genome sequencing</w:t>
      </w:r>
      <w:r w:rsidR="00414916">
        <w:t xml:space="preserve"> </w:t>
      </w:r>
      <w:r w:rsidRPr="00255EC0">
        <w:t>to improve its response capability for food safety</w:t>
      </w:r>
      <w:r w:rsidR="00414916">
        <w:t xml:space="preserve"> </w:t>
      </w:r>
      <w:r w:rsidRPr="00255EC0">
        <w:t>incidents. This protects the state’s international</w:t>
      </w:r>
      <w:r w:rsidR="00414916">
        <w:t xml:space="preserve"> </w:t>
      </w:r>
      <w:r w:rsidRPr="00255EC0">
        <w:t>reputation for high quality, premium produce.</w:t>
      </w:r>
      <w:r w:rsidR="00414916">
        <w:t xml:space="preserve"> </w:t>
      </w:r>
      <w:r w:rsidRPr="00255EC0">
        <w:t>Additionally, the program identified opportunities</w:t>
      </w:r>
      <w:r w:rsidR="00414916">
        <w:t xml:space="preserve"> </w:t>
      </w:r>
      <w:r w:rsidRPr="00255EC0">
        <w:t>for strategic investment that support an approach</w:t>
      </w:r>
      <w:r w:rsidR="00414916">
        <w:t xml:space="preserve"> </w:t>
      </w:r>
      <w:r w:rsidRPr="00255EC0">
        <w:t>for Victorian food and beverage producers to capture a bigger share of the growing global food service market.</w:t>
      </w:r>
    </w:p>
    <w:p w14:paraId="085F295E" w14:textId="77777777" w:rsidR="00255EC0" w:rsidRPr="00255EC0" w:rsidRDefault="00255EC0" w:rsidP="00414916">
      <w:pPr>
        <w:pStyle w:val="Body"/>
      </w:pPr>
      <w:r w:rsidRPr="00255EC0">
        <w:t>Agriculture Victoria worked to enhance grower, agronomist and industry-wide awareness of actions needed to meet importing country requirements. This included Maximum Residue Limits, as part of the Chemical Use for Market Access project.</w:t>
      </w:r>
    </w:p>
    <w:p w14:paraId="45C2BC30" w14:textId="73F140EB" w:rsidR="00255EC0" w:rsidRPr="00255EC0" w:rsidRDefault="00255EC0" w:rsidP="00414916">
      <w:pPr>
        <w:pStyle w:val="Body"/>
      </w:pPr>
      <w:r w:rsidRPr="00255EC0">
        <w:t>These projects are a key part of the state government’s drive to boost the export potential</w:t>
      </w:r>
      <w:r w:rsidR="00414916">
        <w:t xml:space="preserve"> </w:t>
      </w:r>
      <w:r w:rsidRPr="00255EC0">
        <w:t>and value of Victoria’s food and fibre exports</w:t>
      </w:r>
      <w:r w:rsidR="00414916">
        <w:t xml:space="preserve"> </w:t>
      </w:r>
      <w:r w:rsidRPr="00255EC0">
        <w:t>to $20 billion by 2030.</w:t>
      </w:r>
    </w:p>
    <w:p w14:paraId="7F8CC9E4" w14:textId="77777777" w:rsidR="00414916" w:rsidRDefault="00414916">
      <w:pPr>
        <w:rPr>
          <w:rFonts w:ascii="Arial" w:hAnsi="Arial" w:cs="Arial"/>
          <w:spacing w:val="-1"/>
          <w:sz w:val="28"/>
          <w:szCs w:val="28"/>
          <w:lang w:val="en-GB"/>
        </w:rPr>
      </w:pPr>
      <w:r>
        <w:br w:type="page"/>
      </w:r>
    </w:p>
    <w:p w14:paraId="37C4A6B6" w14:textId="7F62776F" w:rsidR="00255EC0" w:rsidRPr="00255EC0" w:rsidRDefault="00255EC0" w:rsidP="00414916">
      <w:pPr>
        <w:pStyle w:val="Heading3"/>
      </w:pPr>
      <w:r w:rsidRPr="00255EC0">
        <w:lastRenderedPageBreak/>
        <w:t>Resources</w:t>
      </w:r>
    </w:p>
    <w:p w14:paraId="0E3C596E" w14:textId="77777777" w:rsidR="00255EC0" w:rsidRPr="00255EC0" w:rsidRDefault="00255EC0" w:rsidP="00414916">
      <w:pPr>
        <w:pStyle w:val="Heading4"/>
      </w:pPr>
      <w:r w:rsidRPr="00255EC0">
        <w:t>Indicator: Metres drilled for minerals exploration in Victoria</w:t>
      </w:r>
    </w:p>
    <w:p w14:paraId="3C3F851D" w14:textId="77777777" w:rsidR="00255EC0" w:rsidRPr="00255EC0" w:rsidRDefault="00255EC0" w:rsidP="00414916">
      <w:pPr>
        <w:pStyle w:val="Heading5"/>
      </w:pPr>
      <w:r w:rsidRPr="00255EC0">
        <w:t>Table 26: Metres drilled for minerals exploration in Victoria</w:t>
      </w:r>
    </w:p>
    <w:tbl>
      <w:tblPr>
        <w:tblStyle w:val="TableGrid"/>
        <w:tblW w:w="9638" w:type="dxa"/>
        <w:tblLayout w:type="fixed"/>
        <w:tblLook w:val="0020" w:firstRow="1" w:lastRow="0" w:firstColumn="0" w:lastColumn="0" w:noHBand="0" w:noVBand="0"/>
      </w:tblPr>
      <w:tblGrid>
        <w:gridCol w:w="4195"/>
        <w:gridCol w:w="1340"/>
        <w:gridCol w:w="1341"/>
        <w:gridCol w:w="1341"/>
        <w:gridCol w:w="1421"/>
      </w:tblGrid>
      <w:tr w:rsidR="00255EC0" w:rsidRPr="00414916" w14:paraId="122558FB" w14:textId="77777777" w:rsidTr="00E8460A">
        <w:trPr>
          <w:trHeight w:val="113"/>
        </w:trPr>
        <w:tc>
          <w:tcPr>
            <w:tcW w:w="4195" w:type="dxa"/>
          </w:tcPr>
          <w:p w14:paraId="6BE26D31" w14:textId="77777777" w:rsidR="00255EC0" w:rsidRPr="00414916" w:rsidRDefault="00255EC0" w:rsidP="00414916">
            <w:pPr>
              <w:pStyle w:val="TableColumnheading"/>
              <w:rPr>
                <w:sz w:val="20"/>
                <w:szCs w:val="18"/>
              </w:rPr>
            </w:pPr>
            <w:r w:rsidRPr="00414916">
              <w:rPr>
                <w:sz w:val="20"/>
                <w:szCs w:val="18"/>
              </w:rPr>
              <w:t>Measure (unit of measure)</w:t>
            </w:r>
          </w:p>
        </w:tc>
        <w:tc>
          <w:tcPr>
            <w:tcW w:w="1340" w:type="dxa"/>
          </w:tcPr>
          <w:p w14:paraId="6883F1D3" w14:textId="77777777" w:rsidR="00255EC0" w:rsidRPr="00414916" w:rsidRDefault="00255EC0" w:rsidP="00414916">
            <w:pPr>
              <w:pStyle w:val="TableColumnheading"/>
              <w:jc w:val="right"/>
              <w:rPr>
                <w:sz w:val="20"/>
                <w:szCs w:val="18"/>
              </w:rPr>
            </w:pPr>
            <w:r w:rsidRPr="00414916">
              <w:rPr>
                <w:sz w:val="20"/>
                <w:szCs w:val="18"/>
              </w:rPr>
              <w:t>2016–17</w:t>
            </w:r>
          </w:p>
        </w:tc>
        <w:tc>
          <w:tcPr>
            <w:tcW w:w="1341" w:type="dxa"/>
          </w:tcPr>
          <w:p w14:paraId="28E123C4" w14:textId="77777777" w:rsidR="00255EC0" w:rsidRPr="00414916" w:rsidRDefault="00255EC0" w:rsidP="00414916">
            <w:pPr>
              <w:pStyle w:val="TableColumnheading"/>
              <w:jc w:val="right"/>
              <w:rPr>
                <w:sz w:val="20"/>
                <w:szCs w:val="18"/>
              </w:rPr>
            </w:pPr>
            <w:r w:rsidRPr="00414916">
              <w:rPr>
                <w:sz w:val="20"/>
                <w:szCs w:val="18"/>
              </w:rPr>
              <w:t>2017–18</w:t>
            </w:r>
          </w:p>
        </w:tc>
        <w:tc>
          <w:tcPr>
            <w:tcW w:w="1341" w:type="dxa"/>
          </w:tcPr>
          <w:p w14:paraId="6025D032" w14:textId="77777777" w:rsidR="00255EC0" w:rsidRPr="00414916" w:rsidRDefault="00255EC0" w:rsidP="00414916">
            <w:pPr>
              <w:pStyle w:val="TableColumnheading"/>
              <w:jc w:val="right"/>
              <w:rPr>
                <w:sz w:val="20"/>
                <w:szCs w:val="18"/>
              </w:rPr>
            </w:pPr>
            <w:r w:rsidRPr="00414916">
              <w:rPr>
                <w:sz w:val="20"/>
                <w:szCs w:val="18"/>
              </w:rPr>
              <w:t>2018–19</w:t>
            </w:r>
          </w:p>
        </w:tc>
        <w:tc>
          <w:tcPr>
            <w:tcW w:w="1421" w:type="dxa"/>
          </w:tcPr>
          <w:p w14:paraId="25B0FEA2" w14:textId="77777777" w:rsidR="00255EC0" w:rsidRPr="00414916" w:rsidRDefault="00255EC0" w:rsidP="00414916">
            <w:pPr>
              <w:pStyle w:val="TableColumnheading"/>
              <w:jc w:val="right"/>
              <w:rPr>
                <w:sz w:val="20"/>
                <w:szCs w:val="18"/>
              </w:rPr>
            </w:pPr>
            <w:r w:rsidRPr="00414916">
              <w:rPr>
                <w:sz w:val="20"/>
                <w:szCs w:val="18"/>
              </w:rPr>
              <w:t>2019–20</w:t>
            </w:r>
          </w:p>
        </w:tc>
      </w:tr>
      <w:tr w:rsidR="00255EC0" w:rsidRPr="00414916" w14:paraId="2D52CD07" w14:textId="77777777" w:rsidTr="00E8460A">
        <w:trPr>
          <w:trHeight w:val="113"/>
        </w:trPr>
        <w:tc>
          <w:tcPr>
            <w:tcW w:w="4195" w:type="dxa"/>
          </w:tcPr>
          <w:p w14:paraId="3DD35DA4" w14:textId="77777777" w:rsidR="00255EC0" w:rsidRPr="00414916" w:rsidRDefault="00255EC0" w:rsidP="00414916">
            <w:pPr>
              <w:pStyle w:val="Tabletextnospace"/>
              <w:rPr>
                <w:sz w:val="20"/>
              </w:rPr>
            </w:pPr>
            <w:r w:rsidRPr="00414916">
              <w:rPr>
                <w:sz w:val="20"/>
              </w:rPr>
              <w:t>Metres drilled for minerals exploration in Victoria (metres)</w:t>
            </w:r>
          </w:p>
        </w:tc>
        <w:tc>
          <w:tcPr>
            <w:tcW w:w="1340" w:type="dxa"/>
          </w:tcPr>
          <w:p w14:paraId="70BC28DA" w14:textId="77777777" w:rsidR="00255EC0" w:rsidRPr="00414916" w:rsidRDefault="00255EC0" w:rsidP="00414916">
            <w:pPr>
              <w:pStyle w:val="Tabletextnospace"/>
              <w:jc w:val="right"/>
              <w:rPr>
                <w:sz w:val="20"/>
              </w:rPr>
            </w:pPr>
            <w:r w:rsidRPr="00414916">
              <w:rPr>
                <w:sz w:val="20"/>
              </w:rPr>
              <w:t>191,658</w:t>
            </w:r>
          </w:p>
        </w:tc>
        <w:tc>
          <w:tcPr>
            <w:tcW w:w="1341" w:type="dxa"/>
          </w:tcPr>
          <w:p w14:paraId="7D782FF3" w14:textId="77777777" w:rsidR="00255EC0" w:rsidRPr="00414916" w:rsidRDefault="00255EC0" w:rsidP="00414916">
            <w:pPr>
              <w:pStyle w:val="Tabletextnospace"/>
              <w:jc w:val="right"/>
              <w:rPr>
                <w:sz w:val="20"/>
              </w:rPr>
            </w:pPr>
            <w:r w:rsidRPr="00414916">
              <w:rPr>
                <w:sz w:val="20"/>
              </w:rPr>
              <w:t>191,229</w:t>
            </w:r>
          </w:p>
        </w:tc>
        <w:tc>
          <w:tcPr>
            <w:tcW w:w="1341" w:type="dxa"/>
          </w:tcPr>
          <w:p w14:paraId="06D467C1" w14:textId="77777777" w:rsidR="00255EC0" w:rsidRPr="00414916" w:rsidRDefault="00255EC0" w:rsidP="00414916">
            <w:pPr>
              <w:pStyle w:val="Tabletextnospace"/>
              <w:jc w:val="right"/>
              <w:rPr>
                <w:sz w:val="20"/>
              </w:rPr>
            </w:pPr>
            <w:r w:rsidRPr="00414916">
              <w:rPr>
                <w:sz w:val="20"/>
              </w:rPr>
              <w:t>337,654</w:t>
            </w:r>
          </w:p>
        </w:tc>
        <w:tc>
          <w:tcPr>
            <w:tcW w:w="1421" w:type="dxa"/>
          </w:tcPr>
          <w:p w14:paraId="1D9D0EF0" w14:textId="77777777" w:rsidR="00255EC0" w:rsidRPr="00414916" w:rsidRDefault="00255EC0" w:rsidP="00414916">
            <w:pPr>
              <w:pStyle w:val="Tabletextnospace"/>
              <w:jc w:val="right"/>
              <w:rPr>
                <w:sz w:val="20"/>
              </w:rPr>
            </w:pPr>
            <w:r w:rsidRPr="00414916">
              <w:rPr>
                <w:sz w:val="20"/>
              </w:rPr>
              <w:t>Data available</w:t>
            </w:r>
            <w:r w:rsidRPr="00414916">
              <w:rPr>
                <w:sz w:val="20"/>
              </w:rPr>
              <w:br/>
              <w:t>October 2020</w:t>
            </w:r>
          </w:p>
        </w:tc>
      </w:tr>
    </w:tbl>
    <w:p w14:paraId="28439450" w14:textId="77777777" w:rsidR="00255EC0" w:rsidRPr="00255EC0" w:rsidRDefault="00255EC0" w:rsidP="0012450F">
      <w:pPr>
        <w:pStyle w:val="Tablefootnote"/>
        <w:spacing w:before="40" w:after="240"/>
      </w:pPr>
      <w:r w:rsidRPr="00255EC0">
        <w:t>Source: Geological Survey of Victoria, (</w:t>
      </w:r>
      <w:proofErr w:type="spellStart"/>
      <w:r w:rsidRPr="00255EC0">
        <w:t>GSV</w:t>
      </w:r>
      <w:proofErr w:type="spellEnd"/>
      <w:r w:rsidRPr="00255EC0">
        <w:t xml:space="preserve">) mineral companies’ exploration reports that </w:t>
      </w:r>
      <w:proofErr w:type="spellStart"/>
      <w:r w:rsidRPr="00255EC0">
        <w:t>GSV</w:t>
      </w:r>
      <w:proofErr w:type="spellEnd"/>
      <w:r w:rsidRPr="00255EC0">
        <w:t xml:space="preserve"> is required to audit.</w:t>
      </w:r>
    </w:p>
    <w:p w14:paraId="439D8061" w14:textId="060C2996" w:rsidR="00255EC0" w:rsidRPr="00255EC0" w:rsidRDefault="00255EC0" w:rsidP="0012450F">
      <w:pPr>
        <w:pStyle w:val="Heading5"/>
      </w:pPr>
      <w:r w:rsidRPr="00255EC0">
        <w:t>Figure 23: Metres drilled for minerals exploration</w:t>
      </w:r>
      <w:r w:rsidR="0012450F">
        <w:t xml:space="preserve"> </w:t>
      </w:r>
      <w:r w:rsidRPr="00255EC0">
        <w:t>in Victoria</w:t>
      </w:r>
    </w:p>
    <w:p w14:paraId="0C52CF60" w14:textId="6E4E89E2" w:rsidR="00255EC0" w:rsidRPr="00255EC0" w:rsidRDefault="0012450F" w:rsidP="0012450F">
      <w:pPr>
        <w:pStyle w:val="Body"/>
      </w:pPr>
      <w:r>
        <w:rPr>
          <w:noProof/>
        </w:rPr>
        <w:drawing>
          <wp:inline distT="0" distB="0" distL="0" distR="0" wp14:anchorId="560C899A" wp14:editId="7DFF61E0">
            <wp:extent cx="2057400" cy="1323975"/>
            <wp:effectExtent l="0" t="0" r="0" b="9525"/>
            <wp:docPr id="28" name="Graphic 28" descr="Figure 23: Metres drilled for minerals exploration in Victori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Figure 23: Metres drilled for minerals exploration in Victoria graph"/>
                    <pic:cNvPicPr/>
                  </pic:nvPicPr>
                  <pic:blipFill>
                    <a:blip r:embed="rId56">
                      <a:extLst>
                        <a:ext uri="{96DAC541-7B7A-43D3-8B79-37D633B846F1}">
                          <asvg:svgBlip xmlns:asvg="http://schemas.microsoft.com/office/drawing/2016/SVG/main" r:embed="rId57"/>
                        </a:ext>
                      </a:extLst>
                    </a:blip>
                    <a:stretch>
                      <a:fillRect/>
                    </a:stretch>
                  </pic:blipFill>
                  <pic:spPr>
                    <a:xfrm>
                      <a:off x="0" y="0"/>
                      <a:ext cx="2057400" cy="1323975"/>
                    </a:xfrm>
                    <a:prstGeom prst="rect">
                      <a:avLst/>
                    </a:prstGeom>
                  </pic:spPr>
                </pic:pic>
              </a:graphicData>
            </a:graphic>
          </wp:inline>
        </w:drawing>
      </w:r>
    </w:p>
    <w:p w14:paraId="3A23D255" w14:textId="1F7C61B0" w:rsidR="00255EC0" w:rsidRPr="00255EC0" w:rsidRDefault="00255EC0" w:rsidP="0012450F">
      <w:pPr>
        <w:pStyle w:val="Body"/>
      </w:pPr>
      <w:r w:rsidRPr="00255EC0">
        <w:t>The level of metres drilled for minerals exploration</w:t>
      </w:r>
      <w:r w:rsidR="0012450F">
        <w:t xml:space="preserve"> </w:t>
      </w:r>
      <w:r w:rsidRPr="00255EC0">
        <w:t>in Victoria during 2018–19 was 337,654 metres.</w:t>
      </w:r>
      <w:r w:rsidR="0012450F">
        <w:t xml:space="preserve"> </w:t>
      </w:r>
      <w:r w:rsidRPr="00255EC0">
        <w:t>This represents an increase of 77 per cent compared to 2017–18. The increased level of minerals drilling</w:t>
      </w:r>
      <w:r w:rsidR="0012450F">
        <w:t xml:space="preserve"> </w:t>
      </w:r>
      <w:r w:rsidRPr="00255EC0">
        <w:t>in 2018–19 reflected a combination of drilling</w:t>
      </w:r>
      <w:r w:rsidR="0012450F">
        <w:t xml:space="preserve"> </w:t>
      </w:r>
      <w:r w:rsidRPr="00255EC0">
        <w:t xml:space="preserve">at existing mining licences such as the Fosterville gold mine in Central Victoria and increased drilling activity for new resources deposits across the State. Another driver was the re-opening of the </w:t>
      </w:r>
      <w:proofErr w:type="spellStart"/>
      <w:r w:rsidRPr="00255EC0">
        <w:t>Stawell</w:t>
      </w:r>
      <w:proofErr w:type="spellEnd"/>
      <w:r w:rsidRPr="00255EC0">
        <w:t xml:space="preserve"> gold mine during 2018 with a focus on underground exploration. This led to the recommissioning of the processing plant (first gold pour 31 January 2019) and new jobs, with 200 employees engaged. </w:t>
      </w:r>
    </w:p>
    <w:p w14:paraId="0B48E5AB" w14:textId="32D867FD" w:rsidR="00255EC0" w:rsidRPr="00255EC0" w:rsidRDefault="00255EC0" w:rsidP="0012450F">
      <w:pPr>
        <w:pStyle w:val="Body"/>
      </w:pPr>
      <w:r w:rsidRPr="00255EC0">
        <w:t xml:space="preserve">The level of metres drilled for minerals exploration has increased by almost four times since 2014–15 reflecting the renewed interest for exploring in Victoria. The Fosterville gold mine is an example of mining success in Victoria, with record gold production levels being forecast of approximately 600,000 ounces per year. Initiatives such as the </w:t>
      </w:r>
      <w:proofErr w:type="spellStart"/>
      <w:r w:rsidRPr="00255EC0">
        <w:t>Stavely</w:t>
      </w:r>
      <w:proofErr w:type="spellEnd"/>
      <w:r w:rsidRPr="00255EC0">
        <w:t xml:space="preserve"> minerals initiative in Western Victoria</w:t>
      </w:r>
      <w:r w:rsidR="0012450F">
        <w:t xml:space="preserve"> </w:t>
      </w:r>
      <w:r w:rsidRPr="00255EC0">
        <w:t>and the North Central Victorian goldfields release are aimed at attracting further exploration investment in the State.</w:t>
      </w:r>
    </w:p>
    <w:p w14:paraId="2F642221" w14:textId="37E30FAA" w:rsidR="00255EC0" w:rsidRPr="00255EC0" w:rsidRDefault="00255EC0" w:rsidP="0012450F">
      <w:pPr>
        <w:pStyle w:val="Body"/>
      </w:pPr>
      <w:r w:rsidRPr="00255EC0">
        <w:t>Spending on minerals exploration in Victoria</w:t>
      </w:r>
      <w:r w:rsidR="0012450F">
        <w:t xml:space="preserve"> </w:t>
      </w:r>
      <w:r w:rsidRPr="00255EC0">
        <w:t>is at its highest level since records began,</w:t>
      </w:r>
      <w:r w:rsidR="0012450F">
        <w:t xml:space="preserve"> </w:t>
      </w:r>
      <w:r w:rsidRPr="00255EC0">
        <w:t>with the Australian Bureau of Statistics data</w:t>
      </w:r>
      <w:r w:rsidR="0012450F">
        <w:t xml:space="preserve"> </w:t>
      </w:r>
      <w:r w:rsidRPr="00255EC0">
        <w:t>showing exploration expenditure reaching</w:t>
      </w:r>
      <w:r w:rsidR="0012450F">
        <w:t xml:space="preserve"> </w:t>
      </w:r>
      <w:r w:rsidRPr="00255EC0">
        <w:t>$35.6 million in quarter three. For the 12 months</w:t>
      </w:r>
      <w:r w:rsidR="0012450F">
        <w:t xml:space="preserve"> </w:t>
      </w:r>
      <w:r w:rsidRPr="00255EC0">
        <w:t>to March 2020 total minerals exploration expenditure was $124</w:t>
      </w:r>
      <w:r w:rsidR="0012450F">
        <w:t> </w:t>
      </w:r>
      <w:r w:rsidRPr="00255EC0">
        <w:t>million. Minerals exploration licence activity is surging with 30 applications submitted in February 2020 – the highest monthly number in five years. This number is expected to grow further, with the North Central Victorian Goldfields Ground Release tender process progressing during 2020 (the tender for exploration rights over four large prospective blocks closed</w:t>
      </w:r>
      <w:r w:rsidR="0012450F">
        <w:t xml:space="preserve"> </w:t>
      </w:r>
      <w:r w:rsidRPr="00255EC0">
        <w:t>14 February 2020).</w:t>
      </w:r>
    </w:p>
    <w:p w14:paraId="2F7E0C94" w14:textId="7EB92FE9" w:rsidR="00255EC0" w:rsidRPr="00255EC0" w:rsidRDefault="00255EC0" w:rsidP="0012450F">
      <w:pPr>
        <w:pStyle w:val="Body"/>
      </w:pPr>
      <w:r w:rsidRPr="00255EC0">
        <w:t>Further examples of promoting investment in</w:t>
      </w:r>
      <w:r w:rsidR="0012450F">
        <w:t xml:space="preserve"> </w:t>
      </w:r>
      <w:r w:rsidRPr="00255EC0">
        <w:t>the state’s resources sector include: More than</w:t>
      </w:r>
      <w:r w:rsidR="0012450F">
        <w:t xml:space="preserve"> </w:t>
      </w:r>
      <w:r w:rsidRPr="00255EC0">
        <w:t>7000 participants from over 80 countries attended</w:t>
      </w:r>
      <w:r w:rsidR="0012450F">
        <w:t xml:space="preserve"> </w:t>
      </w:r>
      <w:r w:rsidRPr="00255EC0">
        <w:t>the International Mining and Resources Conference</w:t>
      </w:r>
      <w:r w:rsidR="0012450F">
        <w:t xml:space="preserve"> </w:t>
      </w:r>
      <w:r w:rsidRPr="00255EC0">
        <w:t>in Melbourne in October 2019. The conference was held for the sixth time, promoting new opportunities for investment in the state’s earth resources and</w:t>
      </w:r>
      <w:r w:rsidR="0012450F">
        <w:t xml:space="preserve"> </w:t>
      </w:r>
      <w:r w:rsidRPr="00255EC0">
        <w:t xml:space="preserve">the broader mining equipment, </w:t>
      </w:r>
      <w:proofErr w:type="gramStart"/>
      <w:r w:rsidRPr="00255EC0">
        <w:t>technology</w:t>
      </w:r>
      <w:proofErr w:type="gramEnd"/>
      <w:r w:rsidR="0012450F">
        <w:t xml:space="preserve"> </w:t>
      </w:r>
      <w:r w:rsidRPr="00255EC0">
        <w:t>and services sector.</w:t>
      </w:r>
    </w:p>
    <w:p w14:paraId="74485F2C" w14:textId="133F4F2C" w:rsidR="00255EC0" w:rsidRPr="00255EC0" w:rsidRDefault="00255EC0" w:rsidP="0012450F">
      <w:pPr>
        <w:pStyle w:val="Body"/>
        <w:rPr>
          <w:spacing w:val="2"/>
        </w:rPr>
      </w:pPr>
      <w:r w:rsidRPr="00255EC0">
        <w:t>The Minister for Resources launched the new</w:t>
      </w:r>
      <w:r w:rsidR="0012450F">
        <w:t xml:space="preserve"> </w:t>
      </w:r>
      <w:r w:rsidRPr="00255EC0">
        <w:t>Regional Innovation Accelerator program</w:t>
      </w:r>
      <w:r w:rsidR="0012450F">
        <w:t xml:space="preserve"> </w:t>
      </w:r>
      <w:r w:rsidRPr="00255EC0">
        <w:t>in Bendigo in October 2019. The four-year program</w:t>
      </w:r>
      <w:r w:rsidR="0012450F">
        <w:t xml:space="preserve"> </w:t>
      </w:r>
      <w:r w:rsidRPr="00255EC0">
        <w:t>is focused on driving innovation and investment</w:t>
      </w:r>
      <w:r w:rsidR="0012450F">
        <w:t xml:space="preserve"> </w:t>
      </w:r>
      <w:r w:rsidRPr="00255EC0">
        <w:t>for local businesses in the Mining Equipment,</w:t>
      </w:r>
      <w:r w:rsidR="0012450F">
        <w:t xml:space="preserve"> </w:t>
      </w:r>
      <w:r w:rsidRPr="00255EC0">
        <w:t>Technology and Services (METS) sector. The METS</w:t>
      </w:r>
      <w:r w:rsidR="0012450F">
        <w:t xml:space="preserve"> </w:t>
      </w:r>
      <w:r w:rsidRPr="00255EC0">
        <w:t>sector contributed $13.6 billion to the Victorian</w:t>
      </w:r>
      <w:r w:rsidR="0012450F">
        <w:t xml:space="preserve"> </w:t>
      </w:r>
      <w:r w:rsidRPr="00255EC0">
        <w:t>economy in 2016–17.</w:t>
      </w:r>
    </w:p>
    <w:p w14:paraId="17780469" w14:textId="17CC77BE" w:rsidR="00255EC0" w:rsidRPr="00255EC0" w:rsidRDefault="00255EC0" w:rsidP="0012450F">
      <w:pPr>
        <w:pStyle w:val="Body"/>
      </w:pPr>
      <w:r w:rsidRPr="00255EC0">
        <w:lastRenderedPageBreak/>
        <w:t>In May 2020, the Minister for Resources announced the roll-out of a new program to help the METS sector. The METS Regional Innovation Accelerator online program is designed to help regionally based METS businesses engage with local mining companies, fast-track product innovation and promote their services. The 2020 winter program consists of weekly online seminars over a period</w:t>
      </w:r>
      <w:r w:rsidR="0012450F">
        <w:t xml:space="preserve"> </w:t>
      </w:r>
      <w:r w:rsidRPr="00255EC0">
        <w:t>of eight weeks.</w:t>
      </w:r>
    </w:p>
    <w:p w14:paraId="38BFADCF" w14:textId="77777777" w:rsidR="00255EC0" w:rsidRPr="00255EC0" w:rsidRDefault="00255EC0" w:rsidP="0012450F">
      <w:pPr>
        <w:pStyle w:val="Heading4"/>
      </w:pPr>
      <w:r w:rsidRPr="00255EC0">
        <w:t>Indicator: Level of production of minerals and extractives</w:t>
      </w:r>
    </w:p>
    <w:p w14:paraId="2C7BB0B2" w14:textId="77777777" w:rsidR="00255EC0" w:rsidRPr="00255EC0" w:rsidRDefault="00255EC0" w:rsidP="0012450F">
      <w:pPr>
        <w:pStyle w:val="Heading5"/>
      </w:pPr>
      <w:r w:rsidRPr="00255EC0">
        <w:t>Table 27: Level of production of minerals and extractives</w:t>
      </w:r>
    </w:p>
    <w:tbl>
      <w:tblPr>
        <w:tblStyle w:val="TableGrid"/>
        <w:tblW w:w="9638" w:type="dxa"/>
        <w:tblLayout w:type="fixed"/>
        <w:tblLook w:val="0020" w:firstRow="1" w:lastRow="0" w:firstColumn="0" w:lastColumn="0" w:noHBand="0" w:noVBand="0"/>
      </w:tblPr>
      <w:tblGrid>
        <w:gridCol w:w="4195"/>
        <w:gridCol w:w="1293"/>
        <w:gridCol w:w="1293"/>
        <w:gridCol w:w="1294"/>
        <w:gridCol w:w="1563"/>
      </w:tblGrid>
      <w:tr w:rsidR="00255EC0" w:rsidRPr="0012450F" w14:paraId="00B09217" w14:textId="77777777" w:rsidTr="00E8460A">
        <w:trPr>
          <w:trHeight w:val="113"/>
        </w:trPr>
        <w:tc>
          <w:tcPr>
            <w:tcW w:w="4195" w:type="dxa"/>
          </w:tcPr>
          <w:p w14:paraId="203675FB" w14:textId="77777777" w:rsidR="00255EC0" w:rsidRPr="0012450F" w:rsidRDefault="00255EC0" w:rsidP="0012450F">
            <w:pPr>
              <w:pStyle w:val="TableColumnheading"/>
              <w:spacing w:before="40" w:after="40"/>
              <w:rPr>
                <w:sz w:val="20"/>
                <w:szCs w:val="18"/>
              </w:rPr>
            </w:pPr>
            <w:r w:rsidRPr="0012450F">
              <w:rPr>
                <w:sz w:val="20"/>
                <w:szCs w:val="18"/>
              </w:rPr>
              <w:t>Measure (unit of measure)</w:t>
            </w:r>
          </w:p>
        </w:tc>
        <w:tc>
          <w:tcPr>
            <w:tcW w:w="1293" w:type="dxa"/>
          </w:tcPr>
          <w:p w14:paraId="6458E570" w14:textId="77777777" w:rsidR="00255EC0" w:rsidRPr="0012450F" w:rsidRDefault="00255EC0" w:rsidP="0012450F">
            <w:pPr>
              <w:pStyle w:val="TableColumnheading"/>
              <w:spacing w:before="40" w:after="40"/>
              <w:jc w:val="right"/>
              <w:rPr>
                <w:sz w:val="20"/>
                <w:szCs w:val="18"/>
              </w:rPr>
            </w:pPr>
            <w:r w:rsidRPr="0012450F">
              <w:rPr>
                <w:sz w:val="20"/>
                <w:szCs w:val="18"/>
              </w:rPr>
              <w:t>2016–17</w:t>
            </w:r>
          </w:p>
        </w:tc>
        <w:tc>
          <w:tcPr>
            <w:tcW w:w="1293" w:type="dxa"/>
          </w:tcPr>
          <w:p w14:paraId="4166EFED" w14:textId="77777777" w:rsidR="00255EC0" w:rsidRPr="0012450F" w:rsidRDefault="00255EC0" w:rsidP="0012450F">
            <w:pPr>
              <w:pStyle w:val="TableColumnheading"/>
              <w:spacing w:before="40" w:after="40"/>
              <w:jc w:val="right"/>
              <w:rPr>
                <w:sz w:val="20"/>
                <w:szCs w:val="18"/>
              </w:rPr>
            </w:pPr>
            <w:r w:rsidRPr="0012450F">
              <w:rPr>
                <w:sz w:val="20"/>
                <w:szCs w:val="18"/>
              </w:rPr>
              <w:t>2017–18</w:t>
            </w:r>
          </w:p>
        </w:tc>
        <w:tc>
          <w:tcPr>
            <w:tcW w:w="1294" w:type="dxa"/>
          </w:tcPr>
          <w:p w14:paraId="250F22B4" w14:textId="77777777" w:rsidR="00255EC0" w:rsidRPr="0012450F" w:rsidRDefault="00255EC0" w:rsidP="0012450F">
            <w:pPr>
              <w:pStyle w:val="TableColumnheading"/>
              <w:spacing w:before="40" w:after="40"/>
              <w:jc w:val="right"/>
              <w:rPr>
                <w:sz w:val="20"/>
                <w:szCs w:val="18"/>
              </w:rPr>
            </w:pPr>
            <w:r w:rsidRPr="0012450F">
              <w:rPr>
                <w:sz w:val="20"/>
                <w:szCs w:val="18"/>
              </w:rPr>
              <w:t>2018–19</w:t>
            </w:r>
          </w:p>
        </w:tc>
        <w:tc>
          <w:tcPr>
            <w:tcW w:w="1563" w:type="dxa"/>
          </w:tcPr>
          <w:p w14:paraId="50B3116E" w14:textId="77777777" w:rsidR="00255EC0" w:rsidRPr="0012450F" w:rsidRDefault="00255EC0" w:rsidP="0012450F">
            <w:pPr>
              <w:pStyle w:val="TableColumnheading"/>
              <w:spacing w:before="40" w:after="40"/>
              <w:jc w:val="right"/>
              <w:rPr>
                <w:sz w:val="20"/>
                <w:szCs w:val="18"/>
              </w:rPr>
            </w:pPr>
            <w:r w:rsidRPr="0012450F">
              <w:rPr>
                <w:sz w:val="20"/>
                <w:szCs w:val="18"/>
              </w:rPr>
              <w:t>2019–20</w:t>
            </w:r>
          </w:p>
        </w:tc>
      </w:tr>
      <w:tr w:rsidR="00255EC0" w:rsidRPr="0012450F" w14:paraId="46A404D6" w14:textId="77777777" w:rsidTr="00E8460A">
        <w:trPr>
          <w:trHeight w:val="113"/>
        </w:trPr>
        <w:tc>
          <w:tcPr>
            <w:tcW w:w="4195" w:type="dxa"/>
          </w:tcPr>
          <w:p w14:paraId="10E129C4" w14:textId="77777777" w:rsidR="00255EC0" w:rsidRPr="0012450F" w:rsidRDefault="00255EC0" w:rsidP="0012450F">
            <w:pPr>
              <w:pStyle w:val="Tabletextnospace"/>
              <w:rPr>
                <w:sz w:val="20"/>
              </w:rPr>
            </w:pPr>
            <w:r w:rsidRPr="0012450F">
              <w:rPr>
                <w:sz w:val="20"/>
              </w:rPr>
              <w:t>Annual production of brown coal</w:t>
            </w:r>
            <w:r w:rsidRPr="0012450F">
              <w:rPr>
                <w:sz w:val="20"/>
              </w:rPr>
              <w:br/>
              <w:t>(1000 tonnes)</w:t>
            </w:r>
          </w:p>
        </w:tc>
        <w:tc>
          <w:tcPr>
            <w:tcW w:w="1293" w:type="dxa"/>
          </w:tcPr>
          <w:p w14:paraId="290BFA87" w14:textId="77777777" w:rsidR="00255EC0" w:rsidRPr="0012450F" w:rsidRDefault="00255EC0" w:rsidP="0012450F">
            <w:pPr>
              <w:pStyle w:val="Tabletextnospace"/>
              <w:jc w:val="right"/>
              <w:rPr>
                <w:sz w:val="20"/>
              </w:rPr>
            </w:pPr>
            <w:r w:rsidRPr="0012450F">
              <w:rPr>
                <w:sz w:val="20"/>
              </w:rPr>
              <w:t>56,095</w:t>
            </w:r>
          </w:p>
        </w:tc>
        <w:tc>
          <w:tcPr>
            <w:tcW w:w="1293" w:type="dxa"/>
          </w:tcPr>
          <w:p w14:paraId="4B96E678" w14:textId="77777777" w:rsidR="00255EC0" w:rsidRPr="0012450F" w:rsidRDefault="00255EC0" w:rsidP="0012450F">
            <w:pPr>
              <w:pStyle w:val="Tabletextnospace"/>
              <w:jc w:val="right"/>
              <w:rPr>
                <w:sz w:val="20"/>
              </w:rPr>
            </w:pPr>
            <w:r w:rsidRPr="0012450F">
              <w:rPr>
                <w:sz w:val="20"/>
              </w:rPr>
              <w:t>45,062</w:t>
            </w:r>
          </w:p>
        </w:tc>
        <w:tc>
          <w:tcPr>
            <w:tcW w:w="1294" w:type="dxa"/>
          </w:tcPr>
          <w:p w14:paraId="77146E7B" w14:textId="77777777" w:rsidR="00255EC0" w:rsidRPr="0012450F" w:rsidRDefault="00255EC0" w:rsidP="0012450F">
            <w:pPr>
              <w:pStyle w:val="Tabletextnospace"/>
              <w:jc w:val="right"/>
              <w:rPr>
                <w:sz w:val="20"/>
              </w:rPr>
            </w:pPr>
            <w:r w:rsidRPr="0012450F">
              <w:rPr>
                <w:sz w:val="20"/>
              </w:rPr>
              <w:t>42,256</w:t>
            </w:r>
          </w:p>
        </w:tc>
        <w:tc>
          <w:tcPr>
            <w:tcW w:w="1563" w:type="dxa"/>
          </w:tcPr>
          <w:p w14:paraId="65DF67F5" w14:textId="77777777" w:rsidR="00255EC0" w:rsidRPr="0012450F" w:rsidRDefault="00255EC0" w:rsidP="0012450F">
            <w:pPr>
              <w:pStyle w:val="Tabletextnospace"/>
              <w:jc w:val="right"/>
              <w:rPr>
                <w:sz w:val="20"/>
              </w:rPr>
            </w:pPr>
            <w:r w:rsidRPr="0012450F">
              <w:rPr>
                <w:sz w:val="20"/>
              </w:rPr>
              <w:t>Data available</w:t>
            </w:r>
            <w:r w:rsidRPr="0012450F">
              <w:rPr>
                <w:sz w:val="20"/>
              </w:rPr>
              <w:br/>
              <w:t>October 2020</w:t>
            </w:r>
          </w:p>
        </w:tc>
      </w:tr>
      <w:tr w:rsidR="00255EC0" w:rsidRPr="0012450F" w14:paraId="776832DF" w14:textId="77777777" w:rsidTr="00E8460A">
        <w:trPr>
          <w:trHeight w:val="113"/>
        </w:trPr>
        <w:tc>
          <w:tcPr>
            <w:tcW w:w="4195" w:type="dxa"/>
          </w:tcPr>
          <w:p w14:paraId="1D5A4FA0" w14:textId="77777777" w:rsidR="00255EC0" w:rsidRPr="0012450F" w:rsidRDefault="00255EC0" w:rsidP="0012450F">
            <w:pPr>
              <w:pStyle w:val="Tabletextnospace"/>
              <w:rPr>
                <w:sz w:val="20"/>
              </w:rPr>
            </w:pPr>
            <w:r w:rsidRPr="0012450F">
              <w:rPr>
                <w:sz w:val="20"/>
              </w:rPr>
              <w:t>Annual production of gold</w:t>
            </w:r>
            <w:r w:rsidRPr="0012450F">
              <w:rPr>
                <w:sz w:val="20"/>
              </w:rPr>
              <w:br/>
              <w:t>(ounces)</w:t>
            </w:r>
          </w:p>
        </w:tc>
        <w:tc>
          <w:tcPr>
            <w:tcW w:w="1293" w:type="dxa"/>
          </w:tcPr>
          <w:p w14:paraId="2CAD6459" w14:textId="77777777" w:rsidR="00255EC0" w:rsidRPr="0012450F" w:rsidRDefault="00255EC0" w:rsidP="0012450F">
            <w:pPr>
              <w:pStyle w:val="Tabletextnospace"/>
              <w:jc w:val="right"/>
              <w:rPr>
                <w:sz w:val="20"/>
              </w:rPr>
            </w:pPr>
            <w:r w:rsidRPr="0012450F">
              <w:rPr>
                <w:sz w:val="20"/>
              </w:rPr>
              <w:t>312,229</w:t>
            </w:r>
          </w:p>
        </w:tc>
        <w:tc>
          <w:tcPr>
            <w:tcW w:w="1293" w:type="dxa"/>
          </w:tcPr>
          <w:p w14:paraId="12EF7F27" w14:textId="77777777" w:rsidR="00255EC0" w:rsidRPr="0012450F" w:rsidRDefault="00255EC0" w:rsidP="0012450F">
            <w:pPr>
              <w:pStyle w:val="Tabletextnospace"/>
              <w:jc w:val="right"/>
              <w:rPr>
                <w:sz w:val="20"/>
              </w:rPr>
            </w:pPr>
            <w:r w:rsidRPr="0012450F">
              <w:rPr>
                <w:sz w:val="20"/>
              </w:rPr>
              <w:t>364,225</w:t>
            </w:r>
          </w:p>
        </w:tc>
        <w:tc>
          <w:tcPr>
            <w:tcW w:w="1294" w:type="dxa"/>
          </w:tcPr>
          <w:p w14:paraId="08EDC653" w14:textId="77777777" w:rsidR="00255EC0" w:rsidRPr="0012450F" w:rsidRDefault="00255EC0" w:rsidP="0012450F">
            <w:pPr>
              <w:pStyle w:val="Tabletextnospace"/>
              <w:jc w:val="right"/>
              <w:rPr>
                <w:sz w:val="20"/>
              </w:rPr>
            </w:pPr>
            <w:r w:rsidRPr="0012450F">
              <w:rPr>
                <w:sz w:val="20"/>
              </w:rPr>
              <w:t>567,501</w:t>
            </w:r>
          </w:p>
        </w:tc>
        <w:tc>
          <w:tcPr>
            <w:tcW w:w="1563" w:type="dxa"/>
          </w:tcPr>
          <w:p w14:paraId="24DE18C0" w14:textId="77777777" w:rsidR="00255EC0" w:rsidRPr="0012450F" w:rsidRDefault="00255EC0" w:rsidP="0012450F">
            <w:pPr>
              <w:pStyle w:val="Tabletextnospace"/>
              <w:jc w:val="right"/>
              <w:rPr>
                <w:sz w:val="20"/>
              </w:rPr>
            </w:pPr>
            <w:r w:rsidRPr="0012450F">
              <w:rPr>
                <w:sz w:val="20"/>
              </w:rPr>
              <w:t>Data available</w:t>
            </w:r>
            <w:r w:rsidRPr="0012450F">
              <w:rPr>
                <w:sz w:val="20"/>
              </w:rPr>
              <w:br/>
              <w:t>October 2020</w:t>
            </w:r>
          </w:p>
        </w:tc>
      </w:tr>
      <w:tr w:rsidR="00255EC0" w:rsidRPr="0012450F" w14:paraId="5F35CA82" w14:textId="77777777" w:rsidTr="00E8460A">
        <w:trPr>
          <w:trHeight w:val="113"/>
        </w:trPr>
        <w:tc>
          <w:tcPr>
            <w:tcW w:w="4195" w:type="dxa"/>
          </w:tcPr>
          <w:p w14:paraId="73748CE5" w14:textId="77777777" w:rsidR="00255EC0" w:rsidRPr="0012450F" w:rsidRDefault="00255EC0" w:rsidP="0012450F">
            <w:pPr>
              <w:pStyle w:val="Tabletextnospace"/>
              <w:rPr>
                <w:sz w:val="20"/>
              </w:rPr>
            </w:pPr>
            <w:r w:rsidRPr="0012450F">
              <w:rPr>
                <w:sz w:val="20"/>
              </w:rPr>
              <w:t>Annual production of antimony</w:t>
            </w:r>
            <w:r w:rsidRPr="0012450F">
              <w:rPr>
                <w:sz w:val="20"/>
              </w:rPr>
              <w:br/>
              <w:t>(tonnes)</w:t>
            </w:r>
          </w:p>
        </w:tc>
        <w:tc>
          <w:tcPr>
            <w:tcW w:w="1293" w:type="dxa"/>
          </w:tcPr>
          <w:p w14:paraId="594E1F02" w14:textId="77777777" w:rsidR="00255EC0" w:rsidRPr="0012450F" w:rsidRDefault="00255EC0" w:rsidP="0012450F">
            <w:pPr>
              <w:pStyle w:val="Tabletextnospace"/>
              <w:jc w:val="right"/>
              <w:rPr>
                <w:sz w:val="20"/>
              </w:rPr>
            </w:pPr>
            <w:r w:rsidRPr="0012450F">
              <w:rPr>
                <w:sz w:val="20"/>
              </w:rPr>
              <w:t>5138</w:t>
            </w:r>
          </w:p>
        </w:tc>
        <w:tc>
          <w:tcPr>
            <w:tcW w:w="1293" w:type="dxa"/>
          </w:tcPr>
          <w:p w14:paraId="25086645" w14:textId="77777777" w:rsidR="00255EC0" w:rsidRPr="0012450F" w:rsidRDefault="00255EC0" w:rsidP="0012450F">
            <w:pPr>
              <w:pStyle w:val="Tabletextnospace"/>
              <w:jc w:val="right"/>
              <w:rPr>
                <w:sz w:val="20"/>
              </w:rPr>
            </w:pPr>
            <w:r w:rsidRPr="0012450F">
              <w:rPr>
                <w:sz w:val="20"/>
              </w:rPr>
              <w:t>2570</w:t>
            </w:r>
          </w:p>
        </w:tc>
        <w:tc>
          <w:tcPr>
            <w:tcW w:w="1294" w:type="dxa"/>
          </w:tcPr>
          <w:p w14:paraId="4E48370A" w14:textId="77777777" w:rsidR="00255EC0" w:rsidRPr="0012450F" w:rsidRDefault="00255EC0" w:rsidP="0012450F">
            <w:pPr>
              <w:pStyle w:val="Tabletextnospace"/>
              <w:jc w:val="right"/>
              <w:rPr>
                <w:sz w:val="20"/>
              </w:rPr>
            </w:pPr>
            <w:r w:rsidRPr="0012450F">
              <w:rPr>
                <w:sz w:val="20"/>
              </w:rPr>
              <w:t>2016</w:t>
            </w:r>
          </w:p>
        </w:tc>
        <w:tc>
          <w:tcPr>
            <w:tcW w:w="1563" w:type="dxa"/>
          </w:tcPr>
          <w:p w14:paraId="43744988" w14:textId="77777777" w:rsidR="00255EC0" w:rsidRPr="0012450F" w:rsidRDefault="00255EC0" w:rsidP="0012450F">
            <w:pPr>
              <w:pStyle w:val="Tabletextnospace"/>
              <w:jc w:val="right"/>
              <w:rPr>
                <w:sz w:val="20"/>
              </w:rPr>
            </w:pPr>
            <w:r w:rsidRPr="0012450F">
              <w:rPr>
                <w:sz w:val="20"/>
              </w:rPr>
              <w:t>Data available</w:t>
            </w:r>
            <w:r w:rsidRPr="0012450F">
              <w:rPr>
                <w:sz w:val="20"/>
              </w:rPr>
              <w:br/>
              <w:t>October 2020</w:t>
            </w:r>
          </w:p>
        </w:tc>
      </w:tr>
      <w:tr w:rsidR="00255EC0" w:rsidRPr="0012450F" w14:paraId="05623D74" w14:textId="77777777" w:rsidTr="00E8460A">
        <w:trPr>
          <w:trHeight w:val="113"/>
        </w:trPr>
        <w:tc>
          <w:tcPr>
            <w:tcW w:w="4195" w:type="dxa"/>
          </w:tcPr>
          <w:p w14:paraId="2DA6D0D8" w14:textId="77777777" w:rsidR="00255EC0" w:rsidRPr="0012450F" w:rsidRDefault="00255EC0" w:rsidP="0012450F">
            <w:pPr>
              <w:pStyle w:val="Tabletextnospace"/>
              <w:rPr>
                <w:sz w:val="20"/>
              </w:rPr>
            </w:pPr>
            <w:r w:rsidRPr="0012450F">
              <w:rPr>
                <w:sz w:val="20"/>
              </w:rPr>
              <w:t>Annual production of mineral sands</w:t>
            </w:r>
            <w:r w:rsidRPr="0012450F">
              <w:rPr>
                <w:sz w:val="20"/>
              </w:rPr>
              <w:br/>
              <w:t>(tonnes)</w:t>
            </w:r>
          </w:p>
        </w:tc>
        <w:tc>
          <w:tcPr>
            <w:tcW w:w="1293" w:type="dxa"/>
          </w:tcPr>
          <w:p w14:paraId="73A6AC5B" w14:textId="77777777" w:rsidR="00255EC0" w:rsidRPr="0012450F" w:rsidRDefault="00255EC0" w:rsidP="0012450F">
            <w:pPr>
              <w:pStyle w:val="Tabletextnospace"/>
              <w:jc w:val="right"/>
              <w:rPr>
                <w:sz w:val="20"/>
              </w:rPr>
            </w:pPr>
            <w:r w:rsidRPr="0012450F">
              <w:rPr>
                <w:sz w:val="20"/>
              </w:rPr>
              <w:t>164,353</w:t>
            </w:r>
          </w:p>
        </w:tc>
        <w:tc>
          <w:tcPr>
            <w:tcW w:w="1293" w:type="dxa"/>
          </w:tcPr>
          <w:p w14:paraId="5C2F209C" w14:textId="77777777" w:rsidR="00255EC0" w:rsidRPr="0012450F" w:rsidRDefault="00255EC0" w:rsidP="0012450F">
            <w:pPr>
              <w:pStyle w:val="Tabletextnospace"/>
              <w:jc w:val="right"/>
              <w:rPr>
                <w:sz w:val="20"/>
              </w:rPr>
            </w:pPr>
            <w:r w:rsidRPr="0012450F">
              <w:rPr>
                <w:sz w:val="20"/>
              </w:rPr>
              <w:t>100,286</w:t>
            </w:r>
          </w:p>
        </w:tc>
        <w:tc>
          <w:tcPr>
            <w:tcW w:w="1294" w:type="dxa"/>
          </w:tcPr>
          <w:p w14:paraId="1702DCC3" w14:textId="77777777" w:rsidR="00255EC0" w:rsidRPr="0012450F" w:rsidRDefault="00255EC0" w:rsidP="0012450F">
            <w:pPr>
              <w:pStyle w:val="Tabletextnospace"/>
              <w:jc w:val="right"/>
              <w:rPr>
                <w:sz w:val="20"/>
              </w:rPr>
            </w:pPr>
            <w:r w:rsidRPr="0012450F">
              <w:rPr>
                <w:sz w:val="20"/>
              </w:rPr>
              <w:t>0</w:t>
            </w:r>
          </w:p>
        </w:tc>
        <w:tc>
          <w:tcPr>
            <w:tcW w:w="1563" w:type="dxa"/>
          </w:tcPr>
          <w:p w14:paraId="63DBE161" w14:textId="77777777" w:rsidR="00255EC0" w:rsidRPr="0012450F" w:rsidRDefault="00255EC0" w:rsidP="0012450F">
            <w:pPr>
              <w:pStyle w:val="Tabletextnospace"/>
              <w:jc w:val="right"/>
              <w:rPr>
                <w:sz w:val="20"/>
              </w:rPr>
            </w:pPr>
            <w:r w:rsidRPr="0012450F">
              <w:rPr>
                <w:sz w:val="20"/>
              </w:rPr>
              <w:t>Data available</w:t>
            </w:r>
            <w:r w:rsidRPr="0012450F">
              <w:rPr>
                <w:sz w:val="20"/>
              </w:rPr>
              <w:br/>
              <w:t>October 2020</w:t>
            </w:r>
          </w:p>
        </w:tc>
      </w:tr>
      <w:tr w:rsidR="00255EC0" w:rsidRPr="0012450F" w14:paraId="7EA2A6BE" w14:textId="77777777" w:rsidTr="00E8460A">
        <w:trPr>
          <w:trHeight w:val="113"/>
        </w:trPr>
        <w:tc>
          <w:tcPr>
            <w:tcW w:w="4195" w:type="dxa"/>
          </w:tcPr>
          <w:p w14:paraId="24DC3E3E" w14:textId="77777777" w:rsidR="00255EC0" w:rsidRPr="0012450F" w:rsidRDefault="00255EC0" w:rsidP="0012450F">
            <w:pPr>
              <w:pStyle w:val="Tabletextnospace"/>
              <w:rPr>
                <w:sz w:val="20"/>
              </w:rPr>
            </w:pPr>
            <w:r w:rsidRPr="0012450F">
              <w:rPr>
                <w:sz w:val="20"/>
              </w:rPr>
              <w:t>Annual production of extractives</w:t>
            </w:r>
            <w:r w:rsidRPr="0012450F">
              <w:rPr>
                <w:sz w:val="20"/>
              </w:rPr>
              <w:br/>
              <w:t>(million tonnes)</w:t>
            </w:r>
          </w:p>
        </w:tc>
        <w:tc>
          <w:tcPr>
            <w:tcW w:w="1293" w:type="dxa"/>
          </w:tcPr>
          <w:p w14:paraId="304CA5B8" w14:textId="77777777" w:rsidR="00255EC0" w:rsidRPr="0012450F" w:rsidRDefault="00255EC0" w:rsidP="0012450F">
            <w:pPr>
              <w:pStyle w:val="Tabletextnospace"/>
              <w:jc w:val="right"/>
              <w:rPr>
                <w:sz w:val="20"/>
              </w:rPr>
            </w:pPr>
            <w:r w:rsidRPr="0012450F">
              <w:rPr>
                <w:sz w:val="20"/>
              </w:rPr>
              <w:t>57.4</w:t>
            </w:r>
          </w:p>
        </w:tc>
        <w:tc>
          <w:tcPr>
            <w:tcW w:w="1293" w:type="dxa"/>
          </w:tcPr>
          <w:p w14:paraId="077E4B7B" w14:textId="77777777" w:rsidR="00255EC0" w:rsidRPr="0012450F" w:rsidRDefault="00255EC0" w:rsidP="0012450F">
            <w:pPr>
              <w:pStyle w:val="Tabletextnospace"/>
              <w:jc w:val="right"/>
              <w:rPr>
                <w:sz w:val="20"/>
              </w:rPr>
            </w:pPr>
            <w:r w:rsidRPr="0012450F">
              <w:rPr>
                <w:sz w:val="20"/>
              </w:rPr>
              <w:t>57.87</w:t>
            </w:r>
          </w:p>
        </w:tc>
        <w:tc>
          <w:tcPr>
            <w:tcW w:w="1294" w:type="dxa"/>
          </w:tcPr>
          <w:p w14:paraId="132253AD" w14:textId="77777777" w:rsidR="00255EC0" w:rsidRPr="0012450F" w:rsidRDefault="00255EC0" w:rsidP="0012450F">
            <w:pPr>
              <w:pStyle w:val="Tabletextnospace"/>
              <w:jc w:val="right"/>
              <w:rPr>
                <w:sz w:val="20"/>
              </w:rPr>
            </w:pPr>
            <w:r w:rsidRPr="0012450F">
              <w:rPr>
                <w:sz w:val="20"/>
              </w:rPr>
              <w:t>62.72</w:t>
            </w:r>
          </w:p>
        </w:tc>
        <w:tc>
          <w:tcPr>
            <w:tcW w:w="1563" w:type="dxa"/>
          </w:tcPr>
          <w:p w14:paraId="26F0CAD9" w14:textId="77777777" w:rsidR="00255EC0" w:rsidRPr="0012450F" w:rsidRDefault="00255EC0" w:rsidP="0012450F">
            <w:pPr>
              <w:pStyle w:val="Tabletextnospace"/>
              <w:jc w:val="right"/>
              <w:rPr>
                <w:sz w:val="20"/>
              </w:rPr>
            </w:pPr>
            <w:r w:rsidRPr="0012450F">
              <w:rPr>
                <w:sz w:val="20"/>
              </w:rPr>
              <w:t>Data available</w:t>
            </w:r>
            <w:r w:rsidRPr="0012450F">
              <w:rPr>
                <w:sz w:val="20"/>
              </w:rPr>
              <w:br/>
              <w:t>October 2020</w:t>
            </w:r>
          </w:p>
        </w:tc>
      </w:tr>
    </w:tbl>
    <w:p w14:paraId="7D05B1BF" w14:textId="77777777" w:rsidR="00255EC0" w:rsidRPr="00255EC0" w:rsidRDefault="00255EC0" w:rsidP="0012450F">
      <w:pPr>
        <w:pStyle w:val="Tablefootnote"/>
        <w:spacing w:before="40" w:after="240"/>
      </w:pPr>
      <w:r w:rsidRPr="00255EC0">
        <w:t>Source: Earth Resources Regulation 2018–19 Statistical Report</w:t>
      </w:r>
    </w:p>
    <w:p w14:paraId="5E80F8CD" w14:textId="77777777" w:rsidR="00255EC0" w:rsidRPr="00255EC0" w:rsidRDefault="00255EC0" w:rsidP="0012450F">
      <w:pPr>
        <w:pStyle w:val="Heading5"/>
      </w:pPr>
      <w:r w:rsidRPr="00255EC0">
        <w:t>Figure 24: Annual production of brown coal</w:t>
      </w:r>
    </w:p>
    <w:p w14:paraId="14D5B99A" w14:textId="0660E817" w:rsidR="00255EC0" w:rsidRPr="00255EC0" w:rsidRDefault="00012E27" w:rsidP="0012450F">
      <w:pPr>
        <w:pStyle w:val="Body"/>
      </w:pPr>
      <w:r>
        <w:rPr>
          <w:noProof/>
        </w:rPr>
        <w:drawing>
          <wp:inline distT="0" distB="0" distL="0" distR="0" wp14:anchorId="4EB47B2B" wp14:editId="7BEED1FC">
            <wp:extent cx="2057400" cy="1323975"/>
            <wp:effectExtent l="0" t="0" r="0" b="9525"/>
            <wp:docPr id="29" name="Graphic 29" descr="Figure 24: Annual production of brown co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Figure 24: Annual production of brown coal graph"/>
                    <pic:cNvPicPr/>
                  </pic:nvPicPr>
                  <pic:blipFill>
                    <a:blip r:embed="rId58">
                      <a:extLst>
                        <a:ext uri="{96DAC541-7B7A-43D3-8B79-37D633B846F1}">
                          <asvg:svgBlip xmlns:asvg="http://schemas.microsoft.com/office/drawing/2016/SVG/main" r:embed="rId59"/>
                        </a:ext>
                      </a:extLst>
                    </a:blip>
                    <a:stretch>
                      <a:fillRect/>
                    </a:stretch>
                  </pic:blipFill>
                  <pic:spPr>
                    <a:xfrm>
                      <a:off x="0" y="0"/>
                      <a:ext cx="2057400" cy="1323975"/>
                    </a:xfrm>
                    <a:prstGeom prst="rect">
                      <a:avLst/>
                    </a:prstGeom>
                  </pic:spPr>
                </pic:pic>
              </a:graphicData>
            </a:graphic>
          </wp:inline>
        </w:drawing>
      </w:r>
    </w:p>
    <w:p w14:paraId="7220B761" w14:textId="77777777" w:rsidR="00255EC0" w:rsidRPr="00255EC0" w:rsidRDefault="00255EC0" w:rsidP="0012450F">
      <w:pPr>
        <w:pStyle w:val="Heading5"/>
      </w:pPr>
      <w:r w:rsidRPr="00255EC0">
        <w:t>Figure 25: Annual production of gold</w:t>
      </w:r>
    </w:p>
    <w:p w14:paraId="6C27F886" w14:textId="6F211637" w:rsidR="00255EC0" w:rsidRPr="00255EC0" w:rsidRDefault="00012E27" w:rsidP="0012450F">
      <w:pPr>
        <w:pStyle w:val="Body"/>
      </w:pPr>
      <w:r>
        <w:rPr>
          <w:noProof/>
        </w:rPr>
        <w:drawing>
          <wp:inline distT="0" distB="0" distL="0" distR="0" wp14:anchorId="635E2268" wp14:editId="2CDA5A59">
            <wp:extent cx="2047875" cy="1371600"/>
            <wp:effectExtent l="0" t="0" r="0" b="0"/>
            <wp:docPr id="30" name="Graphic 30" descr="Figure 25: Annual production of gol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Figure 25: Annual production of gold graph"/>
                    <pic:cNvPicPr/>
                  </pic:nvPicPr>
                  <pic:blipFill>
                    <a:blip r:embed="rId60">
                      <a:extLst>
                        <a:ext uri="{96DAC541-7B7A-43D3-8B79-37D633B846F1}">
                          <asvg:svgBlip xmlns:asvg="http://schemas.microsoft.com/office/drawing/2016/SVG/main" r:embed="rId61"/>
                        </a:ext>
                      </a:extLst>
                    </a:blip>
                    <a:stretch>
                      <a:fillRect/>
                    </a:stretch>
                  </pic:blipFill>
                  <pic:spPr>
                    <a:xfrm>
                      <a:off x="0" y="0"/>
                      <a:ext cx="2047875" cy="1371600"/>
                    </a:xfrm>
                    <a:prstGeom prst="rect">
                      <a:avLst/>
                    </a:prstGeom>
                  </pic:spPr>
                </pic:pic>
              </a:graphicData>
            </a:graphic>
          </wp:inline>
        </w:drawing>
      </w:r>
    </w:p>
    <w:p w14:paraId="541AB20E" w14:textId="77777777" w:rsidR="00255EC0" w:rsidRPr="00255EC0" w:rsidRDefault="00255EC0" w:rsidP="0012450F">
      <w:pPr>
        <w:pStyle w:val="Heading5"/>
      </w:pPr>
      <w:r w:rsidRPr="00255EC0">
        <w:t>Figure 26: Annual production of antimony</w:t>
      </w:r>
    </w:p>
    <w:p w14:paraId="1F2DA971" w14:textId="66F42702" w:rsidR="00255EC0" w:rsidRPr="00255EC0" w:rsidRDefault="00012E27" w:rsidP="0012450F">
      <w:pPr>
        <w:pStyle w:val="Body"/>
      </w:pPr>
      <w:r>
        <w:rPr>
          <w:noProof/>
        </w:rPr>
        <w:drawing>
          <wp:inline distT="0" distB="0" distL="0" distR="0" wp14:anchorId="3F8961D3" wp14:editId="71982C2F">
            <wp:extent cx="2057400" cy="1323975"/>
            <wp:effectExtent l="0" t="0" r="0" b="9525"/>
            <wp:docPr id="31" name="Graphic 31" descr="Figure 26: Annual production of antimon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Figure 26: Annual production of antimony graph"/>
                    <pic:cNvPicPr/>
                  </pic:nvPicPr>
                  <pic:blipFill>
                    <a:blip r:embed="rId62">
                      <a:extLst>
                        <a:ext uri="{96DAC541-7B7A-43D3-8B79-37D633B846F1}">
                          <asvg:svgBlip xmlns:asvg="http://schemas.microsoft.com/office/drawing/2016/SVG/main" r:embed="rId63"/>
                        </a:ext>
                      </a:extLst>
                    </a:blip>
                    <a:stretch>
                      <a:fillRect/>
                    </a:stretch>
                  </pic:blipFill>
                  <pic:spPr>
                    <a:xfrm>
                      <a:off x="0" y="0"/>
                      <a:ext cx="2057400" cy="1323975"/>
                    </a:xfrm>
                    <a:prstGeom prst="rect">
                      <a:avLst/>
                    </a:prstGeom>
                  </pic:spPr>
                </pic:pic>
              </a:graphicData>
            </a:graphic>
          </wp:inline>
        </w:drawing>
      </w:r>
    </w:p>
    <w:p w14:paraId="35CA0C2C" w14:textId="77777777" w:rsidR="00255EC0" w:rsidRPr="00255EC0" w:rsidRDefault="00255EC0" w:rsidP="0012450F">
      <w:pPr>
        <w:pStyle w:val="Heading5"/>
      </w:pPr>
      <w:r w:rsidRPr="00255EC0">
        <w:lastRenderedPageBreak/>
        <w:t>Figure 27: Annual production of mineral sands</w:t>
      </w:r>
    </w:p>
    <w:p w14:paraId="2341CFB3" w14:textId="4750C110" w:rsidR="00255EC0" w:rsidRPr="00255EC0" w:rsidRDefault="00012E27" w:rsidP="0012450F">
      <w:pPr>
        <w:pStyle w:val="Body"/>
      </w:pPr>
      <w:r>
        <w:rPr>
          <w:noProof/>
        </w:rPr>
        <w:drawing>
          <wp:inline distT="0" distB="0" distL="0" distR="0" wp14:anchorId="000B51B7" wp14:editId="552D857B">
            <wp:extent cx="2047875" cy="1323975"/>
            <wp:effectExtent l="0" t="0" r="0" b="9525"/>
            <wp:docPr id="32" name="Graphic 32" descr="Figure 27: Annual production of mineral sand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Figure 27: Annual production of mineral sands graph"/>
                    <pic:cNvPicPr/>
                  </pic:nvPicPr>
                  <pic:blipFill>
                    <a:blip r:embed="rId64">
                      <a:extLst>
                        <a:ext uri="{96DAC541-7B7A-43D3-8B79-37D633B846F1}">
                          <asvg:svgBlip xmlns:asvg="http://schemas.microsoft.com/office/drawing/2016/SVG/main" r:embed="rId65"/>
                        </a:ext>
                      </a:extLst>
                    </a:blip>
                    <a:stretch>
                      <a:fillRect/>
                    </a:stretch>
                  </pic:blipFill>
                  <pic:spPr>
                    <a:xfrm>
                      <a:off x="0" y="0"/>
                      <a:ext cx="2047875" cy="1323975"/>
                    </a:xfrm>
                    <a:prstGeom prst="rect">
                      <a:avLst/>
                    </a:prstGeom>
                  </pic:spPr>
                </pic:pic>
              </a:graphicData>
            </a:graphic>
          </wp:inline>
        </w:drawing>
      </w:r>
    </w:p>
    <w:p w14:paraId="2EC9C618" w14:textId="77777777" w:rsidR="00255EC0" w:rsidRPr="00255EC0" w:rsidRDefault="00255EC0" w:rsidP="0012450F">
      <w:pPr>
        <w:pStyle w:val="Heading5"/>
      </w:pPr>
      <w:r w:rsidRPr="00255EC0">
        <w:t>Figure 28: Annual production of extractives</w:t>
      </w:r>
    </w:p>
    <w:p w14:paraId="0DC145D0" w14:textId="1042FD72" w:rsidR="00255EC0" w:rsidRPr="00255EC0" w:rsidRDefault="00012E27" w:rsidP="0012450F">
      <w:pPr>
        <w:pStyle w:val="Body"/>
      </w:pPr>
      <w:r>
        <w:rPr>
          <w:noProof/>
        </w:rPr>
        <w:drawing>
          <wp:inline distT="0" distB="0" distL="0" distR="0" wp14:anchorId="7501AB5E" wp14:editId="0D44E7F9">
            <wp:extent cx="2057400" cy="1371600"/>
            <wp:effectExtent l="0" t="0" r="0" b="0"/>
            <wp:docPr id="33" name="Graphic 33" descr="Figure 28: Annual production of extractiv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Figure 28: Annual production of extractives graph"/>
                    <pic:cNvPicPr/>
                  </pic:nvPicPr>
                  <pic:blipFill>
                    <a:blip r:embed="rId66">
                      <a:extLst>
                        <a:ext uri="{96DAC541-7B7A-43D3-8B79-37D633B846F1}">
                          <asvg:svgBlip xmlns:asvg="http://schemas.microsoft.com/office/drawing/2016/SVG/main" r:embed="rId67"/>
                        </a:ext>
                      </a:extLst>
                    </a:blip>
                    <a:stretch>
                      <a:fillRect/>
                    </a:stretch>
                  </pic:blipFill>
                  <pic:spPr>
                    <a:xfrm>
                      <a:off x="0" y="0"/>
                      <a:ext cx="2057400" cy="1371600"/>
                    </a:xfrm>
                    <a:prstGeom prst="rect">
                      <a:avLst/>
                    </a:prstGeom>
                  </pic:spPr>
                </pic:pic>
              </a:graphicData>
            </a:graphic>
          </wp:inline>
        </w:drawing>
      </w:r>
    </w:p>
    <w:p w14:paraId="7472452E" w14:textId="350B9FB5" w:rsidR="00255EC0" w:rsidRPr="00255EC0" w:rsidRDefault="00255EC0" w:rsidP="00012E27">
      <w:pPr>
        <w:pStyle w:val="Body"/>
      </w:pPr>
      <w:r w:rsidRPr="00255EC0">
        <w:t>Gold production in Victoria continues to grow</w:t>
      </w:r>
      <w:r w:rsidR="00012E27">
        <w:t xml:space="preserve"> </w:t>
      </w:r>
      <w:r w:rsidRPr="00255EC0">
        <w:t>with an increase of almost 56 per cent in 2018–19 compared to 2017–18. As highlighted above, this is being driven by successful exploration and growing reserve levels at the Fosterville gold mine in central Victoria (Kirkland, the mine operator, has reported</w:t>
      </w:r>
      <w:r w:rsidR="00012E27">
        <w:t xml:space="preserve"> </w:t>
      </w:r>
      <w:r w:rsidRPr="00255EC0">
        <w:t xml:space="preserve">an increase in production for the June 2020 half-year production of 17 per cent compared to the previous half-year period). Production of extractives (sand, </w:t>
      </w:r>
      <w:proofErr w:type="gramStart"/>
      <w:r w:rsidRPr="00255EC0">
        <w:t>stone</w:t>
      </w:r>
      <w:proofErr w:type="gramEnd"/>
      <w:r w:rsidRPr="00255EC0">
        <w:t xml:space="preserve"> and gravel) in 2018–19 was 62.72 million tonnes, representing an increase of eight per cent from 2016–17. Production of extractives is forecast to grow significantly over coming years to support Victoria’s significant infrastructure program covering major construction and transport initiatives. </w:t>
      </w:r>
    </w:p>
    <w:p w14:paraId="5ED4FE01" w14:textId="40BAC091" w:rsidR="00255EC0" w:rsidRPr="00255EC0" w:rsidRDefault="00255EC0" w:rsidP="00012E27">
      <w:pPr>
        <w:pStyle w:val="Body"/>
      </w:pPr>
      <w:r w:rsidRPr="00255EC0">
        <w:t>Brown coal production at 42.256 million tonnes</w:t>
      </w:r>
      <w:r w:rsidR="00012E27">
        <w:t xml:space="preserve"> </w:t>
      </w:r>
      <w:r w:rsidRPr="00255EC0">
        <w:t xml:space="preserve">in 2018–19 was six per cent lower than 2017–18 reflecting reduced production levels for the Loy Yang and </w:t>
      </w:r>
      <w:proofErr w:type="spellStart"/>
      <w:r w:rsidRPr="00255EC0">
        <w:t>Yallourn</w:t>
      </w:r>
      <w:proofErr w:type="spellEnd"/>
      <w:r w:rsidRPr="00255EC0">
        <w:t xml:space="preserve"> coal mines. The level of mineral sands production was nil, reflecting the completion of key projects in western Victoria. The potential for new mineral sands projects for the Murray and Gippsland Basins is significant. The Fingerboards Mineral Sands Project in the </w:t>
      </w:r>
      <w:proofErr w:type="spellStart"/>
      <w:r w:rsidRPr="00255EC0">
        <w:t>Glenaladale</w:t>
      </w:r>
      <w:proofErr w:type="spellEnd"/>
      <w:r w:rsidRPr="00255EC0">
        <w:t xml:space="preserve"> deposit, about 20km northwest of Bairnsdale in East Gippsland, Victoria, is currently progressing through the Environment Effects Statement process. The project has the potential to be a major producer of zircon, ilmenite, </w:t>
      </w:r>
      <w:proofErr w:type="gramStart"/>
      <w:r w:rsidRPr="00255EC0">
        <w:t>rutile</w:t>
      </w:r>
      <w:proofErr w:type="gramEnd"/>
      <w:r w:rsidRPr="00255EC0">
        <w:t xml:space="preserve"> and rare earths. This project may create 200 direct jobs over the 15 to 20-year life of the project.</w:t>
      </w:r>
    </w:p>
    <w:p w14:paraId="2C2155CA" w14:textId="77777777" w:rsidR="00255EC0" w:rsidRPr="00255EC0" w:rsidRDefault="00255EC0" w:rsidP="00012E27">
      <w:pPr>
        <w:pStyle w:val="Heading4"/>
      </w:pPr>
      <w:r w:rsidRPr="00255EC0">
        <w:t>Performance against output performance measures</w:t>
      </w:r>
    </w:p>
    <w:p w14:paraId="15E4EFAA" w14:textId="77777777" w:rsidR="00255EC0" w:rsidRPr="00255EC0" w:rsidRDefault="00255EC0" w:rsidP="00012E27">
      <w:pPr>
        <w:pStyle w:val="Body"/>
      </w:pPr>
      <w:r w:rsidRPr="00255EC0">
        <w:t xml:space="preserve">Table 28 represents performance against the Agriculture output. This output delivers services to the agriculture, </w:t>
      </w:r>
      <w:proofErr w:type="gramStart"/>
      <w:r w:rsidRPr="00255EC0">
        <w:t>food</w:t>
      </w:r>
      <w:proofErr w:type="gramEnd"/>
      <w:r w:rsidRPr="00255EC0">
        <w:t xml:space="preserve"> and fibre sectors to enhance productivity, connect the sector with international markets, create jobs, support growth and maintain effective biosecurity.</w:t>
      </w:r>
    </w:p>
    <w:p w14:paraId="0ACB18F7" w14:textId="0AE69F2E" w:rsidR="00255EC0" w:rsidRPr="00255EC0" w:rsidRDefault="00255EC0" w:rsidP="00012E27">
      <w:pPr>
        <w:pStyle w:val="Body"/>
      </w:pPr>
      <w:r w:rsidRPr="00255EC0">
        <w:t xml:space="preserve">This output delivers effective and efficient regulation, compliance, emergency management, biosecurity research and development, and diagnostic services to protect and enhance market access by addressing trade barriers and managing the risks of pests, </w:t>
      </w:r>
      <w:proofErr w:type="gramStart"/>
      <w:r w:rsidRPr="00255EC0">
        <w:t>diseases</w:t>
      </w:r>
      <w:proofErr w:type="gramEnd"/>
      <w:r w:rsidRPr="00255EC0">
        <w:t xml:space="preserve"> and chemical use. The department undertakes research and development to develop new technologies and practices and provides services to enhance</w:t>
      </w:r>
      <w:r w:rsidR="00012E27">
        <w:t xml:space="preserve"> </w:t>
      </w:r>
      <w:r w:rsidRPr="00255EC0">
        <w:t xml:space="preserve">their adoption to increase farm productivity and supply chain efficiencies. It provides policy advice and support to industries and businesses to innovate, manage economic and climatic volatility, natural </w:t>
      </w:r>
      <w:proofErr w:type="gramStart"/>
      <w:r w:rsidRPr="00255EC0">
        <w:t>disasters</w:t>
      </w:r>
      <w:proofErr w:type="gramEnd"/>
      <w:r w:rsidRPr="00255EC0">
        <w:t xml:space="preserve"> and biosecurity emergencies, and meet consumer and community expectations for food quality, food safety and animal welfare and environmental standards.</w:t>
      </w:r>
    </w:p>
    <w:p w14:paraId="2C8964CB" w14:textId="4ED03FBF" w:rsidR="00255EC0" w:rsidRPr="00255EC0" w:rsidRDefault="00255EC0" w:rsidP="00012E27">
      <w:pPr>
        <w:pStyle w:val="Body"/>
      </w:pPr>
      <w:r w:rsidRPr="00255EC0">
        <w:lastRenderedPageBreak/>
        <w:t>The output also creates the conditions to grow the natural resources economy by ensuring forestry</w:t>
      </w:r>
      <w:r w:rsidR="00012E27">
        <w:t xml:space="preserve"> </w:t>
      </w:r>
      <w:r w:rsidRPr="00255EC0">
        <w:t>and game resources are sustainably allocated and used for both recreational and commercial purposes.</w:t>
      </w:r>
    </w:p>
    <w:p w14:paraId="2DEC87E7" w14:textId="77777777" w:rsidR="00255EC0" w:rsidRPr="00255EC0" w:rsidRDefault="00255EC0" w:rsidP="00012E27">
      <w:pPr>
        <w:pStyle w:val="Heading5"/>
      </w:pPr>
      <w:r w:rsidRPr="00255EC0">
        <w:t>Table 28: Output – Agriculture</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845807" w14:paraId="404AA6DC" w14:textId="77777777" w:rsidTr="00E8460A">
        <w:trPr>
          <w:trHeight w:val="113"/>
          <w:tblHeader/>
        </w:trPr>
        <w:tc>
          <w:tcPr>
            <w:tcW w:w="4660" w:type="dxa"/>
          </w:tcPr>
          <w:p w14:paraId="66267FAF" w14:textId="77777777" w:rsidR="00255EC0" w:rsidRPr="00845807" w:rsidRDefault="00255EC0" w:rsidP="00845807">
            <w:pPr>
              <w:pStyle w:val="TableColumnheading"/>
              <w:spacing w:before="40" w:after="40"/>
              <w:rPr>
                <w:sz w:val="20"/>
                <w:szCs w:val="18"/>
              </w:rPr>
            </w:pPr>
            <w:r w:rsidRPr="00845807">
              <w:rPr>
                <w:sz w:val="20"/>
                <w:szCs w:val="18"/>
              </w:rPr>
              <w:t xml:space="preserve">Performance measures </w:t>
            </w:r>
          </w:p>
        </w:tc>
        <w:tc>
          <w:tcPr>
            <w:tcW w:w="964" w:type="dxa"/>
          </w:tcPr>
          <w:p w14:paraId="6DFD4373" w14:textId="77777777" w:rsidR="00255EC0" w:rsidRPr="00845807" w:rsidRDefault="00255EC0" w:rsidP="00367CD4">
            <w:pPr>
              <w:pStyle w:val="TableColumnheading"/>
              <w:spacing w:before="40" w:after="40"/>
              <w:jc w:val="right"/>
              <w:rPr>
                <w:sz w:val="20"/>
                <w:szCs w:val="18"/>
              </w:rPr>
            </w:pPr>
            <w:r w:rsidRPr="00845807">
              <w:rPr>
                <w:sz w:val="20"/>
                <w:szCs w:val="18"/>
              </w:rPr>
              <w:t>Unit of measure</w:t>
            </w:r>
          </w:p>
        </w:tc>
        <w:tc>
          <w:tcPr>
            <w:tcW w:w="964" w:type="dxa"/>
          </w:tcPr>
          <w:p w14:paraId="28117BAE" w14:textId="77777777" w:rsidR="00255EC0" w:rsidRPr="00845807" w:rsidRDefault="00255EC0" w:rsidP="00367CD4">
            <w:pPr>
              <w:pStyle w:val="TableColumnheading"/>
              <w:spacing w:before="40" w:after="40"/>
              <w:jc w:val="right"/>
              <w:rPr>
                <w:sz w:val="20"/>
                <w:szCs w:val="18"/>
              </w:rPr>
            </w:pPr>
            <w:r w:rsidRPr="00845807">
              <w:rPr>
                <w:sz w:val="20"/>
                <w:szCs w:val="18"/>
              </w:rPr>
              <w:t>2019–20 actual</w:t>
            </w:r>
          </w:p>
        </w:tc>
        <w:tc>
          <w:tcPr>
            <w:tcW w:w="963" w:type="dxa"/>
          </w:tcPr>
          <w:p w14:paraId="41C28113" w14:textId="77777777" w:rsidR="00255EC0" w:rsidRPr="00845807" w:rsidRDefault="00255EC0" w:rsidP="00367CD4">
            <w:pPr>
              <w:pStyle w:val="TableColumnheading"/>
              <w:spacing w:before="40" w:after="40"/>
              <w:jc w:val="right"/>
              <w:rPr>
                <w:sz w:val="20"/>
                <w:szCs w:val="18"/>
              </w:rPr>
            </w:pPr>
            <w:r w:rsidRPr="00845807">
              <w:rPr>
                <w:sz w:val="20"/>
                <w:szCs w:val="18"/>
              </w:rPr>
              <w:t>2019–20 target</w:t>
            </w:r>
          </w:p>
        </w:tc>
        <w:tc>
          <w:tcPr>
            <w:tcW w:w="1375" w:type="dxa"/>
          </w:tcPr>
          <w:p w14:paraId="5DDE9EF3" w14:textId="77777777" w:rsidR="00255EC0" w:rsidRPr="00845807" w:rsidRDefault="00255EC0" w:rsidP="00367CD4">
            <w:pPr>
              <w:pStyle w:val="TableColumnheading"/>
              <w:spacing w:before="40" w:after="40"/>
              <w:jc w:val="right"/>
              <w:rPr>
                <w:sz w:val="20"/>
                <w:szCs w:val="18"/>
              </w:rPr>
            </w:pPr>
            <w:r w:rsidRPr="00845807">
              <w:rPr>
                <w:sz w:val="20"/>
                <w:szCs w:val="18"/>
              </w:rPr>
              <w:t xml:space="preserve">Performance variation (%) </w:t>
            </w:r>
          </w:p>
        </w:tc>
        <w:tc>
          <w:tcPr>
            <w:tcW w:w="850" w:type="dxa"/>
          </w:tcPr>
          <w:p w14:paraId="4084C371" w14:textId="77777777" w:rsidR="00255EC0" w:rsidRPr="00845807" w:rsidRDefault="00255EC0" w:rsidP="00367CD4">
            <w:pPr>
              <w:pStyle w:val="TableColumnheading"/>
              <w:spacing w:before="40" w:after="40"/>
              <w:jc w:val="right"/>
              <w:rPr>
                <w:sz w:val="20"/>
                <w:szCs w:val="18"/>
              </w:rPr>
            </w:pPr>
            <w:r w:rsidRPr="00845807">
              <w:rPr>
                <w:sz w:val="20"/>
                <w:szCs w:val="18"/>
              </w:rPr>
              <w:t xml:space="preserve">Result </w:t>
            </w:r>
          </w:p>
        </w:tc>
      </w:tr>
      <w:tr w:rsidR="00255EC0" w:rsidRPr="00845807" w14:paraId="3727E2B9" w14:textId="77777777" w:rsidTr="00E8460A">
        <w:trPr>
          <w:trHeight w:val="113"/>
        </w:trPr>
        <w:tc>
          <w:tcPr>
            <w:tcW w:w="9776" w:type="dxa"/>
            <w:gridSpan w:val="6"/>
          </w:tcPr>
          <w:p w14:paraId="0AF0137A" w14:textId="77777777" w:rsidR="00255EC0" w:rsidRPr="00845807" w:rsidRDefault="00255EC0" w:rsidP="00012E27">
            <w:pPr>
              <w:pStyle w:val="Tabletextnospace"/>
              <w:rPr>
                <w:sz w:val="20"/>
                <w:szCs w:val="20"/>
              </w:rPr>
            </w:pPr>
            <w:r w:rsidRPr="00845807">
              <w:rPr>
                <w:b/>
                <w:bCs/>
                <w:sz w:val="20"/>
                <w:szCs w:val="20"/>
              </w:rPr>
              <w:t>Agriculture Industry Development and Regulation</w:t>
            </w:r>
            <w:r w:rsidRPr="00845807">
              <w:rPr>
                <w:sz w:val="20"/>
                <w:szCs w:val="20"/>
              </w:rPr>
              <w:br/>
              <w:t>This sub-output supports a more productive, competitive, sustainable and jobs-rich food and fibre sector by delivering policy advice, regulation and support to meet consumer and community expectations for agriculture industry development, pets and animal welfare, regulatory policies and frameworks.</w:t>
            </w:r>
          </w:p>
        </w:tc>
      </w:tr>
      <w:tr w:rsidR="00845807" w:rsidRPr="00845807" w14:paraId="76230F37" w14:textId="77777777" w:rsidTr="00E8460A">
        <w:trPr>
          <w:trHeight w:val="113"/>
        </w:trPr>
        <w:tc>
          <w:tcPr>
            <w:tcW w:w="9776" w:type="dxa"/>
            <w:gridSpan w:val="6"/>
          </w:tcPr>
          <w:p w14:paraId="5FE52E03" w14:textId="7DAD3DEC" w:rsidR="00845807" w:rsidRPr="00845807" w:rsidRDefault="00845807" w:rsidP="00012E27">
            <w:pPr>
              <w:pStyle w:val="Tabletextnospace"/>
              <w:rPr>
                <w:rFonts w:ascii="VIC Italic" w:hAnsi="VIC Italic"/>
                <w:b/>
                <w:bCs/>
                <w:sz w:val="20"/>
                <w:szCs w:val="20"/>
              </w:rPr>
            </w:pPr>
            <w:r w:rsidRPr="00845807">
              <w:rPr>
                <w:b/>
                <w:bCs/>
                <w:sz w:val="20"/>
                <w:szCs w:val="20"/>
              </w:rPr>
              <w:t>Quantity</w:t>
            </w:r>
          </w:p>
        </w:tc>
      </w:tr>
      <w:tr w:rsidR="00255EC0" w:rsidRPr="00845807" w14:paraId="1B26CA8A" w14:textId="77777777" w:rsidTr="00E8460A">
        <w:trPr>
          <w:trHeight w:val="113"/>
        </w:trPr>
        <w:tc>
          <w:tcPr>
            <w:tcW w:w="4660" w:type="dxa"/>
          </w:tcPr>
          <w:p w14:paraId="3A0BA0ED" w14:textId="77777777" w:rsidR="00255EC0" w:rsidRPr="00845807" w:rsidRDefault="00255EC0" w:rsidP="00012E27">
            <w:pPr>
              <w:pStyle w:val="Tabletextnospace"/>
              <w:rPr>
                <w:sz w:val="20"/>
                <w:szCs w:val="20"/>
              </w:rPr>
            </w:pPr>
            <w:r w:rsidRPr="00845807">
              <w:rPr>
                <w:sz w:val="20"/>
                <w:szCs w:val="20"/>
              </w:rPr>
              <w:t>Farms and related small businesses facing significant adjustment pressures supported to make better-informed decisions by the Rural Financial Counselling Service</w:t>
            </w:r>
          </w:p>
        </w:tc>
        <w:tc>
          <w:tcPr>
            <w:tcW w:w="964" w:type="dxa"/>
          </w:tcPr>
          <w:p w14:paraId="6B2965F5"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2E395B3F" w14:textId="77777777" w:rsidR="00255EC0" w:rsidRPr="00845807" w:rsidRDefault="00255EC0" w:rsidP="00845807">
            <w:pPr>
              <w:pStyle w:val="Tabletextnospace"/>
              <w:jc w:val="right"/>
              <w:rPr>
                <w:sz w:val="20"/>
                <w:szCs w:val="20"/>
              </w:rPr>
            </w:pPr>
            <w:r w:rsidRPr="00845807">
              <w:rPr>
                <w:sz w:val="20"/>
                <w:szCs w:val="20"/>
              </w:rPr>
              <w:t>1900</w:t>
            </w:r>
          </w:p>
        </w:tc>
        <w:tc>
          <w:tcPr>
            <w:tcW w:w="963" w:type="dxa"/>
          </w:tcPr>
          <w:p w14:paraId="696E4172" w14:textId="77777777" w:rsidR="00255EC0" w:rsidRPr="00845807" w:rsidRDefault="00255EC0" w:rsidP="00845807">
            <w:pPr>
              <w:pStyle w:val="Tabletextnospace"/>
              <w:jc w:val="right"/>
              <w:rPr>
                <w:sz w:val="20"/>
                <w:szCs w:val="20"/>
              </w:rPr>
            </w:pPr>
            <w:r w:rsidRPr="00845807">
              <w:rPr>
                <w:sz w:val="20"/>
                <w:szCs w:val="20"/>
              </w:rPr>
              <w:t>1700</w:t>
            </w:r>
          </w:p>
        </w:tc>
        <w:tc>
          <w:tcPr>
            <w:tcW w:w="1375" w:type="dxa"/>
          </w:tcPr>
          <w:p w14:paraId="45D1B025" w14:textId="77777777" w:rsidR="00255EC0" w:rsidRPr="00845807" w:rsidRDefault="00255EC0" w:rsidP="00845807">
            <w:pPr>
              <w:pStyle w:val="Tabletextnospace"/>
              <w:jc w:val="right"/>
              <w:rPr>
                <w:sz w:val="20"/>
                <w:szCs w:val="20"/>
              </w:rPr>
            </w:pPr>
            <w:r w:rsidRPr="00845807">
              <w:rPr>
                <w:sz w:val="20"/>
                <w:szCs w:val="20"/>
              </w:rPr>
              <w:t>11.8%</w:t>
            </w:r>
          </w:p>
        </w:tc>
        <w:tc>
          <w:tcPr>
            <w:tcW w:w="850" w:type="dxa"/>
          </w:tcPr>
          <w:p w14:paraId="185F4D57"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367CD4" w14:paraId="1768F084" w14:textId="77777777" w:rsidTr="00E8460A">
        <w:trPr>
          <w:trHeight w:val="113"/>
        </w:trPr>
        <w:tc>
          <w:tcPr>
            <w:tcW w:w="9776" w:type="dxa"/>
            <w:gridSpan w:val="6"/>
          </w:tcPr>
          <w:p w14:paraId="3A34D1FF" w14:textId="77777777" w:rsidR="00255EC0" w:rsidRPr="00367CD4" w:rsidRDefault="00255EC0" w:rsidP="00012E27">
            <w:pPr>
              <w:pStyle w:val="Tabletextnospace"/>
              <w:rPr>
                <w:i/>
                <w:iCs/>
                <w:sz w:val="18"/>
              </w:rPr>
            </w:pPr>
            <w:r w:rsidRPr="00367CD4">
              <w:rPr>
                <w:i/>
                <w:iCs/>
                <w:sz w:val="18"/>
              </w:rPr>
              <w:t xml:space="preserve">Higher result due to additional funding provided by both the Victorian and Commonwealth governments in response to increased demand for rural financial counselling support due to drought, </w:t>
            </w:r>
            <w:proofErr w:type="gramStart"/>
            <w:r w:rsidRPr="00367CD4">
              <w:rPr>
                <w:i/>
                <w:iCs/>
                <w:sz w:val="18"/>
              </w:rPr>
              <w:t>bushfires</w:t>
            </w:r>
            <w:proofErr w:type="gramEnd"/>
            <w:r w:rsidRPr="00367CD4">
              <w:rPr>
                <w:i/>
                <w:iCs/>
                <w:sz w:val="18"/>
              </w:rPr>
              <w:t xml:space="preserve"> and coronavirus (COVID-19).</w:t>
            </w:r>
          </w:p>
        </w:tc>
      </w:tr>
      <w:tr w:rsidR="00255EC0" w:rsidRPr="00845807" w14:paraId="392DC2B8" w14:textId="77777777" w:rsidTr="00E8460A">
        <w:trPr>
          <w:trHeight w:val="113"/>
        </w:trPr>
        <w:tc>
          <w:tcPr>
            <w:tcW w:w="4660" w:type="dxa"/>
          </w:tcPr>
          <w:p w14:paraId="2FDFB95E" w14:textId="77777777" w:rsidR="00255EC0" w:rsidRPr="00845807" w:rsidRDefault="00255EC0" w:rsidP="00012E27">
            <w:pPr>
              <w:pStyle w:val="Tabletextnospace"/>
              <w:rPr>
                <w:sz w:val="20"/>
                <w:szCs w:val="20"/>
              </w:rPr>
            </w:pPr>
            <w:r w:rsidRPr="00845807">
              <w:rPr>
                <w:sz w:val="20"/>
                <w:szCs w:val="20"/>
              </w:rPr>
              <w:t>Inspections or audits of scientific establishments undertaken to provide assurance of compliance with relevant industry standards for animal welfare</w:t>
            </w:r>
          </w:p>
        </w:tc>
        <w:tc>
          <w:tcPr>
            <w:tcW w:w="964" w:type="dxa"/>
          </w:tcPr>
          <w:p w14:paraId="34D71494"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3A3D4BE8" w14:textId="77777777" w:rsidR="00255EC0" w:rsidRPr="00845807" w:rsidRDefault="00255EC0" w:rsidP="00845807">
            <w:pPr>
              <w:pStyle w:val="Tabletextnospace"/>
              <w:jc w:val="right"/>
              <w:rPr>
                <w:sz w:val="20"/>
                <w:szCs w:val="20"/>
              </w:rPr>
            </w:pPr>
            <w:r w:rsidRPr="00845807">
              <w:rPr>
                <w:sz w:val="20"/>
                <w:szCs w:val="20"/>
              </w:rPr>
              <w:t>20</w:t>
            </w:r>
          </w:p>
        </w:tc>
        <w:tc>
          <w:tcPr>
            <w:tcW w:w="963" w:type="dxa"/>
          </w:tcPr>
          <w:p w14:paraId="5C95CA76" w14:textId="77777777" w:rsidR="00255EC0" w:rsidRPr="00845807" w:rsidRDefault="00255EC0" w:rsidP="00845807">
            <w:pPr>
              <w:pStyle w:val="Tabletextnospace"/>
              <w:jc w:val="right"/>
              <w:rPr>
                <w:sz w:val="20"/>
                <w:szCs w:val="20"/>
              </w:rPr>
            </w:pPr>
            <w:r w:rsidRPr="00845807">
              <w:rPr>
                <w:sz w:val="20"/>
                <w:szCs w:val="20"/>
              </w:rPr>
              <w:t>25</w:t>
            </w:r>
          </w:p>
        </w:tc>
        <w:tc>
          <w:tcPr>
            <w:tcW w:w="1375" w:type="dxa"/>
          </w:tcPr>
          <w:p w14:paraId="79850022" w14:textId="77777777" w:rsidR="00255EC0" w:rsidRPr="00845807" w:rsidRDefault="00255EC0" w:rsidP="00845807">
            <w:pPr>
              <w:pStyle w:val="Tabletextnospace"/>
              <w:jc w:val="right"/>
              <w:rPr>
                <w:sz w:val="20"/>
                <w:szCs w:val="20"/>
              </w:rPr>
            </w:pPr>
            <w:r w:rsidRPr="00845807">
              <w:rPr>
                <w:sz w:val="20"/>
                <w:szCs w:val="20"/>
              </w:rPr>
              <w:t>-20.0%</w:t>
            </w:r>
          </w:p>
        </w:tc>
        <w:tc>
          <w:tcPr>
            <w:tcW w:w="850" w:type="dxa"/>
          </w:tcPr>
          <w:p w14:paraId="7E630E6F"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n</w:t>
            </w:r>
          </w:p>
        </w:tc>
      </w:tr>
      <w:tr w:rsidR="00255EC0" w:rsidRPr="00367CD4" w14:paraId="611A3ADE" w14:textId="77777777" w:rsidTr="00E8460A">
        <w:trPr>
          <w:trHeight w:val="113"/>
        </w:trPr>
        <w:tc>
          <w:tcPr>
            <w:tcW w:w="9776" w:type="dxa"/>
            <w:gridSpan w:val="6"/>
          </w:tcPr>
          <w:p w14:paraId="2B93D334" w14:textId="77777777" w:rsidR="00255EC0" w:rsidRPr="00367CD4" w:rsidRDefault="00255EC0" w:rsidP="00012E27">
            <w:pPr>
              <w:pStyle w:val="Tabletextnospace"/>
              <w:rPr>
                <w:i/>
                <w:iCs/>
                <w:sz w:val="18"/>
              </w:rPr>
            </w:pPr>
            <w:r w:rsidRPr="00367CD4">
              <w:rPr>
                <w:i/>
                <w:iCs/>
                <w:sz w:val="18"/>
              </w:rPr>
              <w:t>Lower result due to the impacts of coronavirus (COVID-19) reflecting the inability to undertake physical inspections and audits due to social distancing measures to minimise risks to DJPR or facility animal care staff. These are largely regulatory assessments of practices and processes and do not have a direct/immediate impact on animal welfare. Any animal welfare issues identified or reported will be handled through usual processes.</w:t>
            </w:r>
          </w:p>
        </w:tc>
      </w:tr>
      <w:tr w:rsidR="00255EC0" w:rsidRPr="00845807" w14:paraId="46301D0C" w14:textId="77777777" w:rsidTr="00E8460A">
        <w:trPr>
          <w:trHeight w:val="113"/>
        </w:trPr>
        <w:tc>
          <w:tcPr>
            <w:tcW w:w="4660" w:type="dxa"/>
          </w:tcPr>
          <w:p w14:paraId="465153B4" w14:textId="77777777" w:rsidR="00255EC0" w:rsidRPr="00845807" w:rsidRDefault="00255EC0" w:rsidP="00012E27">
            <w:pPr>
              <w:pStyle w:val="Tabletextnospace"/>
              <w:rPr>
                <w:sz w:val="20"/>
                <w:szCs w:val="20"/>
              </w:rPr>
            </w:pPr>
            <w:r w:rsidRPr="00845807">
              <w:rPr>
                <w:sz w:val="20"/>
                <w:szCs w:val="20"/>
              </w:rPr>
              <w:t>Number of workshops / mentoring programs</w:t>
            </w:r>
          </w:p>
        </w:tc>
        <w:tc>
          <w:tcPr>
            <w:tcW w:w="964" w:type="dxa"/>
          </w:tcPr>
          <w:p w14:paraId="3905004D"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0FE950A2" w14:textId="77777777" w:rsidR="00255EC0" w:rsidRPr="00845807" w:rsidRDefault="00255EC0" w:rsidP="00845807">
            <w:pPr>
              <w:pStyle w:val="Tabletextnospace"/>
              <w:jc w:val="right"/>
              <w:rPr>
                <w:sz w:val="20"/>
                <w:szCs w:val="20"/>
              </w:rPr>
            </w:pPr>
            <w:r w:rsidRPr="00845807">
              <w:rPr>
                <w:sz w:val="20"/>
                <w:szCs w:val="20"/>
              </w:rPr>
              <w:t>66</w:t>
            </w:r>
          </w:p>
        </w:tc>
        <w:tc>
          <w:tcPr>
            <w:tcW w:w="963" w:type="dxa"/>
          </w:tcPr>
          <w:p w14:paraId="04C71558" w14:textId="77777777" w:rsidR="00255EC0" w:rsidRPr="00845807" w:rsidRDefault="00255EC0" w:rsidP="00845807">
            <w:pPr>
              <w:pStyle w:val="Tabletextnospace"/>
              <w:jc w:val="right"/>
              <w:rPr>
                <w:sz w:val="20"/>
                <w:szCs w:val="20"/>
              </w:rPr>
            </w:pPr>
            <w:r w:rsidRPr="00845807">
              <w:rPr>
                <w:sz w:val="20"/>
                <w:szCs w:val="20"/>
              </w:rPr>
              <w:t>50</w:t>
            </w:r>
          </w:p>
        </w:tc>
        <w:tc>
          <w:tcPr>
            <w:tcW w:w="1375" w:type="dxa"/>
          </w:tcPr>
          <w:p w14:paraId="648A972D" w14:textId="77777777" w:rsidR="00255EC0" w:rsidRPr="00845807" w:rsidRDefault="00255EC0" w:rsidP="00845807">
            <w:pPr>
              <w:pStyle w:val="Tabletextnospace"/>
              <w:jc w:val="right"/>
              <w:rPr>
                <w:sz w:val="20"/>
                <w:szCs w:val="20"/>
              </w:rPr>
            </w:pPr>
            <w:r w:rsidRPr="00845807">
              <w:rPr>
                <w:sz w:val="20"/>
                <w:szCs w:val="20"/>
              </w:rPr>
              <w:t>32.0%</w:t>
            </w:r>
          </w:p>
        </w:tc>
        <w:tc>
          <w:tcPr>
            <w:tcW w:w="850" w:type="dxa"/>
          </w:tcPr>
          <w:p w14:paraId="33D67AC1"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367CD4" w14:paraId="6106A004" w14:textId="77777777" w:rsidTr="00E8460A">
        <w:trPr>
          <w:trHeight w:val="113"/>
        </w:trPr>
        <w:tc>
          <w:tcPr>
            <w:tcW w:w="9776" w:type="dxa"/>
            <w:gridSpan w:val="6"/>
          </w:tcPr>
          <w:p w14:paraId="3ED73485" w14:textId="77777777" w:rsidR="00255EC0" w:rsidRPr="00367CD4" w:rsidRDefault="00255EC0" w:rsidP="00012E27">
            <w:pPr>
              <w:pStyle w:val="Tabletextnospace"/>
              <w:rPr>
                <w:i/>
                <w:iCs/>
                <w:sz w:val="18"/>
              </w:rPr>
            </w:pPr>
            <w:r w:rsidRPr="00367CD4">
              <w:rPr>
                <w:i/>
                <w:iCs/>
                <w:sz w:val="18"/>
              </w:rPr>
              <w:t xml:space="preserve">Higher result due to the impacts of coronavirus (COVID-19) reflecting a change in the delivery mechanism and higher demand due to business challenges created by coronavirus (COVID-19) restrictions. Online workshops were more accessible for attendees resulting in more registrations than expected than under the preferred traditional face to face delivery model. </w:t>
            </w:r>
          </w:p>
        </w:tc>
      </w:tr>
      <w:tr w:rsidR="00255EC0" w:rsidRPr="00845807" w14:paraId="5AB13738" w14:textId="77777777" w:rsidTr="00E8460A">
        <w:trPr>
          <w:trHeight w:val="113"/>
        </w:trPr>
        <w:tc>
          <w:tcPr>
            <w:tcW w:w="4660" w:type="dxa"/>
          </w:tcPr>
          <w:p w14:paraId="5635A127" w14:textId="77777777" w:rsidR="00255EC0" w:rsidRPr="00845807" w:rsidRDefault="00255EC0" w:rsidP="00012E27">
            <w:pPr>
              <w:pStyle w:val="Tabletextnospace"/>
              <w:rPr>
                <w:sz w:val="20"/>
                <w:szCs w:val="20"/>
              </w:rPr>
            </w:pPr>
            <w:r w:rsidRPr="00845807">
              <w:rPr>
                <w:sz w:val="20"/>
                <w:szCs w:val="20"/>
              </w:rPr>
              <w:t>Scholarships awarded</w:t>
            </w:r>
          </w:p>
        </w:tc>
        <w:tc>
          <w:tcPr>
            <w:tcW w:w="964" w:type="dxa"/>
          </w:tcPr>
          <w:p w14:paraId="62743DFE"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207B1789" w14:textId="77777777" w:rsidR="00255EC0" w:rsidRPr="00845807" w:rsidRDefault="00255EC0" w:rsidP="00845807">
            <w:pPr>
              <w:pStyle w:val="Tabletextnospace"/>
              <w:jc w:val="right"/>
              <w:rPr>
                <w:sz w:val="20"/>
                <w:szCs w:val="20"/>
              </w:rPr>
            </w:pPr>
            <w:r w:rsidRPr="00845807">
              <w:rPr>
                <w:sz w:val="20"/>
                <w:szCs w:val="20"/>
              </w:rPr>
              <w:t>13</w:t>
            </w:r>
          </w:p>
        </w:tc>
        <w:tc>
          <w:tcPr>
            <w:tcW w:w="963" w:type="dxa"/>
          </w:tcPr>
          <w:p w14:paraId="2D42A994" w14:textId="77777777" w:rsidR="00255EC0" w:rsidRPr="00845807" w:rsidRDefault="00255EC0" w:rsidP="00845807">
            <w:pPr>
              <w:pStyle w:val="Tabletextnospace"/>
              <w:jc w:val="right"/>
              <w:rPr>
                <w:sz w:val="20"/>
                <w:szCs w:val="20"/>
              </w:rPr>
            </w:pPr>
            <w:r w:rsidRPr="00845807">
              <w:rPr>
                <w:sz w:val="20"/>
                <w:szCs w:val="20"/>
              </w:rPr>
              <w:t>12</w:t>
            </w:r>
          </w:p>
        </w:tc>
        <w:tc>
          <w:tcPr>
            <w:tcW w:w="1375" w:type="dxa"/>
          </w:tcPr>
          <w:p w14:paraId="71705F31" w14:textId="77777777" w:rsidR="00255EC0" w:rsidRPr="00845807" w:rsidRDefault="00255EC0" w:rsidP="00845807">
            <w:pPr>
              <w:pStyle w:val="Tabletextnospace"/>
              <w:jc w:val="right"/>
              <w:rPr>
                <w:sz w:val="20"/>
                <w:szCs w:val="20"/>
              </w:rPr>
            </w:pPr>
            <w:r w:rsidRPr="00845807">
              <w:rPr>
                <w:sz w:val="20"/>
                <w:szCs w:val="20"/>
              </w:rPr>
              <w:t>8.3%</w:t>
            </w:r>
          </w:p>
        </w:tc>
        <w:tc>
          <w:tcPr>
            <w:tcW w:w="850" w:type="dxa"/>
          </w:tcPr>
          <w:p w14:paraId="7F00BF20"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367CD4" w14:paraId="2D8208F4" w14:textId="77777777" w:rsidTr="00E8460A">
        <w:trPr>
          <w:trHeight w:val="113"/>
        </w:trPr>
        <w:tc>
          <w:tcPr>
            <w:tcW w:w="9776" w:type="dxa"/>
            <w:gridSpan w:val="6"/>
          </w:tcPr>
          <w:p w14:paraId="5BA03E47" w14:textId="77777777" w:rsidR="00255EC0" w:rsidRPr="00367CD4" w:rsidRDefault="00255EC0" w:rsidP="00012E27">
            <w:pPr>
              <w:pStyle w:val="Tabletextnospace"/>
              <w:rPr>
                <w:i/>
                <w:iCs/>
                <w:sz w:val="18"/>
              </w:rPr>
            </w:pPr>
            <w:r w:rsidRPr="00367CD4">
              <w:rPr>
                <w:i/>
                <w:iCs/>
                <w:sz w:val="18"/>
              </w:rPr>
              <w:t>Higher result due to additional budget reallocated to the program to support 13 recommended recipients for the 2019 Young Farmer Scholarships program.</w:t>
            </w:r>
          </w:p>
        </w:tc>
      </w:tr>
      <w:tr w:rsidR="00255EC0" w:rsidRPr="00845807" w14:paraId="078369AC" w14:textId="77777777" w:rsidTr="00E8460A">
        <w:trPr>
          <w:trHeight w:val="113"/>
        </w:trPr>
        <w:tc>
          <w:tcPr>
            <w:tcW w:w="4660" w:type="dxa"/>
          </w:tcPr>
          <w:p w14:paraId="709E4657" w14:textId="77777777" w:rsidR="00255EC0" w:rsidRPr="00845807" w:rsidRDefault="00255EC0" w:rsidP="00012E27">
            <w:pPr>
              <w:pStyle w:val="Tabletextnospace"/>
              <w:rPr>
                <w:sz w:val="20"/>
                <w:szCs w:val="20"/>
              </w:rPr>
            </w:pPr>
            <w:r w:rsidRPr="00845807">
              <w:rPr>
                <w:sz w:val="20"/>
                <w:szCs w:val="20"/>
              </w:rPr>
              <w:t>Strategic agriculture industry development</w:t>
            </w:r>
            <w:r w:rsidRPr="00845807">
              <w:rPr>
                <w:sz w:val="20"/>
                <w:szCs w:val="20"/>
              </w:rPr>
              <w:br/>
              <w:t>and regulatory policy briefings</w:t>
            </w:r>
          </w:p>
        </w:tc>
        <w:tc>
          <w:tcPr>
            <w:tcW w:w="964" w:type="dxa"/>
          </w:tcPr>
          <w:p w14:paraId="02FD5F4F"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4D3E1C29" w14:textId="77777777" w:rsidR="00255EC0" w:rsidRPr="00845807" w:rsidRDefault="00255EC0" w:rsidP="00845807">
            <w:pPr>
              <w:pStyle w:val="Tabletextnospace"/>
              <w:jc w:val="right"/>
              <w:rPr>
                <w:sz w:val="20"/>
                <w:szCs w:val="20"/>
              </w:rPr>
            </w:pPr>
            <w:r w:rsidRPr="00845807">
              <w:rPr>
                <w:sz w:val="20"/>
                <w:szCs w:val="20"/>
              </w:rPr>
              <w:t>8</w:t>
            </w:r>
          </w:p>
        </w:tc>
        <w:tc>
          <w:tcPr>
            <w:tcW w:w="963" w:type="dxa"/>
          </w:tcPr>
          <w:p w14:paraId="62CB2F28" w14:textId="77777777" w:rsidR="00255EC0" w:rsidRPr="00845807" w:rsidRDefault="00255EC0" w:rsidP="00845807">
            <w:pPr>
              <w:pStyle w:val="Tabletextnospace"/>
              <w:jc w:val="right"/>
              <w:rPr>
                <w:sz w:val="20"/>
                <w:szCs w:val="20"/>
              </w:rPr>
            </w:pPr>
            <w:r w:rsidRPr="00845807">
              <w:rPr>
                <w:sz w:val="20"/>
                <w:szCs w:val="20"/>
              </w:rPr>
              <w:t>8</w:t>
            </w:r>
          </w:p>
        </w:tc>
        <w:tc>
          <w:tcPr>
            <w:tcW w:w="1375" w:type="dxa"/>
          </w:tcPr>
          <w:p w14:paraId="27DCEF58"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61D6C654"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0BE04F77" w14:textId="77777777" w:rsidTr="00E8460A">
        <w:trPr>
          <w:trHeight w:val="113"/>
        </w:trPr>
        <w:tc>
          <w:tcPr>
            <w:tcW w:w="4660" w:type="dxa"/>
          </w:tcPr>
          <w:p w14:paraId="5779A733" w14:textId="77777777" w:rsidR="00255EC0" w:rsidRPr="00845807" w:rsidRDefault="00255EC0" w:rsidP="00012E27">
            <w:pPr>
              <w:pStyle w:val="Tabletextnospace"/>
              <w:rPr>
                <w:sz w:val="20"/>
                <w:szCs w:val="20"/>
              </w:rPr>
            </w:pPr>
            <w:r w:rsidRPr="00845807">
              <w:rPr>
                <w:sz w:val="20"/>
                <w:szCs w:val="20"/>
              </w:rPr>
              <w:t>Visits of the Responsible Pet Ownership program</w:t>
            </w:r>
            <w:r w:rsidRPr="00845807">
              <w:rPr>
                <w:sz w:val="20"/>
                <w:szCs w:val="20"/>
              </w:rPr>
              <w:br/>
              <w:t>to Victorian kindergartens and primary schools</w:t>
            </w:r>
          </w:p>
        </w:tc>
        <w:tc>
          <w:tcPr>
            <w:tcW w:w="964" w:type="dxa"/>
          </w:tcPr>
          <w:p w14:paraId="711046CF"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187979FF" w14:textId="77777777" w:rsidR="00255EC0" w:rsidRPr="00845807" w:rsidRDefault="00255EC0" w:rsidP="00845807">
            <w:pPr>
              <w:pStyle w:val="Tabletextnospace"/>
              <w:jc w:val="right"/>
              <w:rPr>
                <w:sz w:val="20"/>
                <w:szCs w:val="20"/>
              </w:rPr>
            </w:pPr>
            <w:r w:rsidRPr="00845807">
              <w:rPr>
                <w:sz w:val="20"/>
                <w:szCs w:val="20"/>
              </w:rPr>
              <w:t>1076</w:t>
            </w:r>
          </w:p>
        </w:tc>
        <w:tc>
          <w:tcPr>
            <w:tcW w:w="963" w:type="dxa"/>
          </w:tcPr>
          <w:p w14:paraId="0749FCCA" w14:textId="77777777" w:rsidR="00255EC0" w:rsidRPr="00845807" w:rsidRDefault="00255EC0" w:rsidP="00845807">
            <w:pPr>
              <w:pStyle w:val="Tabletextnospace"/>
              <w:jc w:val="right"/>
              <w:rPr>
                <w:sz w:val="20"/>
                <w:szCs w:val="20"/>
              </w:rPr>
            </w:pPr>
            <w:r w:rsidRPr="00845807">
              <w:rPr>
                <w:sz w:val="20"/>
                <w:szCs w:val="20"/>
              </w:rPr>
              <w:t>3100</w:t>
            </w:r>
          </w:p>
        </w:tc>
        <w:tc>
          <w:tcPr>
            <w:tcW w:w="1375" w:type="dxa"/>
          </w:tcPr>
          <w:p w14:paraId="3C7379FF" w14:textId="77777777" w:rsidR="00255EC0" w:rsidRPr="00845807" w:rsidRDefault="00255EC0" w:rsidP="00845807">
            <w:pPr>
              <w:pStyle w:val="Tabletextnospace"/>
              <w:jc w:val="right"/>
              <w:rPr>
                <w:sz w:val="20"/>
                <w:szCs w:val="20"/>
              </w:rPr>
            </w:pPr>
            <w:r w:rsidRPr="00845807">
              <w:rPr>
                <w:sz w:val="20"/>
                <w:szCs w:val="20"/>
              </w:rPr>
              <w:t>-65.3%</w:t>
            </w:r>
          </w:p>
        </w:tc>
        <w:tc>
          <w:tcPr>
            <w:tcW w:w="850" w:type="dxa"/>
          </w:tcPr>
          <w:p w14:paraId="351BF059"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n</w:t>
            </w:r>
          </w:p>
        </w:tc>
      </w:tr>
      <w:tr w:rsidR="00255EC0" w:rsidRPr="00367CD4" w14:paraId="5D7E4DCD" w14:textId="77777777" w:rsidTr="00E8460A">
        <w:trPr>
          <w:trHeight w:val="113"/>
        </w:trPr>
        <w:tc>
          <w:tcPr>
            <w:tcW w:w="9776" w:type="dxa"/>
            <w:gridSpan w:val="6"/>
          </w:tcPr>
          <w:p w14:paraId="3755467F" w14:textId="77777777" w:rsidR="00255EC0" w:rsidRPr="00367CD4" w:rsidRDefault="00255EC0" w:rsidP="00012E27">
            <w:pPr>
              <w:pStyle w:val="Tabletextnospace"/>
              <w:rPr>
                <w:i/>
                <w:iCs/>
                <w:sz w:val="18"/>
              </w:rPr>
            </w:pPr>
            <w:r w:rsidRPr="00367CD4">
              <w:rPr>
                <w:i/>
                <w:iCs/>
                <w:sz w:val="18"/>
              </w:rPr>
              <w:t>Lower result is due to the impact of coronavirus (COVID-19) and the program moving to online delivery.</w:t>
            </w:r>
          </w:p>
        </w:tc>
      </w:tr>
      <w:tr w:rsidR="00367CD4" w:rsidRPr="00845807" w14:paraId="06372C05" w14:textId="77777777" w:rsidTr="00E8460A">
        <w:trPr>
          <w:trHeight w:val="113"/>
        </w:trPr>
        <w:tc>
          <w:tcPr>
            <w:tcW w:w="9776" w:type="dxa"/>
            <w:gridSpan w:val="6"/>
          </w:tcPr>
          <w:p w14:paraId="41AC3341" w14:textId="1D3B81B3" w:rsidR="00367CD4" w:rsidRPr="00367CD4" w:rsidRDefault="00367CD4" w:rsidP="00012E27">
            <w:pPr>
              <w:pStyle w:val="Tabletextnospace"/>
              <w:rPr>
                <w:rFonts w:ascii="VIC Italic" w:hAnsi="VIC Italic"/>
                <w:b/>
                <w:bCs/>
                <w:sz w:val="20"/>
                <w:szCs w:val="20"/>
              </w:rPr>
            </w:pPr>
            <w:r w:rsidRPr="00367CD4">
              <w:rPr>
                <w:b/>
                <w:bCs/>
                <w:sz w:val="20"/>
                <w:szCs w:val="20"/>
              </w:rPr>
              <w:t>Quality</w:t>
            </w:r>
          </w:p>
        </w:tc>
      </w:tr>
      <w:tr w:rsidR="00255EC0" w:rsidRPr="00845807" w14:paraId="3EF39BF3" w14:textId="77777777" w:rsidTr="00E8460A">
        <w:trPr>
          <w:trHeight w:val="113"/>
        </w:trPr>
        <w:tc>
          <w:tcPr>
            <w:tcW w:w="4660" w:type="dxa"/>
          </w:tcPr>
          <w:p w14:paraId="0DA06268" w14:textId="77777777" w:rsidR="00255EC0" w:rsidRPr="00845807" w:rsidRDefault="00255EC0" w:rsidP="00012E27">
            <w:pPr>
              <w:pStyle w:val="Tabletextnospace"/>
              <w:rPr>
                <w:sz w:val="20"/>
                <w:szCs w:val="20"/>
              </w:rPr>
            </w:pPr>
            <w:r w:rsidRPr="00845807">
              <w:rPr>
                <w:sz w:val="20"/>
                <w:szCs w:val="20"/>
              </w:rPr>
              <w:t>Grant recipients who met or exceeded agreed outcomes</w:t>
            </w:r>
          </w:p>
        </w:tc>
        <w:tc>
          <w:tcPr>
            <w:tcW w:w="964" w:type="dxa"/>
          </w:tcPr>
          <w:p w14:paraId="5CEBF829"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639C2891" w14:textId="77777777" w:rsidR="00255EC0" w:rsidRPr="00845807" w:rsidRDefault="00255EC0" w:rsidP="00845807">
            <w:pPr>
              <w:pStyle w:val="Tabletextnospace"/>
              <w:jc w:val="right"/>
              <w:rPr>
                <w:sz w:val="20"/>
                <w:szCs w:val="20"/>
              </w:rPr>
            </w:pPr>
            <w:r w:rsidRPr="00845807">
              <w:rPr>
                <w:sz w:val="20"/>
                <w:szCs w:val="20"/>
              </w:rPr>
              <w:t>75</w:t>
            </w:r>
          </w:p>
        </w:tc>
        <w:tc>
          <w:tcPr>
            <w:tcW w:w="963" w:type="dxa"/>
          </w:tcPr>
          <w:p w14:paraId="78CD1D30" w14:textId="77777777" w:rsidR="00255EC0" w:rsidRPr="00845807" w:rsidRDefault="00255EC0" w:rsidP="00845807">
            <w:pPr>
              <w:pStyle w:val="Tabletextnospace"/>
              <w:jc w:val="right"/>
              <w:rPr>
                <w:sz w:val="20"/>
                <w:szCs w:val="20"/>
              </w:rPr>
            </w:pPr>
            <w:r w:rsidRPr="00845807">
              <w:rPr>
                <w:sz w:val="20"/>
                <w:szCs w:val="20"/>
              </w:rPr>
              <w:t>75</w:t>
            </w:r>
          </w:p>
        </w:tc>
        <w:tc>
          <w:tcPr>
            <w:tcW w:w="1375" w:type="dxa"/>
          </w:tcPr>
          <w:p w14:paraId="6FE5A475"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57E31D9B"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367CD4" w:rsidRPr="00845807" w14:paraId="17B666CC" w14:textId="77777777" w:rsidTr="00E8460A">
        <w:trPr>
          <w:trHeight w:val="113"/>
        </w:trPr>
        <w:tc>
          <w:tcPr>
            <w:tcW w:w="9776" w:type="dxa"/>
            <w:gridSpan w:val="6"/>
          </w:tcPr>
          <w:p w14:paraId="7CC11E5A" w14:textId="0C453FB4" w:rsidR="00367CD4" w:rsidRPr="00367CD4" w:rsidRDefault="00367CD4" w:rsidP="00367CD4">
            <w:pPr>
              <w:pStyle w:val="Tabletextnospace"/>
              <w:keepNext/>
              <w:rPr>
                <w:rFonts w:ascii="VIC Italic" w:hAnsi="VIC Italic"/>
                <w:b/>
                <w:bCs/>
                <w:sz w:val="20"/>
                <w:szCs w:val="20"/>
              </w:rPr>
            </w:pPr>
            <w:r w:rsidRPr="00367CD4">
              <w:rPr>
                <w:b/>
                <w:bCs/>
                <w:sz w:val="20"/>
                <w:szCs w:val="20"/>
              </w:rPr>
              <w:lastRenderedPageBreak/>
              <w:t>Timeliness</w:t>
            </w:r>
          </w:p>
        </w:tc>
      </w:tr>
      <w:tr w:rsidR="00255EC0" w:rsidRPr="00845807" w14:paraId="17AF246E" w14:textId="77777777" w:rsidTr="00E8460A">
        <w:trPr>
          <w:trHeight w:val="113"/>
        </w:trPr>
        <w:tc>
          <w:tcPr>
            <w:tcW w:w="4660" w:type="dxa"/>
          </w:tcPr>
          <w:p w14:paraId="4B925C93" w14:textId="77777777" w:rsidR="00255EC0" w:rsidRPr="00845807" w:rsidRDefault="00255EC0" w:rsidP="00367CD4">
            <w:pPr>
              <w:pStyle w:val="Tabletextnospace"/>
              <w:keepNext/>
              <w:rPr>
                <w:sz w:val="20"/>
                <w:szCs w:val="20"/>
              </w:rPr>
            </w:pPr>
            <w:r w:rsidRPr="00845807">
              <w:rPr>
                <w:sz w:val="20"/>
                <w:szCs w:val="20"/>
              </w:rPr>
              <w:t>Performance and grant agreements acquitted within timeframes specified in the funding agreement</w:t>
            </w:r>
          </w:p>
        </w:tc>
        <w:tc>
          <w:tcPr>
            <w:tcW w:w="964" w:type="dxa"/>
          </w:tcPr>
          <w:p w14:paraId="48F663A5" w14:textId="77777777" w:rsidR="00255EC0" w:rsidRPr="00845807" w:rsidRDefault="00255EC0" w:rsidP="00367CD4">
            <w:pPr>
              <w:pStyle w:val="Tabletextnospace"/>
              <w:keepNext/>
              <w:jc w:val="right"/>
              <w:rPr>
                <w:sz w:val="20"/>
                <w:szCs w:val="20"/>
              </w:rPr>
            </w:pPr>
            <w:r w:rsidRPr="00845807">
              <w:rPr>
                <w:sz w:val="20"/>
                <w:szCs w:val="20"/>
              </w:rPr>
              <w:t>per cent</w:t>
            </w:r>
          </w:p>
        </w:tc>
        <w:tc>
          <w:tcPr>
            <w:tcW w:w="964" w:type="dxa"/>
          </w:tcPr>
          <w:p w14:paraId="2F598E87" w14:textId="77777777" w:rsidR="00255EC0" w:rsidRPr="00845807" w:rsidRDefault="00255EC0" w:rsidP="00367CD4">
            <w:pPr>
              <w:pStyle w:val="Tabletextnospace"/>
              <w:keepNext/>
              <w:jc w:val="right"/>
              <w:rPr>
                <w:sz w:val="20"/>
                <w:szCs w:val="20"/>
              </w:rPr>
            </w:pPr>
            <w:r w:rsidRPr="00845807">
              <w:rPr>
                <w:sz w:val="20"/>
                <w:szCs w:val="20"/>
              </w:rPr>
              <w:t>90</w:t>
            </w:r>
          </w:p>
        </w:tc>
        <w:tc>
          <w:tcPr>
            <w:tcW w:w="963" w:type="dxa"/>
          </w:tcPr>
          <w:p w14:paraId="19BDA5DD" w14:textId="77777777" w:rsidR="00255EC0" w:rsidRPr="00845807" w:rsidRDefault="00255EC0" w:rsidP="00367CD4">
            <w:pPr>
              <w:pStyle w:val="Tabletextnospace"/>
              <w:keepNext/>
              <w:jc w:val="right"/>
              <w:rPr>
                <w:sz w:val="20"/>
                <w:szCs w:val="20"/>
              </w:rPr>
            </w:pPr>
            <w:r w:rsidRPr="00845807">
              <w:rPr>
                <w:sz w:val="20"/>
                <w:szCs w:val="20"/>
              </w:rPr>
              <w:t>90</w:t>
            </w:r>
          </w:p>
        </w:tc>
        <w:tc>
          <w:tcPr>
            <w:tcW w:w="1375" w:type="dxa"/>
          </w:tcPr>
          <w:p w14:paraId="1B90DA71" w14:textId="77777777" w:rsidR="00255EC0" w:rsidRPr="00845807" w:rsidRDefault="00255EC0" w:rsidP="00367CD4">
            <w:pPr>
              <w:pStyle w:val="Tabletextnospace"/>
              <w:keepNext/>
              <w:jc w:val="right"/>
              <w:rPr>
                <w:sz w:val="20"/>
                <w:szCs w:val="20"/>
              </w:rPr>
            </w:pPr>
            <w:r w:rsidRPr="00845807">
              <w:rPr>
                <w:sz w:val="20"/>
                <w:szCs w:val="20"/>
              </w:rPr>
              <w:t>0.0%</w:t>
            </w:r>
          </w:p>
        </w:tc>
        <w:tc>
          <w:tcPr>
            <w:tcW w:w="850" w:type="dxa"/>
          </w:tcPr>
          <w:p w14:paraId="1F18DBA6" w14:textId="77777777" w:rsidR="00255EC0" w:rsidRPr="00845807" w:rsidRDefault="00255EC0" w:rsidP="00367CD4">
            <w:pPr>
              <w:keepNext/>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367CD4" w:rsidRPr="00367CD4" w14:paraId="24ABE5E2" w14:textId="77777777" w:rsidTr="00E8460A">
        <w:trPr>
          <w:trHeight w:val="113"/>
        </w:trPr>
        <w:tc>
          <w:tcPr>
            <w:tcW w:w="9776" w:type="dxa"/>
            <w:gridSpan w:val="6"/>
          </w:tcPr>
          <w:p w14:paraId="4DE3511F" w14:textId="226C6D3C" w:rsidR="00367CD4" w:rsidRPr="00367CD4" w:rsidRDefault="00367CD4" w:rsidP="00012E27">
            <w:pPr>
              <w:pStyle w:val="Tabletextnospace"/>
              <w:rPr>
                <w:rFonts w:ascii="VIC Italic" w:hAnsi="VIC Italic"/>
                <w:b/>
                <w:bCs/>
                <w:sz w:val="20"/>
                <w:szCs w:val="20"/>
              </w:rPr>
            </w:pPr>
            <w:r w:rsidRPr="00367CD4">
              <w:rPr>
                <w:b/>
                <w:bCs/>
                <w:sz w:val="20"/>
                <w:szCs w:val="20"/>
              </w:rPr>
              <w:t>Cost</w:t>
            </w:r>
          </w:p>
        </w:tc>
      </w:tr>
      <w:tr w:rsidR="00255EC0" w:rsidRPr="00367CD4" w14:paraId="5B5F7FDC" w14:textId="77777777" w:rsidTr="00E8460A">
        <w:trPr>
          <w:trHeight w:val="113"/>
        </w:trPr>
        <w:tc>
          <w:tcPr>
            <w:tcW w:w="4660" w:type="dxa"/>
          </w:tcPr>
          <w:p w14:paraId="719EDDD9" w14:textId="77777777" w:rsidR="00255EC0" w:rsidRPr="00367CD4" w:rsidRDefault="00255EC0" w:rsidP="00012E27">
            <w:pPr>
              <w:pStyle w:val="Tabletextnospace"/>
              <w:rPr>
                <w:b/>
                <w:bCs/>
                <w:sz w:val="20"/>
                <w:szCs w:val="20"/>
              </w:rPr>
            </w:pPr>
            <w:r w:rsidRPr="00367CD4">
              <w:rPr>
                <w:b/>
                <w:bCs/>
                <w:sz w:val="20"/>
                <w:szCs w:val="20"/>
              </w:rPr>
              <w:t>Total output cost</w:t>
            </w:r>
          </w:p>
        </w:tc>
        <w:tc>
          <w:tcPr>
            <w:tcW w:w="964" w:type="dxa"/>
          </w:tcPr>
          <w:p w14:paraId="76B1CA5C" w14:textId="77777777" w:rsidR="00255EC0" w:rsidRPr="00367CD4" w:rsidRDefault="00255EC0" w:rsidP="00845807">
            <w:pPr>
              <w:pStyle w:val="Tabletextnospace"/>
              <w:jc w:val="right"/>
              <w:rPr>
                <w:b/>
                <w:bCs/>
                <w:sz w:val="20"/>
                <w:szCs w:val="20"/>
              </w:rPr>
            </w:pPr>
            <w:r w:rsidRPr="00367CD4">
              <w:rPr>
                <w:b/>
                <w:bCs/>
                <w:sz w:val="20"/>
                <w:szCs w:val="20"/>
              </w:rPr>
              <w:t>$ million</w:t>
            </w:r>
          </w:p>
        </w:tc>
        <w:tc>
          <w:tcPr>
            <w:tcW w:w="964" w:type="dxa"/>
          </w:tcPr>
          <w:p w14:paraId="1DAD276E" w14:textId="77777777" w:rsidR="00255EC0" w:rsidRPr="00367CD4" w:rsidRDefault="00255EC0" w:rsidP="00845807">
            <w:pPr>
              <w:pStyle w:val="Tabletextnospace"/>
              <w:jc w:val="right"/>
              <w:rPr>
                <w:b/>
                <w:bCs/>
                <w:sz w:val="20"/>
                <w:szCs w:val="20"/>
              </w:rPr>
            </w:pPr>
            <w:r w:rsidRPr="00367CD4">
              <w:rPr>
                <w:b/>
                <w:bCs/>
                <w:sz w:val="20"/>
                <w:szCs w:val="20"/>
              </w:rPr>
              <w:t>217.2</w:t>
            </w:r>
          </w:p>
        </w:tc>
        <w:tc>
          <w:tcPr>
            <w:tcW w:w="963" w:type="dxa"/>
          </w:tcPr>
          <w:p w14:paraId="16CE721E" w14:textId="77777777" w:rsidR="00255EC0" w:rsidRPr="00367CD4" w:rsidRDefault="00255EC0" w:rsidP="00845807">
            <w:pPr>
              <w:pStyle w:val="Tabletextnospace"/>
              <w:jc w:val="right"/>
              <w:rPr>
                <w:b/>
                <w:bCs/>
                <w:sz w:val="20"/>
                <w:szCs w:val="20"/>
              </w:rPr>
            </w:pPr>
            <w:r w:rsidRPr="00367CD4">
              <w:rPr>
                <w:b/>
                <w:bCs/>
                <w:sz w:val="20"/>
                <w:szCs w:val="20"/>
              </w:rPr>
              <w:t>171.5</w:t>
            </w:r>
          </w:p>
        </w:tc>
        <w:tc>
          <w:tcPr>
            <w:tcW w:w="1375" w:type="dxa"/>
          </w:tcPr>
          <w:p w14:paraId="08FCA37F" w14:textId="77777777" w:rsidR="00255EC0" w:rsidRPr="00367CD4" w:rsidRDefault="00255EC0" w:rsidP="00845807">
            <w:pPr>
              <w:pStyle w:val="Tabletextnospace"/>
              <w:jc w:val="right"/>
              <w:rPr>
                <w:b/>
                <w:bCs/>
                <w:sz w:val="20"/>
                <w:szCs w:val="20"/>
              </w:rPr>
            </w:pPr>
            <w:r w:rsidRPr="00367CD4">
              <w:rPr>
                <w:b/>
                <w:bCs/>
                <w:sz w:val="20"/>
                <w:szCs w:val="20"/>
              </w:rPr>
              <w:t>27.0%</w:t>
            </w:r>
          </w:p>
        </w:tc>
        <w:tc>
          <w:tcPr>
            <w:tcW w:w="850" w:type="dxa"/>
          </w:tcPr>
          <w:p w14:paraId="5F18F442" w14:textId="77777777" w:rsidR="00255EC0" w:rsidRPr="00367CD4" w:rsidRDefault="00255EC0" w:rsidP="00367CD4">
            <w:pPr>
              <w:pStyle w:val="Tabletextnospace"/>
              <w:jc w:val="right"/>
              <w:rPr>
                <w:rFonts w:ascii="VIC Light" w:hAnsi="VIC Light"/>
                <w:b/>
                <w:bCs/>
                <w:sz w:val="20"/>
                <w:szCs w:val="20"/>
              </w:rPr>
            </w:pPr>
            <w:r w:rsidRPr="00367CD4">
              <w:rPr>
                <w:rFonts w:ascii="Wingdings" w:hAnsi="Wingdings" w:cs="Wingdings"/>
                <w:b/>
                <w:bCs/>
                <w:position w:val="-2"/>
                <w:sz w:val="20"/>
                <w:szCs w:val="20"/>
              </w:rPr>
              <w:t>n</w:t>
            </w:r>
          </w:p>
        </w:tc>
      </w:tr>
      <w:tr w:rsidR="00255EC0" w:rsidRPr="00367CD4" w14:paraId="4B2A8521" w14:textId="77777777" w:rsidTr="00E8460A">
        <w:trPr>
          <w:trHeight w:val="113"/>
        </w:trPr>
        <w:tc>
          <w:tcPr>
            <w:tcW w:w="9776" w:type="dxa"/>
            <w:gridSpan w:val="6"/>
          </w:tcPr>
          <w:p w14:paraId="79B90CBC" w14:textId="77777777" w:rsidR="00255EC0" w:rsidRPr="00367CD4" w:rsidRDefault="00255EC0" w:rsidP="00012E27">
            <w:pPr>
              <w:pStyle w:val="Tabletextnospace"/>
              <w:rPr>
                <w:i/>
                <w:iCs/>
                <w:sz w:val="18"/>
              </w:rPr>
            </w:pPr>
            <w:r w:rsidRPr="00367CD4">
              <w:rPr>
                <w:i/>
                <w:iCs/>
                <w:sz w:val="18"/>
              </w:rPr>
              <w:t>The 2019–20 result was higher than budget primarily due to the accounting treatment of Royal Melbourne Showgrounds Redevelopment contractual obligations and additional funding for Drought Response.</w:t>
            </w:r>
          </w:p>
        </w:tc>
      </w:tr>
      <w:tr w:rsidR="00255EC0" w:rsidRPr="00845807" w14:paraId="36255C09" w14:textId="77777777" w:rsidTr="00E8460A">
        <w:trPr>
          <w:trHeight w:val="113"/>
        </w:trPr>
        <w:tc>
          <w:tcPr>
            <w:tcW w:w="9776" w:type="dxa"/>
            <w:gridSpan w:val="6"/>
          </w:tcPr>
          <w:p w14:paraId="39420E24" w14:textId="77777777" w:rsidR="00255EC0" w:rsidRPr="00845807" w:rsidRDefault="00255EC0" w:rsidP="00012E27">
            <w:pPr>
              <w:pStyle w:val="Tabletextnospace"/>
              <w:rPr>
                <w:sz w:val="20"/>
                <w:szCs w:val="20"/>
              </w:rPr>
            </w:pPr>
          </w:p>
        </w:tc>
      </w:tr>
      <w:tr w:rsidR="00255EC0" w:rsidRPr="00845807" w14:paraId="474C0400" w14:textId="77777777" w:rsidTr="00E8460A">
        <w:trPr>
          <w:trHeight w:val="113"/>
        </w:trPr>
        <w:tc>
          <w:tcPr>
            <w:tcW w:w="9776" w:type="dxa"/>
            <w:gridSpan w:val="6"/>
          </w:tcPr>
          <w:p w14:paraId="5248A0C2" w14:textId="77777777" w:rsidR="00255EC0" w:rsidRPr="00845807" w:rsidRDefault="00255EC0" w:rsidP="00012E27">
            <w:pPr>
              <w:pStyle w:val="Tabletextnospace"/>
              <w:rPr>
                <w:sz w:val="20"/>
                <w:szCs w:val="20"/>
              </w:rPr>
            </w:pPr>
            <w:r w:rsidRPr="00367CD4">
              <w:rPr>
                <w:b/>
                <w:bCs/>
                <w:sz w:val="20"/>
                <w:szCs w:val="20"/>
              </w:rPr>
              <w:t>Agriculture Research</w:t>
            </w:r>
            <w:r w:rsidRPr="00845807">
              <w:rPr>
                <w:sz w:val="20"/>
                <w:szCs w:val="20"/>
              </w:rPr>
              <w:br/>
              <w:t xml:space="preserve">This sub-output supports more productive, competitive, </w:t>
            </w:r>
            <w:proofErr w:type="gramStart"/>
            <w:r w:rsidRPr="00845807">
              <w:rPr>
                <w:sz w:val="20"/>
                <w:szCs w:val="20"/>
              </w:rPr>
              <w:t>sustainable</w:t>
            </w:r>
            <w:proofErr w:type="gramEnd"/>
            <w:r w:rsidRPr="00845807">
              <w:rPr>
                <w:sz w:val="20"/>
                <w:szCs w:val="20"/>
              </w:rPr>
              <w:t xml:space="preserve"> and jobs-rich food and fibre sectors by delivering research and innovation to develop innovative new technologies and farming systems that increase food and fibre productivity and product quality.</w:t>
            </w:r>
          </w:p>
        </w:tc>
      </w:tr>
      <w:tr w:rsidR="00367CD4" w:rsidRPr="00367CD4" w14:paraId="40AE3496" w14:textId="77777777" w:rsidTr="00E8460A">
        <w:trPr>
          <w:trHeight w:val="113"/>
        </w:trPr>
        <w:tc>
          <w:tcPr>
            <w:tcW w:w="9776" w:type="dxa"/>
            <w:gridSpan w:val="6"/>
          </w:tcPr>
          <w:p w14:paraId="0057BB04" w14:textId="12265C08" w:rsidR="00367CD4" w:rsidRPr="00367CD4" w:rsidRDefault="00367CD4" w:rsidP="00012E27">
            <w:pPr>
              <w:pStyle w:val="Tabletextnospace"/>
              <w:rPr>
                <w:rFonts w:ascii="VIC Italic" w:hAnsi="VIC Italic"/>
                <w:b/>
                <w:bCs/>
                <w:sz w:val="20"/>
                <w:szCs w:val="20"/>
              </w:rPr>
            </w:pPr>
            <w:r w:rsidRPr="00367CD4">
              <w:rPr>
                <w:b/>
                <w:bCs/>
                <w:sz w:val="20"/>
                <w:szCs w:val="20"/>
              </w:rPr>
              <w:t>Quantity</w:t>
            </w:r>
          </w:p>
        </w:tc>
      </w:tr>
      <w:tr w:rsidR="00255EC0" w:rsidRPr="00845807" w14:paraId="190F3CBE" w14:textId="77777777" w:rsidTr="00E8460A">
        <w:trPr>
          <w:trHeight w:val="113"/>
        </w:trPr>
        <w:tc>
          <w:tcPr>
            <w:tcW w:w="4660" w:type="dxa"/>
          </w:tcPr>
          <w:p w14:paraId="762437CE" w14:textId="77777777" w:rsidR="00255EC0" w:rsidRPr="00845807" w:rsidRDefault="00255EC0" w:rsidP="00012E27">
            <w:pPr>
              <w:pStyle w:val="Tabletextnospace"/>
              <w:rPr>
                <w:sz w:val="20"/>
                <w:szCs w:val="20"/>
              </w:rPr>
            </w:pPr>
            <w:r w:rsidRPr="00845807">
              <w:rPr>
                <w:sz w:val="20"/>
                <w:szCs w:val="20"/>
              </w:rPr>
              <w:t>Applications for intellectual property protection</w:t>
            </w:r>
          </w:p>
        </w:tc>
        <w:tc>
          <w:tcPr>
            <w:tcW w:w="964" w:type="dxa"/>
          </w:tcPr>
          <w:p w14:paraId="667DD5D7"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04818AA0" w14:textId="77777777" w:rsidR="00255EC0" w:rsidRPr="00845807" w:rsidRDefault="00255EC0" w:rsidP="00845807">
            <w:pPr>
              <w:pStyle w:val="Tabletextnospace"/>
              <w:jc w:val="right"/>
              <w:rPr>
                <w:sz w:val="20"/>
                <w:szCs w:val="20"/>
              </w:rPr>
            </w:pPr>
            <w:r w:rsidRPr="00845807">
              <w:rPr>
                <w:sz w:val="20"/>
                <w:szCs w:val="20"/>
              </w:rPr>
              <w:t>17</w:t>
            </w:r>
          </w:p>
        </w:tc>
        <w:tc>
          <w:tcPr>
            <w:tcW w:w="963" w:type="dxa"/>
          </w:tcPr>
          <w:p w14:paraId="78AFD6B7" w14:textId="77777777" w:rsidR="00255EC0" w:rsidRPr="00845807" w:rsidRDefault="00255EC0" w:rsidP="00845807">
            <w:pPr>
              <w:pStyle w:val="Tabletextnospace"/>
              <w:jc w:val="right"/>
              <w:rPr>
                <w:sz w:val="20"/>
                <w:szCs w:val="20"/>
              </w:rPr>
            </w:pPr>
            <w:r w:rsidRPr="00845807">
              <w:rPr>
                <w:sz w:val="20"/>
                <w:szCs w:val="20"/>
              </w:rPr>
              <w:t>16</w:t>
            </w:r>
          </w:p>
        </w:tc>
        <w:tc>
          <w:tcPr>
            <w:tcW w:w="1375" w:type="dxa"/>
          </w:tcPr>
          <w:p w14:paraId="0CCD2C56" w14:textId="77777777" w:rsidR="00255EC0" w:rsidRPr="00845807" w:rsidRDefault="00255EC0" w:rsidP="00845807">
            <w:pPr>
              <w:pStyle w:val="Tabletextnospace"/>
              <w:jc w:val="right"/>
              <w:rPr>
                <w:sz w:val="20"/>
                <w:szCs w:val="20"/>
              </w:rPr>
            </w:pPr>
            <w:r w:rsidRPr="00845807">
              <w:rPr>
                <w:sz w:val="20"/>
                <w:szCs w:val="20"/>
              </w:rPr>
              <w:t>6.3%</w:t>
            </w:r>
          </w:p>
        </w:tc>
        <w:tc>
          <w:tcPr>
            <w:tcW w:w="850" w:type="dxa"/>
          </w:tcPr>
          <w:p w14:paraId="362A8A7A" w14:textId="77777777" w:rsidR="00255EC0" w:rsidRPr="00845807" w:rsidRDefault="00255EC0" w:rsidP="00012E27">
            <w:pPr>
              <w:pStyle w:val="Tabletextnospace"/>
              <w:rPr>
                <w:sz w:val="20"/>
                <w:szCs w:val="20"/>
              </w:rPr>
            </w:pPr>
            <w:r w:rsidRPr="00845807">
              <w:rPr>
                <w:rFonts w:ascii="Wingdings" w:hAnsi="Wingdings" w:cs="Wingdings"/>
                <w:position w:val="-2"/>
                <w:sz w:val="20"/>
                <w:szCs w:val="20"/>
              </w:rPr>
              <w:t>ü</w:t>
            </w:r>
          </w:p>
        </w:tc>
      </w:tr>
      <w:tr w:rsidR="00255EC0" w:rsidRPr="00367CD4" w14:paraId="4A7F62E4" w14:textId="77777777" w:rsidTr="00E8460A">
        <w:trPr>
          <w:trHeight w:val="113"/>
        </w:trPr>
        <w:tc>
          <w:tcPr>
            <w:tcW w:w="9776" w:type="dxa"/>
            <w:gridSpan w:val="6"/>
          </w:tcPr>
          <w:p w14:paraId="789A175E" w14:textId="77777777" w:rsidR="00255EC0" w:rsidRPr="00367CD4" w:rsidRDefault="00255EC0" w:rsidP="00012E27">
            <w:pPr>
              <w:pStyle w:val="Tabletextnospace"/>
              <w:rPr>
                <w:i/>
                <w:iCs/>
                <w:sz w:val="18"/>
              </w:rPr>
            </w:pPr>
            <w:r w:rsidRPr="00367CD4">
              <w:rPr>
                <w:i/>
                <w:iCs/>
                <w:sz w:val="18"/>
              </w:rPr>
              <w:t xml:space="preserve">Higher result due to an additional application proceeding to acceptance quicker than expected due to no objections raised by IP Australia. </w:t>
            </w:r>
          </w:p>
        </w:tc>
      </w:tr>
      <w:tr w:rsidR="00255EC0" w:rsidRPr="00845807" w14:paraId="40B761F0" w14:textId="77777777" w:rsidTr="00E8460A">
        <w:trPr>
          <w:trHeight w:val="113"/>
        </w:trPr>
        <w:tc>
          <w:tcPr>
            <w:tcW w:w="4660" w:type="dxa"/>
          </w:tcPr>
          <w:p w14:paraId="1401947B" w14:textId="77777777" w:rsidR="00255EC0" w:rsidRPr="00845807" w:rsidRDefault="00255EC0" w:rsidP="00012E27">
            <w:pPr>
              <w:pStyle w:val="Tabletextnospace"/>
              <w:rPr>
                <w:sz w:val="20"/>
                <w:szCs w:val="20"/>
              </w:rPr>
            </w:pPr>
            <w:r w:rsidRPr="00845807">
              <w:rPr>
                <w:sz w:val="20"/>
                <w:szCs w:val="20"/>
              </w:rPr>
              <w:t>Commercial technology licence agreements finalised</w:t>
            </w:r>
          </w:p>
        </w:tc>
        <w:tc>
          <w:tcPr>
            <w:tcW w:w="964" w:type="dxa"/>
          </w:tcPr>
          <w:p w14:paraId="1BA9E962"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606B1F01" w14:textId="77777777" w:rsidR="00255EC0" w:rsidRPr="00845807" w:rsidRDefault="00255EC0" w:rsidP="00845807">
            <w:pPr>
              <w:pStyle w:val="Tabletextnospace"/>
              <w:jc w:val="right"/>
              <w:rPr>
                <w:sz w:val="20"/>
                <w:szCs w:val="20"/>
              </w:rPr>
            </w:pPr>
            <w:r w:rsidRPr="00845807">
              <w:rPr>
                <w:sz w:val="20"/>
                <w:szCs w:val="20"/>
              </w:rPr>
              <w:t>16</w:t>
            </w:r>
          </w:p>
        </w:tc>
        <w:tc>
          <w:tcPr>
            <w:tcW w:w="963" w:type="dxa"/>
          </w:tcPr>
          <w:p w14:paraId="0891515E" w14:textId="77777777" w:rsidR="00255EC0" w:rsidRPr="00845807" w:rsidRDefault="00255EC0" w:rsidP="00845807">
            <w:pPr>
              <w:pStyle w:val="Tabletextnospace"/>
              <w:jc w:val="right"/>
              <w:rPr>
                <w:sz w:val="20"/>
                <w:szCs w:val="20"/>
              </w:rPr>
            </w:pPr>
            <w:r w:rsidRPr="00845807">
              <w:rPr>
                <w:sz w:val="20"/>
                <w:szCs w:val="20"/>
              </w:rPr>
              <w:t>16</w:t>
            </w:r>
          </w:p>
        </w:tc>
        <w:tc>
          <w:tcPr>
            <w:tcW w:w="1375" w:type="dxa"/>
          </w:tcPr>
          <w:p w14:paraId="49EB3B1F"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6047E209"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46CAED53" w14:textId="77777777" w:rsidTr="00E8460A">
        <w:trPr>
          <w:trHeight w:val="113"/>
        </w:trPr>
        <w:tc>
          <w:tcPr>
            <w:tcW w:w="4660" w:type="dxa"/>
          </w:tcPr>
          <w:p w14:paraId="563518E4" w14:textId="568E589C" w:rsidR="00255EC0" w:rsidRPr="00845807" w:rsidRDefault="00255EC0" w:rsidP="00012E27">
            <w:pPr>
              <w:pStyle w:val="Tabletextnospace"/>
              <w:rPr>
                <w:sz w:val="20"/>
                <w:szCs w:val="20"/>
              </w:rPr>
            </w:pPr>
            <w:r w:rsidRPr="00845807">
              <w:rPr>
                <w:sz w:val="20"/>
                <w:szCs w:val="20"/>
              </w:rPr>
              <w:t>Genetic improvement of dairy cows achieved through breeding contributing to increased milk production</w:t>
            </w:r>
            <w:r w:rsidR="00367CD4">
              <w:rPr>
                <w:sz w:val="20"/>
                <w:szCs w:val="20"/>
              </w:rPr>
              <w:t xml:space="preserve"> </w:t>
            </w:r>
            <w:r w:rsidRPr="00845807">
              <w:rPr>
                <w:sz w:val="20"/>
                <w:szCs w:val="20"/>
              </w:rPr>
              <w:t>and dairy productivity</w:t>
            </w:r>
          </w:p>
        </w:tc>
        <w:tc>
          <w:tcPr>
            <w:tcW w:w="964" w:type="dxa"/>
          </w:tcPr>
          <w:p w14:paraId="4E08C176"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40F2B584" w14:textId="77777777" w:rsidR="00255EC0" w:rsidRPr="00845807" w:rsidRDefault="00255EC0" w:rsidP="00845807">
            <w:pPr>
              <w:pStyle w:val="Tabletextnospace"/>
              <w:jc w:val="right"/>
              <w:rPr>
                <w:sz w:val="20"/>
                <w:szCs w:val="20"/>
              </w:rPr>
            </w:pPr>
            <w:r w:rsidRPr="00845807">
              <w:rPr>
                <w:sz w:val="20"/>
                <w:szCs w:val="20"/>
              </w:rPr>
              <w:t>1</w:t>
            </w:r>
          </w:p>
        </w:tc>
        <w:tc>
          <w:tcPr>
            <w:tcW w:w="963" w:type="dxa"/>
          </w:tcPr>
          <w:p w14:paraId="3A2A6723" w14:textId="77777777" w:rsidR="00255EC0" w:rsidRPr="00845807" w:rsidRDefault="00255EC0" w:rsidP="00845807">
            <w:pPr>
              <w:pStyle w:val="Tabletextnospace"/>
              <w:jc w:val="right"/>
              <w:rPr>
                <w:sz w:val="20"/>
                <w:szCs w:val="20"/>
              </w:rPr>
            </w:pPr>
            <w:r w:rsidRPr="00845807">
              <w:rPr>
                <w:sz w:val="20"/>
                <w:szCs w:val="20"/>
              </w:rPr>
              <w:t>1</w:t>
            </w:r>
          </w:p>
        </w:tc>
        <w:tc>
          <w:tcPr>
            <w:tcW w:w="1375" w:type="dxa"/>
          </w:tcPr>
          <w:p w14:paraId="07C38FEC"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7474FAEB"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21AE2AB5" w14:textId="77777777" w:rsidTr="00E8460A">
        <w:trPr>
          <w:trHeight w:val="113"/>
        </w:trPr>
        <w:tc>
          <w:tcPr>
            <w:tcW w:w="4660" w:type="dxa"/>
          </w:tcPr>
          <w:p w14:paraId="71FF6EFA" w14:textId="77777777" w:rsidR="00255EC0" w:rsidRPr="00845807" w:rsidRDefault="00255EC0" w:rsidP="00012E27">
            <w:pPr>
              <w:pStyle w:val="Tabletextnospace"/>
              <w:rPr>
                <w:sz w:val="20"/>
                <w:szCs w:val="20"/>
              </w:rPr>
            </w:pPr>
            <w:r w:rsidRPr="00845807">
              <w:rPr>
                <w:sz w:val="20"/>
                <w:szCs w:val="20"/>
              </w:rPr>
              <w:t>Key bioscience platform technologies established</w:t>
            </w:r>
          </w:p>
        </w:tc>
        <w:tc>
          <w:tcPr>
            <w:tcW w:w="964" w:type="dxa"/>
          </w:tcPr>
          <w:p w14:paraId="6F516740"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20F2FAF6" w14:textId="77777777" w:rsidR="00255EC0" w:rsidRPr="00845807" w:rsidRDefault="00255EC0" w:rsidP="00845807">
            <w:pPr>
              <w:pStyle w:val="Tabletextnospace"/>
              <w:jc w:val="right"/>
              <w:rPr>
                <w:sz w:val="20"/>
                <w:szCs w:val="20"/>
              </w:rPr>
            </w:pPr>
            <w:r w:rsidRPr="00845807">
              <w:rPr>
                <w:sz w:val="20"/>
                <w:szCs w:val="20"/>
              </w:rPr>
              <w:t>1</w:t>
            </w:r>
          </w:p>
        </w:tc>
        <w:tc>
          <w:tcPr>
            <w:tcW w:w="963" w:type="dxa"/>
          </w:tcPr>
          <w:p w14:paraId="24927AD2" w14:textId="77777777" w:rsidR="00255EC0" w:rsidRPr="00845807" w:rsidRDefault="00255EC0" w:rsidP="00845807">
            <w:pPr>
              <w:pStyle w:val="Tabletextnospace"/>
              <w:jc w:val="right"/>
              <w:rPr>
                <w:sz w:val="20"/>
                <w:szCs w:val="20"/>
              </w:rPr>
            </w:pPr>
            <w:r w:rsidRPr="00845807">
              <w:rPr>
                <w:sz w:val="20"/>
                <w:szCs w:val="20"/>
              </w:rPr>
              <w:t>1</w:t>
            </w:r>
          </w:p>
        </w:tc>
        <w:tc>
          <w:tcPr>
            <w:tcW w:w="1375" w:type="dxa"/>
          </w:tcPr>
          <w:p w14:paraId="227EA0C2"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6EE9FD7A"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6C6297B1" w14:textId="77777777" w:rsidTr="00E8460A">
        <w:trPr>
          <w:trHeight w:val="113"/>
        </w:trPr>
        <w:tc>
          <w:tcPr>
            <w:tcW w:w="4660" w:type="dxa"/>
          </w:tcPr>
          <w:p w14:paraId="31A91F1F" w14:textId="77777777" w:rsidR="00255EC0" w:rsidRPr="00845807" w:rsidRDefault="00255EC0" w:rsidP="00012E27">
            <w:pPr>
              <w:pStyle w:val="Tabletextnospace"/>
              <w:rPr>
                <w:sz w:val="20"/>
                <w:szCs w:val="20"/>
              </w:rPr>
            </w:pPr>
            <w:proofErr w:type="gramStart"/>
            <w:r w:rsidRPr="00845807">
              <w:rPr>
                <w:sz w:val="20"/>
                <w:szCs w:val="20"/>
              </w:rPr>
              <w:t>Postgraduate-level</w:t>
            </w:r>
            <w:proofErr w:type="gramEnd"/>
            <w:r w:rsidRPr="00845807">
              <w:rPr>
                <w:sz w:val="20"/>
                <w:szCs w:val="20"/>
              </w:rPr>
              <w:t>/PhD students in training</w:t>
            </w:r>
          </w:p>
        </w:tc>
        <w:tc>
          <w:tcPr>
            <w:tcW w:w="964" w:type="dxa"/>
          </w:tcPr>
          <w:p w14:paraId="401BB909"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029660C5" w14:textId="77777777" w:rsidR="00255EC0" w:rsidRPr="00845807" w:rsidRDefault="00255EC0" w:rsidP="00845807">
            <w:pPr>
              <w:pStyle w:val="Tabletextnospace"/>
              <w:jc w:val="right"/>
              <w:rPr>
                <w:sz w:val="20"/>
                <w:szCs w:val="20"/>
              </w:rPr>
            </w:pPr>
            <w:r w:rsidRPr="00845807">
              <w:rPr>
                <w:sz w:val="20"/>
                <w:szCs w:val="20"/>
              </w:rPr>
              <w:t>68</w:t>
            </w:r>
          </w:p>
        </w:tc>
        <w:tc>
          <w:tcPr>
            <w:tcW w:w="963" w:type="dxa"/>
          </w:tcPr>
          <w:p w14:paraId="5E0B1884" w14:textId="77777777" w:rsidR="00255EC0" w:rsidRPr="00845807" w:rsidRDefault="00255EC0" w:rsidP="00845807">
            <w:pPr>
              <w:pStyle w:val="Tabletextnospace"/>
              <w:jc w:val="right"/>
              <w:rPr>
                <w:sz w:val="20"/>
                <w:szCs w:val="20"/>
              </w:rPr>
            </w:pPr>
            <w:r w:rsidRPr="00845807">
              <w:rPr>
                <w:sz w:val="20"/>
                <w:szCs w:val="20"/>
              </w:rPr>
              <w:t>65</w:t>
            </w:r>
          </w:p>
        </w:tc>
        <w:tc>
          <w:tcPr>
            <w:tcW w:w="1375" w:type="dxa"/>
          </w:tcPr>
          <w:p w14:paraId="6AB86D93" w14:textId="77777777" w:rsidR="00255EC0" w:rsidRPr="00845807" w:rsidRDefault="00255EC0" w:rsidP="00845807">
            <w:pPr>
              <w:pStyle w:val="Tabletextnospace"/>
              <w:jc w:val="right"/>
              <w:rPr>
                <w:sz w:val="20"/>
                <w:szCs w:val="20"/>
              </w:rPr>
            </w:pPr>
            <w:r w:rsidRPr="00845807">
              <w:rPr>
                <w:sz w:val="20"/>
                <w:szCs w:val="20"/>
              </w:rPr>
              <w:t>4.6%</w:t>
            </w:r>
          </w:p>
        </w:tc>
        <w:tc>
          <w:tcPr>
            <w:tcW w:w="850" w:type="dxa"/>
          </w:tcPr>
          <w:p w14:paraId="40508747"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20E46939" w14:textId="77777777" w:rsidTr="00E8460A">
        <w:trPr>
          <w:trHeight w:val="113"/>
        </w:trPr>
        <w:tc>
          <w:tcPr>
            <w:tcW w:w="4660" w:type="dxa"/>
          </w:tcPr>
          <w:p w14:paraId="1D624688" w14:textId="77777777" w:rsidR="00255EC0" w:rsidRPr="00845807" w:rsidRDefault="00255EC0" w:rsidP="00012E27">
            <w:pPr>
              <w:pStyle w:val="Tabletextnospace"/>
              <w:rPr>
                <w:sz w:val="20"/>
                <w:szCs w:val="20"/>
              </w:rPr>
            </w:pPr>
            <w:r w:rsidRPr="00845807">
              <w:rPr>
                <w:sz w:val="20"/>
                <w:szCs w:val="20"/>
              </w:rPr>
              <w:t>Value of co-investment from external (non-state) funding sources attracted to the Department’s research projects that support productive agriculture</w:t>
            </w:r>
          </w:p>
        </w:tc>
        <w:tc>
          <w:tcPr>
            <w:tcW w:w="964" w:type="dxa"/>
          </w:tcPr>
          <w:p w14:paraId="5E38922A" w14:textId="77777777" w:rsidR="00255EC0" w:rsidRPr="00845807" w:rsidRDefault="00255EC0" w:rsidP="00845807">
            <w:pPr>
              <w:pStyle w:val="Tabletextnospace"/>
              <w:jc w:val="right"/>
              <w:rPr>
                <w:sz w:val="20"/>
                <w:szCs w:val="20"/>
              </w:rPr>
            </w:pPr>
            <w:r w:rsidRPr="00845807">
              <w:rPr>
                <w:sz w:val="20"/>
                <w:szCs w:val="20"/>
              </w:rPr>
              <w:t>$ million</w:t>
            </w:r>
          </w:p>
        </w:tc>
        <w:tc>
          <w:tcPr>
            <w:tcW w:w="964" w:type="dxa"/>
          </w:tcPr>
          <w:p w14:paraId="3B4C4F64" w14:textId="77777777" w:rsidR="00255EC0" w:rsidRPr="00845807" w:rsidRDefault="00255EC0" w:rsidP="00845807">
            <w:pPr>
              <w:pStyle w:val="Tabletextnospace"/>
              <w:jc w:val="right"/>
              <w:rPr>
                <w:sz w:val="20"/>
                <w:szCs w:val="20"/>
              </w:rPr>
            </w:pPr>
            <w:r w:rsidRPr="00845807">
              <w:rPr>
                <w:sz w:val="20"/>
                <w:szCs w:val="20"/>
              </w:rPr>
              <w:t>39.3</w:t>
            </w:r>
          </w:p>
        </w:tc>
        <w:tc>
          <w:tcPr>
            <w:tcW w:w="963" w:type="dxa"/>
          </w:tcPr>
          <w:p w14:paraId="798E8C03" w14:textId="77777777" w:rsidR="00255EC0" w:rsidRPr="00845807" w:rsidRDefault="00255EC0" w:rsidP="00845807">
            <w:pPr>
              <w:pStyle w:val="Tabletextnospace"/>
              <w:jc w:val="right"/>
              <w:rPr>
                <w:sz w:val="20"/>
                <w:szCs w:val="20"/>
              </w:rPr>
            </w:pPr>
            <w:r w:rsidRPr="00845807">
              <w:rPr>
                <w:sz w:val="20"/>
                <w:szCs w:val="20"/>
              </w:rPr>
              <w:t>39</w:t>
            </w:r>
          </w:p>
        </w:tc>
        <w:tc>
          <w:tcPr>
            <w:tcW w:w="1375" w:type="dxa"/>
          </w:tcPr>
          <w:p w14:paraId="6C9E4360" w14:textId="77777777" w:rsidR="00255EC0" w:rsidRPr="00845807" w:rsidRDefault="00255EC0" w:rsidP="00845807">
            <w:pPr>
              <w:pStyle w:val="Tabletextnospace"/>
              <w:jc w:val="right"/>
              <w:rPr>
                <w:sz w:val="20"/>
                <w:szCs w:val="20"/>
              </w:rPr>
            </w:pPr>
            <w:r w:rsidRPr="00845807">
              <w:rPr>
                <w:sz w:val="20"/>
                <w:szCs w:val="20"/>
              </w:rPr>
              <w:t>0.8%</w:t>
            </w:r>
          </w:p>
        </w:tc>
        <w:tc>
          <w:tcPr>
            <w:tcW w:w="850" w:type="dxa"/>
          </w:tcPr>
          <w:p w14:paraId="0E8BB67C"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367CD4" w:rsidRPr="00845807" w14:paraId="5627F8DE" w14:textId="77777777" w:rsidTr="00E8460A">
        <w:trPr>
          <w:trHeight w:val="113"/>
        </w:trPr>
        <w:tc>
          <w:tcPr>
            <w:tcW w:w="9776" w:type="dxa"/>
            <w:gridSpan w:val="6"/>
          </w:tcPr>
          <w:p w14:paraId="5343412B" w14:textId="763C0D86" w:rsidR="00367CD4" w:rsidRPr="00367CD4" w:rsidRDefault="00367CD4" w:rsidP="00012E27">
            <w:pPr>
              <w:pStyle w:val="Tabletextnospace"/>
              <w:rPr>
                <w:rFonts w:ascii="VIC Italic" w:hAnsi="VIC Italic"/>
                <w:b/>
                <w:bCs/>
                <w:sz w:val="20"/>
                <w:szCs w:val="20"/>
              </w:rPr>
            </w:pPr>
            <w:r w:rsidRPr="00367CD4">
              <w:rPr>
                <w:b/>
                <w:bCs/>
                <w:sz w:val="20"/>
                <w:szCs w:val="20"/>
              </w:rPr>
              <w:t>Quality</w:t>
            </w:r>
          </w:p>
        </w:tc>
      </w:tr>
      <w:tr w:rsidR="00255EC0" w:rsidRPr="00845807" w14:paraId="135B9740" w14:textId="77777777" w:rsidTr="00E8460A">
        <w:trPr>
          <w:trHeight w:val="113"/>
        </w:trPr>
        <w:tc>
          <w:tcPr>
            <w:tcW w:w="4660" w:type="dxa"/>
          </w:tcPr>
          <w:p w14:paraId="56834C37" w14:textId="77777777" w:rsidR="00255EC0" w:rsidRPr="00845807" w:rsidRDefault="00255EC0" w:rsidP="00012E27">
            <w:pPr>
              <w:pStyle w:val="Tabletextnospace"/>
              <w:rPr>
                <w:sz w:val="20"/>
                <w:szCs w:val="20"/>
              </w:rPr>
            </w:pPr>
            <w:r w:rsidRPr="00845807">
              <w:rPr>
                <w:sz w:val="20"/>
                <w:szCs w:val="20"/>
              </w:rPr>
              <w:t>Satisfaction rating of industry investors in agriculture productivity research and development</w:t>
            </w:r>
          </w:p>
        </w:tc>
        <w:tc>
          <w:tcPr>
            <w:tcW w:w="964" w:type="dxa"/>
          </w:tcPr>
          <w:p w14:paraId="060FC595"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261B9250" w14:textId="77777777" w:rsidR="00255EC0" w:rsidRPr="00845807" w:rsidRDefault="00255EC0" w:rsidP="00845807">
            <w:pPr>
              <w:pStyle w:val="Tabletextnospace"/>
              <w:jc w:val="right"/>
              <w:rPr>
                <w:sz w:val="20"/>
                <w:szCs w:val="20"/>
              </w:rPr>
            </w:pPr>
            <w:r w:rsidRPr="00845807">
              <w:rPr>
                <w:sz w:val="20"/>
                <w:szCs w:val="20"/>
              </w:rPr>
              <w:t>9</w:t>
            </w:r>
          </w:p>
        </w:tc>
        <w:tc>
          <w:tcPr>
            <w:tcW w:w="963" w:type="dxa"/>
          </w:tcPr>
          <w:p w14:paraId="0AC8CED9" w14:textId="77777777" w:rsidR="00255EC0" w:rsidRPr="00845807" w:rsidRDefault="00255EC0" w:rsidP="00845807">
            <w:pPr>
              <w:pStyle w:val="Tabletextnospace"/>
              <w:jc w:val="right"/>
              <w:rPr>
                <w:sz w:val="20"/>
                <w:szCs w:val="20"/>
              </w:rPr>
            </w:pPr>
            <w:r w:rsidRPr="00845807">
              <w:rPr>
                <w:sz w:val="20"/>
                <w:szCs w:val="20"/>
              </w:rPr>
              <w:t>7</w:t>
            </w:r>
          </w:p>
        </w:tc>
        <w:tc>
          <w:tcPr>
            <w:tcW w:w="1375" w:type="dxa"/>
          </w:tcPr>
          <w:p w14:paraId="54B40EC2" w14:textId="77777777" w:rsidR="00255EC0" w:rsidRPr="00845807" w:rsidRDefault="00255EC0" w:rsidP="00845807">
            <w:pPr>
              <w:pStyle w:val="Tabletextnospace"/>
              <w:jc w:val="right"/>
              <w:rPr>
                <w:sz w:val="20"/>
                <w:szCs w:val="20"/>
              </w:rPr>
            </w:pPr>
            <w:r w:rsidRPr="00845807">
              <w:rPr>
                <w:sz w:val="20"/>
                <w:szCs w:val="20"/>
              </w:rPr>
              <w:t>28.6%</w:t>
            </w:r>
          </w:p>
        </w:tc>
        <w:tc>
          <w:tcPr>
            <w:tcW w:w="850" w:type="dxa"/>
          </w:tcPr>
          <w:p w14:paraId="1AA6FD99"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4E0608" w14:paraId="3A3AD269" w14:textId="77777777" w:rsidTr="00E8460A">
        <w:trPr>
          <w:trHeight w:val="113"/>
        </w:trPr>
        <w:tc>
          <w:tcPr>
            <w:tcW w:w="9776" w:type="dxa"/>
            <w:gridSpan w:val="6"/>
          </w:tcPr>
          <w:p w14:paraId="3BC61C5C" w14:textId="77777777" w:rsidR="00255EC0" w:rsidRPr="004E0608" w:rsidRDefault="00255EC0" w:rsidP="00012E27">
            <w:pPr>
              <w:pStyle w:val="Tabletextnospace"/>
              <w:rPr>
                <w:i/>
                <w:iCs/>
                <w:sz w:val="18"/>
              </w:rPr>
            </w:pPr>
            <w:r w:rsidRPr="004E0608">
              <w:rPr>
                <w:i/>
                <w:iCs/>
                <w:sz w:val="18"/>
              </w:rPr>
              <w:t xml:space="preserve">Higher result is due to the continued success of the new partnership model where research is jointly designed, </w:t>
            </w:r>
            <w:proofErr w:type="gramStart"/>
            <w:r w:rsidRPr="004E0608">
              <w:rPr>
                <w:i/>
                <w:iCs/>
                <w:sz w:val="18"/>
              </w:rPr>
              <w:t>delivered</w:t>
            </w:r>
            <w:proofErr w:type="gramEnd"/>
            <w:r w:rsidRPr="004E0608">
              <w:rPr>
                <w:i/>
                <w:iCs/>
                <w:sz w:val="18"/>
              </w:rPr>
              <w:t xml:space="preserve"> and evaluated through a direct engagement and long-term partnership model with industry. </w:t>
            </w:r>
          </w:p>
        </w:tc>
      </w:tr>
      <w:tr w:rsidR="00255EC0" w:rsidRPr="00845807" w14:paraId="2723775E" w14:textId="77777777" w:rsidTr="00E8460A">
        <w:trPr>
          <w:trHeight w:val="113"/>
        </w:trPr>
        <w:tc>
          <w:tcPr>
            <w:tcW w:w="4660" w:type="dxa"/>
          </w:tcPr>
          <w:p w14:paraId="7DA6C994" w14:textId="77777777" w:rsidR="00255EC0" w:rsidRPr="00845807" w:rsidRDefault="00255EC0" w:rsidP="00012E27">
            <w:pPr>
              <w:pStyle w:val="Tabletextnospace"/>
              <w:rPr>
                <w:sz w:val="20"/>
                <w:szCs w:val="20"/>
              </w:rPr>
            </w:pPr>
            <w:r w:rsidRPr="00845807">
              <w:rPr>
                <w:sz w:val="20"/>
                <w:szCs w:val="20"/>
              </w:rPr>
              <w:t>Scientific and technical publications subjected to independent peer review in international and national journals that promote productive agriculture</w:t>
            </w:r>
          </w:p>
        </w:tc>
        <w:tc>
          <w:tcPr>
            <w:tcW w:w="964" w:type="dxa"/>
          </w:tcPr>
          <w:p w14:paraId="02901EE4"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6DFDC87F" w14:textId="77777777" w:rsidR="00255EC0" w:rsidRPr="00845807" w:rsidRDefault="00255EC0" w:rsidP="00845807">
            <w:pPr>
              <w:pStyle w:val="Tabletextnospace"/>
              <w:jc w:val="right"/>
              <w:rPr>
                <w:sz w:val="20"/>
                <w:szCs w:val="20"/>
              </w:rPr>
            </w:pPr>
            <w:r w:rsidRPr="00845807">
              <w:rPr>
                <w:sz w:val="20"/>
                <w:szCs w:val="20"/>
              </w:rPr>
              <w:t>274</w:t>
            </w:r>
          </w:p>
        </w:tc>
        <w:tc>
          <w:tcPr>
            <w:tcW w:w="963" w:type="dxa"/>
          </w:tcPr>
          <w:p w14:paraId="3C01AEC5" w14:textId="77777777" w:rsidR="00255EC0" w:rsidRPr="00845807" w:rsidRDefault="00255EC0" w:rsidP="00845807">
            <w:pPr>
              <w:pStyle w:val="Tabletextnospace"/>
              <w:jc w:val="right"/>
              <w:rPr>
                <w:sz w:val="20"/>
                <w:szCs w:val="20"/>
              </w:rPr>
            </w:pPr>
            <w:r w:rsidRPr="00845807">
              <w:rPr>
                <w:sz w:val="20"/>
                <w:szCs w:val="20"/>
              </w:rPr>
              <w:t>260</w:t>
            </w:r>
          </w:p>
        </w:tc>
        <w:tc>
          <w:tcPr>
            <w:tcW w:w="1375" w:type="dxa"/>
          </w:tcPr>
          <w:p w14:paraId="279A8513" w14:textId="77777777" w:rsidR="00255EC0" w:rsidRPr="00845807" w:rsidRDefault="00255EC0" w:rsidP="00845807">
            <w:pPr>
              <w:pStyle w:val="Tabletextnospace"/>
              <w:jc w:val="right"/>
              <w:rPr>
                <w:sz w:val="20"/>
                <w:szCs w:val="20"/>
              </w:rPr>
            </w:pPr>
            <w:r w:rsidRPr="00845807">
              <w:rPr>
                <w:sz w:val="20"/>
                <w:szCs w:val="20"/>
              </w:rPr>
              <w:t>5.4%</w:t>
            </w:r>
          </w:p>
        </w:tc>
        <w:tc>
          <w:tcPr>
            <w:tcW w:w="850" w:type="dxa"/>
          </w:tcPr>
          <w:p w14:paraId="6DEFE4A5"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4E0608" w14:paraId="23B09A09" w14:textId="77777777" w:rsidTr="00E8460A">
        <w:trPr>
          <w:trHeight w:val="113"/>
        </w:trPr>
        <w:tc>
          <w:tcPr>
            <w:tcW w:w="9776" w:type="dxa"/>
            <w:gridSpan w:val="6"/>
          </w:tcPr>
          <w:p w14:paraId="16A71A82" w14:textId="77777777" w:rsidR="00255EC0" w:rsidRPr="004E0608" w:rsidRDefault="00255EC0" w:rsidP="00012E27">
            <w:pPr>
              <w:pStyle w:val="Tabletextnospace"/>
              <w:rPr>
                <w:i/>
                <w:iCs/>
                <w:sz w:val="18"/>
              </w:rPr>
            </w:pPr>
            <w:r w:rsidRPr="004E0608">
              <w:rPr>
                <w:i/>
                <w:iCs/>
                <w:sz w:val="18"/>
              </w:rPr>
              <w:t xml:space="preserve">Higher result due to a focus on publication preparation under the coronavirus (COVID-19) workplace restrictions. The focus on publication preparation will continue in 2020–21 while restrictions, including the inability to travel, continue. This will be a targeted </w:t>
            </w:r>
            <w:proofErr w:type="gramStart"/>
            <w:r w:rsidRPr="004E0608">
              <w:rPr>
                <w:i/>
                <w:iCs/>
                <w:sz w:val="18"/>
              </w:rPr>
              <w:t>short term</w:t>
            </w:r>
            <w:proofErr w:type="gramEnd"/>
            <w:r w:rsidRPr="004E0608">
              <w:rPr>
                <w:i/>
                <w:iCs/>
                <w:sz w:val="18"/>
              </w:rPr>
              <w:t xml:space="preserve"> approach. Upon return to work practices existing publication targets will apply.</w:t>
            </w:r>
          </w:p>
        </w:tc>
      </w:tr>
      <w:tr w:rsidR="00255EC0" w:rsidRPr="00367CD4" w14:paraId="55F8CDEF" w14:textId="77777777" w:rsidTr="00E8460A">
        <w:trPr>
          <w:trHeight w:val="113"/>
        </w:trPr>
        <w:tc>
          <w:tcPr>
            <w:tcW w:w="9776" w:type="dxa"/>
            <w:gridSpan w:val="6"/>
          </w:tcPr>
          <w:p w14:paraId="49121692" w14:textId="77777777" w:rsidR="00255EC0" w:rsidRPr="00367CD4" w:rsidRDefault="00255EC0" w:rsidP="00367CD4">
            <w:pPr>
              <w:pStyle w:val="Tabletextnospace"/>
              <w:keepNext/>
              <w:rPr>
                <w:b/>
                <w:bCs/>
                <w:sz w:val="20"/>
                <w:szCs w:val="20"/>
              </w:rPr>
            </w:pPr>
            <w:r w:rsidRPr="00367CD4">
              <w:rPr>
                <w:b/>
                <w:bCs/>
                <w:sz w:val="20"/>
                <w:szCs w:val="20"/>
              </w:rPr>
              <w:lastRenderedPageBreak/>
              <w:t>Timeliness</w:t>
            </w:r>
          </w:p>
        </w:tc>
      </w:tr>
      <w:tr w:rsidR="00255EC0" w:rsidRPr="00845807" w14:paraId="06199642" w14:textId="77777777" w:rsidTr="00E8460A">
        <w:trPr>
          <w:trHeight w:val="113"/>
        </w:trPr>
        <w:tc>
          <w:tcPr>
            <w:tcW w:w="4660" w:type="dxa"/>
          </w:tcPr>
          <w:p w14:paraId="45011D12" w14:textId="77777777" w:rsidR="00255EC0" w:rsidRPr="00845807" w:rsidRDefault="00255EC0" w:rsidP="00012E27">
            <w:pPr>
              <w:pStyle w:val="Tabletextnospace"/>
              <w:rPr>
                <w:sz w:val="20"/>
                <w:szCs w:val="20"/>
              </w:rPr>
            </w:pPr>
            <w:r w:rsidRPr="00845807">
              <w:rPr>
                <w:sz w:val="20"/>
                <w:szCs w:val="20"/>
              </w:rPr>
              <w:t>Provision of technical advice, diagnostic identification tests on pests and diseases including suspected exotics within agreed timeframes</w:t>
            </w:r>
          </w:p>
        </w:tc>
        <w:tc>
          <w:tcPr>
            <w:tcW w:w="964" w:type="dxa"/>
          </w:tcPr>
          <w:p w14:paraId="56C50DCF"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60AFA8F8" w14:textId="77777777" w:rsidR="00255EC0" w:rsidRPr="00845807" w:rsidRDefault="00255EC0" w:rsidP="00845807">
            <w:pPr>
              <w:pStyle w:val="Tabletextnospace"/>
              <w:jc w:val="right"/>
              <w:rPr>
                <w:sz w:val="20"/>
                <w:szCs w:val="20"/>
              </w:rPr>
            </w:pPr>
            <w:r w:rsidRPr="00845807">
              <w:rPr>
                <w:sz w:val="20"/>
                <w:szCs w:val="20"/>
              </w:rPr>
              <w:t>87</w:t>
            </w:r>
          </w:p>
        </w:tc>
        <w:tc>
          <w:tcPr>
            <w:tcW w:w="963" w:type="dxa"/>
          </w:tcPr>
          <w:p w14:paraId="4DF22C14" w14:textId="77777777" w:rsidR="00255EC0" w:rsidRPr="00845807" w:rsidRDefault="00255EC0" w:rsidP="00845807">
            <w:pPr>
              <w:pStyle w:val="Tabletextnospace"/>
              <w:jc w:val="right"/>
              <w:rPr>
                <w:sz w:val="20"/>
                <w:szCs w:val="20"/>
              </w:rPr>
            </w:pPr>
            <w:r w:rsidRPr="00845807">
              <w:rPr>
                <w:sz w:val="20"/>
                <w:szCs w:val="20"/>
              </w:rPr>
              <w:t>85</w:t>
            </w:r>
          </w:p>
        </w:tc>
        <w:tc>
          <w:tcPr>
            <w:tcW w:w="1375" w:type="dxa"/>
          </w:tcPr>
          <w:p w14:paraId="5E91CA04" w14:textId="77777777" w:rsidR="00255EC0" w:rsidRPr="00845807" w:rsidRDefault="00255EC0" w:rsidP="00845807">
            <w:pPr>
              <w:pStyle w:val="Tabletextnospace"/>
              <w:jc w:val="right"/>
              <w:rPr>
                <w:sz w:val="20"/>
                <w:szCs w:val="20"/>
              </w:rPr>
            </w:pPr>
            <w:r w:rsidRPr="00845807">
              <w:rPr>
                <w:sz w:val="20"/>
                <w:szCs w:val="20"/>
              </w:rPr>
              <w:t>2.4%</w:t>
            </w:r>
          </w:p>
        </w:tc>
        <w:tc>
          <w:tcPr>
            <w:tcW w:w="850" w:type="dxa"/>
          </w:tcPr>
          <w:p w14:paraId="19FFD1A0"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36323480" w14:textId="77777777" w:rsidTr="00E8460A">
        <w:trPr>
          <w:trHeight w:val="113"/>
        </w:trPr>
        <w:tc>
          <w:tcPr>
            <w:tcW w:w="4660" w:type="dxa"/>
          </w:tcPr>
          <w:p w14:paraId="1EA61F1F" w14:textId="77777777" w:rsidR="00255EC0" w:rsidRPr="00845807" w:rsidRDefault="00255EC0" w:rsidP="00012E27">
            <w:pPr>
              <w:pStyle w:val="Tabletextnospace"/>
              <w:rPr>
                <w:sz w:val="20"/>
                <w:szCs w:val="20"/>
              </w:rPr>
            </w:pPr>
            <w:r w:rsidRPr="00845807">
              <w:rPr>
                <w:sz w:val="20"/>
                <w:szCs w:val="20"/>
              </w:rPr>
              <w:t>Research project milestones and reports completed</w:t>
            </w:r>
            <w:r w:rsidRPr="00845807">
              <w:rPr>
                <w:sz w:val="20"/>
                <w:szCs w:val="20"/>
              </w:rPr>
              <w:br/>
              <w:t>on time</w:t>
            </w:r>
          </w:p>
        </w:tc>
        <w:tc>
          <w:tcPr>
            <w:tcW w:w="964" w:type="dxa"/>
          </w:tcPr>
          <w:p w14:paraId="6604A421"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5B1964D9" w14:textId="77777777" w:rsidR="00255EC0" w:rsidRPr="00845807" w:rsidRDefault="00255EC0" w:rsidP="00845807">
            <w:pPr>
              <w:pStyle w:val="Tabletextnospace"/>
              <w:jc w:val="right"/>
              <w:rPr>
                <w:sz w:val="20"/>
                <w:szCs w:val="20"/>
              </w:rPr>
            </w:pPr>
            <w:r w:rsidRPr="00845807">
              <w:rPr>
                <w:sz w:val="20"/>
                <w:szCs w:val="20"/>
              </w:rPr>
              <w:t>91.7</w:t>
            </w:r>
          </w:p>
        </w:tc>
        <w:tc>
          <w:tcPr>
            <w:tcW w:w="963" w:type="dxa"/>
          </w:tcPr>
          <w:p w14:paraId="783EB105" w14:textId="77777777" w:rsidR="00255EC0" w:rsidRPr="00845807" w:rsidRDefault="00255EC0" w:rsidP="00845807">
            <w:pPr>
              <w:pStyle w:val="Tabletextnospace"/>
              <w:jc w:val="right"/>
              <w:rPr>
                <w:sz w:val="20"/>
                <w:szCs w:val="20"/>
              </w:rPr>
            </w:pPr>
            <w:r w:rsidRPr="00845807">
              <w:rPr>
                <w:sz w:val="20"/>
                <w:szCs w:val="20"/>
              </w:rPr>
              <w:t>90</w:t>
            </w:r>
          </w:p>
        </w:tc>
        <w:tc>
          <w:tcPr>
            <w:tcW w:w="1375" w:type="dxa"/>
          </w:tcPr>
          <w:p w14:paraId="181A0501" w14:textId="77777777" w:rsidR="00255EC0" w:rsidRPr="00845807" w:rsidRDefault="00255EC0" w:rsidP="00845807">
            <w:pPr>
              <w:pStyle w:val="Tabletextnospace"/>
              <w:jc w:val="right"/>
              <w:rPr>
                <w:sz w:val="20"/>
                <w:szCs w:val="20"/>
              </w:rPr>
            </w:pPr>
            <w:r w:rsidRPr="00845807">
              <w:rPr>
                <w:sz w:val="20"/>
                <w:szCs w:val="20"/>
              </w:rPr>
              <w:t>1.9%</w:t>
            </w:r>
          </w:p>
        </w:tc>
        <w:tc>
          <w:tcPr>
            <w:tcW w:w="850" w:type="dxa"/>
          </w:tcPr>
          <w:p w14:paraId="393EB854"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367CD4" w:rsidRPr="00367CD4" w14:paraId="5DAD111E" w14:textId="77777777" w:rsidTr="00E8460A">
        <w:trPr>
          <w:trHeight w:val="113"/>
        </w:trPr>
        <w:tc>
          <w:tcPr>
            <w:tcW w:w="9776" w:type="dxa"/>
            <w:gridSpan w:val="6"/>
          </w:tcPr>
          <w:p w14:paraId="04522048" w14:textId="6BD4CB1A" w:rsidR="00367CD4" w:rsidRPr="00367CD4" w:rsidRDefault="00367CD4" w:rsidP="00012E27">
            <w:pPr>
              <w:pStyle w:val="Tabletextnospace"/>
              <w:rPr>
                <w:rFonts w:ascii="VIC Italic" w:hAnsi="VIC Italic"/>
                <w:b/>
                <w:bCs/>
                <w:sz w:val="20"/>
                <w:szCs w:val="20"/>
              </w:rPr>
            </w:pPr>
            <w:r w:rsidRPr="00367CD4">
              <w:rPr>
                <w:b/>
                <w:bCs/>
                <w:sz w:val="20"/>
                <w:szCs w:val="20"/>
              </w:rPr>
              <w:t>Cost</w:t>
            </w:r>
          </w:p>
        </w:tc>
      </w:tr>
      <w:tr w:rsidR="00255EC0" w:rsidRPr="00367CD4" w14:paraId="410ECB89" w14:textId="77777777" w:rsidTr="00E8460A">
        <w:trPr>
          <w:trHeight w:val="113"/>
        </w:trPr>
        <w:tc>
          <w:tcPr>
            <w:tcW w:w="4660" w:type="dxa"/>
          </w:tcPr>
          <w:p w14:paraId="5376971F" w14:textId="77777777" w:rsidR="00255EC0" w:rsidRPr="00367CD4" w:rsidRDefault="00255EC0" w:rsidP="00012E27">
            <w:pPr>
              <w:pStyle w:val="Tabletextnospace"/>
              <w:rPr>
                <w:b/>
                <w:bCs/>
                <w:sz w:val="20"/>
                <w:szCs w:val="20"/>
              </w:rPr>
            </w:pPr>
            <w:r w:rsidRPr="00367CD4">
              <w:rPr>
                <w:b/>
                <w:bCs/>
                <w:sz w:val="20"/>
                <w:szCs w:val="20"/>
              </w:rPr>
              <w:t>Total output cost</w:t>
            </w:r>
          </w:p>
        </w:tc>
        <w:tc>
          <w:tcPr>
            <w:tcW w:w="964" w:type="dxa"/>
          </w:tcPr>
          <w:p w14:paraId="07905755" w14:textId="77777777" w:rsidR="00255EC0" w:rsidRPr="00367CD4" w:rsidRDefault="00255EC0" w:rsidP="00845807">
            <w:pPr>
              <w:pStyle w:val="Tabletextnospace"/>
              <w:jc w:val="right"/>
              <w:rPr>
                <w:b/>
                <w:bCs/>
                <w:sz w:val="20"/>
                <w:szCs w:val="20"/>
              </w:rPr>
            </w:pPr>
            <w:r w:rsidRPr="00367CD4">
              <w:rPr>
                <w:b/>
                <w:bCs/>
                <w:sz w:val="20"/>
                <w:szCs w:val="20"/>
              </w:rPr>
              <w:t>$ million</w:t>
            </w:r>
          </w:p>
        </w:tc>
        <w:tc>
          <w:tcPr>
            <w:tcW w:w="964" w:type="dxa"/>
          </w:tcPr>
          <w:p w14:paraId="47730DE7" w14:textId="77777777" w:rsidR="00255EC0" w:rsidRPr="00367CD4" w:rsidRDefault="00255EC0" w:rsidP="00845807">
            <w:pPr>
              <w:pStyle w:val="Tabletextnospace"/>
              <w:jc w:val="right"/>
              <w:rPr>
                <w:b/>
                <w:bCs/>
                <w:sz w:val="20"/>
                <w:szCs w:val="20"/>
              </w:rPr>
            </w:pPr>
            <w:r w:rsidRPr="00367CD4">
              <w:rPr>
                <w:b/>
                <w:bCs/>
                <w:sz w:val="20"/>
                <w:szCs w:val="20"/>
              </w:rPr>
              <w:t>145.7</w:t>
            </w:r>
          </w:p>
        </w:tc>
        <w:tc>
          <w:tcPr>
            <w:tcW w:w="963" w:type="dxa"/>
          </w:tcPr>
          <w:p w14:paraId="23E92F56" w14:textId="77777777" w:rsidR="00255EC0" w:rsidRPr="00367CD4" w:rsidRDefault="00255EC0" w:rsidP="00845807">
            <w:pPr>
              <w:pStyle w:val="Tabletextnospace"/>
              <w:jc w:val="right"/>
              <w:rPr>
                <w:b/>
                <w:bCs/>
                <w:sz w:val="20"/>
                <w:szCs w:val="20"/>
              </w:rPr>
            </w:pPr>
            <w:r w:rsidRPr="00367CD4">
              <w:rPr>
                <w:b/>
                <w:bCs/>
                <w:sz w:val="20"/>
                <w:szCs w:val="20"/>
              </w:rPr>
              <w:t>142.9</w:t>
            </w:r>
          </w:p>
        </w:tc>
        <w:tc>
          <w:tcPr>
            <w:tcW w:w="1375" w:type="dxa"/>
          </w:tcPr>
          <w:p w14:paraId="43C9B69B" w14:textId="77777777" w:rsidR="00255EC0" w:rsidRPr="00367CD4" w:rsidRDefault="00255EC0" w:rsidP="00845807">
            <w:pPr>
              <w:pStyle w:val="Tabletextnospace"/>
              <w:jc w:val="right"/>
              <w:rPr>
                <w:b/>
                <w:bCs/>
                <w:sz w:val="20"/>
                <w:szCs w:val="20"/>
              </w:rPr>
            </w:pPr>
            <w:r w:rsidRPr="00367CD4">
              <w:rPr>
                <w:b/>
                <w:bCs/>
                <w:sz w:val="20"/>
                <w:szCs w:val="20"/>
              </w:rPr>
              <w:t>2.0%</w:t>
            </w:r>
          </w:p>
        </w:tc>
        <w:tc>
          <w:tcPr>
            <w:tcW w:w="850" w:type="dxa"/>
          </w:tcPr>
          <w:p w14:paraId="2C6F3346" w14:textId="77777777" w:rsidR="00255EC0" w:rsidRPr="00367CD4" w:rsidRDefault="00255EC0" w:rsidP="00012E27">
            <w:pPr>
              <w:pStyle w:val="Tabletextnospace"/>
              <w:rPr>
                <w:rFonts w:ascii="VIC Light Italic" w:hAnsi="VIC Light Italic" w:cs="VIC Light Italic"/>
                <w:b/>
                <w:bCs/>
                <w:i/>
                <w:iCs/>
                <w:sz w:val="20"/>
                <w:szCs w:val="20"/>
              </w:rPr>
            </w:pPr>
            <w:r w:rsidRPr="00367CD4">
              <w:rPr>
                <w:rFonts w:ascii="Wingdings 2" w:hAnsi="Wingdings 2" w:cs="Wingdings 2"/>
                <w:b/>
                <w:bCs/>
                <w:sz w:val="20"/>
                <w:szCs w:val="20"/>
              </w:rPr>
              <w:t>™</w:t>
            </w:r>
          </w:p>
        </w:tc>
      </w:tr>
      <w:tr w:rsidR="00255EC0" w:rsidRPr="00845807" w14:paraId="0C1E8072" w14:textId="77777777" w:rsidTr="00E8460A">
        <w:trPr>
          <w:trHeight w:val="113"/>
        </w:trPr>
        <w:tc>
          <w:tcPr>
            <w:tcW w:w="4660" w:type="dxa"/>
          </w:tcPr>
          <w:p w14:paraId="6FA32F11" w14:textId="77777777" w:rsidR="00255EC0" w:rsidRPr="00845807" w:rsidRDefault="00255EC0" w:rsidP="00012E27">
            <w:pPr>
              <w:pStyle w:val="Tabletextnospace"/>
              <w:rPr>
                <w:rFonts w:ascii="VIC Italic" w:hAnsi="VIC Italic"/>
                <w:sz w:val="20"/>
                <w:szCs w:val="20"/>
              </w:rPr>
            </w:pPr>
          </w:p>
        </w:tc>
        <w:tc>
          <w:tcPr>
            <w:tcW w:w="964" w:type="dxa"/>
          </w:tcPr>
          <w:p w14:paraId="62519962" w14:textId="77777777" w:rsidR="00255EC0" w:rsidRPr="00845807" w:rsidRDefault="00255EC0" w:rsidP="00012E27">
            <w:pPr>
              <w:pStyle w:val="Tabletextnospace"/>
              <w:rPr>
                <w:rFonts w:ascii="VIC Italic" w:hAnsi="VIC Italic"/>
                <w:sz w:val="20"/>
                <w:szCs w:val="20"/>
              </w:rPr>
            </w:pPr>
          </w:p>
        </w:tc>
        <w:tc>
          <w:tcPr>
            <w:tcW w:w="964" w:type="dxa"/>
          </w:tcPr>
          <w:p w14:paraId="6F762854" w14:textId="77777777" w:rsidR="00255EC0" w:rsidRPr="00845807" w:rsidRDefault="00255EC0" w:rsidP="00012E27">
            <w:pPr>
              <w:pStyle w:val="Tabletextnospace"/>
              <w:rPr>
                <w:rFonts w:ascii="VIC Italic" w:hAnsi="VIC Italic"/>
                <w:sz w:val="20"/>
                <w:szCs w:val="20"/>
              </w:rPr>
            </w:pPr>
          </w:p>
        </w:tc>
        <w:tc>
          <w:tcPr>
            <w:tcW w:w="963" w:type="dxa"/>
          </w:tcPr>
          <w:p w14:paraId="22F615A7" w14:textId="77777777" w:rsidR="00255EC0" w:rsidRPr="00845807" w:rsidRDefault="00255EC0" w:rsidP="00012E27">
            <w:pPr>
              <w:pStyle w:val="Tabletextnospace"/>
              <w:rPr>
                <w:rFonts w:ascii="VIC Italic" w:hAnsi="VIC Italic"/>
                <w:sz w:val="20"/>
                <w:szCs w:val="20"/>
              </w:rPr>
            </w:pPr>
          </w:p>
        </w:tc>
        <w:tc>
          <w:tcPr>
            <w:tcW w:w="1375" w:type="dxa"/>
          </w:tcPr>
          <w:p w14:paraId="55A97A50" w14:textId="77777777" w:rsidR="00255EC0" w:rsidRPr="00845807" w:rsidRDefault="00255EC0" w:rsidP="00012E27">
            <w:pPr>
              <w:pStyle w:val="Tabletextnospace"/>
              <w:rPr>
                <w:rFonts w:ascii="VIC Italic" w:hAnsi="VIC Italic"/>
                <w:sz w:val="20"/>
                <w:szCs w:val="20"/>
              </w:rPr>
            </w:pPr>
          </w:p>
        </w:tc>
        <w:tc>
          <w:tcPr>
            <w:tcW w:w="850" w:type="dxa"/>
          </w:tcPr>
          <w:p w14:paraId="61C63650" w14:textId="77777777" w:rsidR="00255EC0" w:rsidRPr="00845807" w:rsidRDefault="00255EC0" w:rsidP="00012E27">
            <w:pPr>
              <w:pStyle w:val="Tabletextnospace"/>
              <w:rPr>
                <w:rFonts w:ascii="VIC Italic" w:hAnsi="VIC Italic"/>
                <w:sz w:val="20"/>
                <w:szCs w:val="20"/>
              </w:rPr>
            </w:pPr>
          </w:p>
        </w:tc>
      </w:tr>
      <w:tr w:rsidR="00255EC0" w:rsidRPr="00845807" w14:paraId="67C19468" w14:textId="77777777" w:rsidTr="00E8460A">
        <w:trPr>
          <w:trHeight w:val="113"/>
        </w:trPr>
        <w:tc>
          <w:tcPr>
            <w:tcW w:w="9776" w:type="dxa"/>
            <w:gridSpan w:val="6"/>
          </w:tcPr>
          <w:p w14:paraId="09323FAD" w14:textId="4DA342DE" w:rsidR="00255EC0" w:rsidRPr="00845807" w:rsidRDefault="00255EC0" w:rsidP="00012E27">
            <w:pPr>
              <w:pStyle w:val="Tabletextnospace"/>
              <w:rPr>
                <w:sz w:val="20"/>
                <w:szCs w:val="20"/>
              </w:rPr>
            </w:pPr>
            <w:r w:rsidRPr="00367CD4">
              <w:rPr>
                <w:b/>
                <w:bCs/>
                <w:sz w:val="20"/>
                <w:szCs w:val="20"/>
              </w:rPr>
              <w:t>Biosecurity and Agriculture Services</w:t>
            </w:r>
            <w:r w:rsidRPr="00845807">
              <w:rPr>
                <w:sz w:val="20"/>
                <w:szCs w:val="20"/>
              </w:rPr>
              <w:br/>
              <w:t>This sub-output delivers biosecurity, agriculture and emergency management services and regulatory programs which support the food and fibre sector to achieve sustainable growth while managing risks and minimising adverse impacts</w:t>
            </w:r>
            <w:r w:rsidR="00367CD4">
              <w:rPr>
                <w:sz w:val="20"/>
                <w:szCs w:val="20"/>
              </w:rPr>
              <w:t xml:space="preserve"> </w:t>
            </w:r>
            <w:r w:rsidRPr="00845807">
              <w:rPr>
                <w:sz w:val="20"/>
                <w:szCs w:val="20"/>
              </w:rPr>
              <w:t>to the economy, environment and public health and safety.</w:t>
            </w:r>
          </w:p>
        </w:tc>
      </w:tr>
      <w:tr w:rsidR="00367CD4" w:rsidRPr="00845807" w14:paraId="62D2526C" w14:textId="77777777" w:rsidTr="00E8460A">
        <w:trPr>
          <w:trHeight w:val="113"/>
        </w:trPr>
        <w:tc>
          <w:tcPr>
            <w:tcW w:w="9776" w:type="dxa"/>
            <w:gridSpan w:val="6"/>
          </w:tcPr>
          <w:p w14:paraId="05066EB9" w14:textId="6EB9206A" w:rsidR="00367CD4" w:rsidRPr="00367CD4" w:rsidRDefault="00367CD4" w:rsidP="00012E27">
            <w:pPr>
              <w:pStyle w:val="Tabletextnospace"/>
              <w:rPr>
                <w:rFonts w:ascii="VIC Italic" w:hAnsi="VIC Italic"/>
                <w:b/>
                <w:bCs/>
                <w:sz w:val="20"/>
                <w:szCs w:val="20"/>
              </w:rPr>
            </w:pPr>
            <w:r w:rsidRPr="00367CD4">
              <w:rPr>
                <w:b/>
                <w:bCs/>
                <w:sz w:val="20"/>
                <w:szCs w:val="20"/>
              </w:rPr>
              <w:t>Quantity</w:t>
            </w:r>
          </w:p>
        </w:tc>
      </w:tr>
      <w:tr w:rsidR="00255EC0" w:rsidRPr="00845807" w14:paraId="1FDF9265" w14:textId="77777777" w:rsidTr="00E8460A">
        <w:trPr>
          <w:trHeight w:val="113"/>
        </w:trPr>
        <w:tc>
          <w:tcPr>
            <w:tcW w:w="4660" w:type="dxa"/>
          </w:tcPr>
          <w:p w14:paraId="39B0E14F" w14:textId="77777777" w:rsidR="00255EC0" w:rsidRPr="00845807" w:rsidRDefault="00255EC0" w:rsidP="00012E27">
            <w:pPr>
              <w:pStyle w:val="Tabletextnospace"/>
              <w:rPr>
                <w:sz w:val="20"/>
                <w:szCs w:val="20"/>
              </w:rPr>
            </w:pPr>
            <w:r w:rsidRPr="00845807">
              <w:rPr>
                <w:sz w:val="20"/>
                <w:szCs w:val="20"/>
              </w:rPr>
              <w:t>Animal pest, disease and residue control programs maintained to ensure Victorian agricultural produce complies with food safety and biosecurity standards required to access markets</w:t>
            </w:r>
          </w:p>
        </w:tc>
        <w:tc>
          <w:tcPr>
            <w:tcW w:w="964" w:type="dxa"/>
          </w:tcPr>
          <w:p w14:paraId="51C07900"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5FEEE504" w14:textId="77777777" w:rsidR="00255EC0" w:rsidRPr="00845807" w:rsidRDefault="00255EC0" w:rsidP="00845807">
            <w:pPr>
              <w:pStyle w:val="Tabletextnospace"/>
              <w:jc w:val="right"/>
              <w:rPr>
                <w:sz w:val="20"/>
                <w:szCs w:val="20"/>
              </w:rPr>
            </w:pPr>
            <w:r w:rsidRPr="00845807">
              <w:rPr>
                <w:sz w:val="20"/>
                <w:szCs w:val="20"/>
              </w:rPr>
              <w:t>5</w:t>
            </w:r>
          </w:p>
        </w:tc>
        <w:tc>
          <w:tcPr>
            <w:tcW w:w="963" w:type="dxa"/>
          </w:tcPr>
          <w:p w14:paraId="6AD4B97F" w14:textId="77777777" w:rsidR="00255EC0" w:rsidRPr="00845807" w:rsidRDefault="00255EC0" w:rsidP="00845807">
            <w:pPr>
              <w:pStyle w:val="Tabletextnospace"/>
              <w:jc w:val="right"/>
              <w:rPr>
                <w:sz w:val="20"/>
                <w:szCs w:val="20"/>
              </w:rPr>
            </w:pPr>
            <w:r w:rsidRPr="00845807">
              <w:rPr>
                <w:sz w:val="20"/>
                <w:szCs w:val="20"/>
              </w:rPr>
              <w:t>5</w:t>
            </w:r>
          </w:p>
        </w:tc>
        <w:tc>
          <w:tcPr>
            <w:tcW w:w="1375" w:type="dxa"/>
          </w:tcPr>
          <w:p w14:paraId="7DDD1E51"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26E0F9E5"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6885D621" w14:textId="77777777" w:rsidTr="00E8460A">
        <w:trPr>
          <w:trHeight w:val="113"/>
        </w:trPr>
        <w:tc>
          <w:tcPr>
            <w:tcW w:w="4660" w:type="dxa"/>
          </w:tcPr>
          <w:p w14:paraId="5EFFFC1D" w14:textId="77777777" w:rsidR="00255EC0" w:rsidRPr="00845807" w:rsidRDefault="00255EC0" w:rsidP="00012E27">
            <w:pPr>
              <w:pStyle w:val="Tabletextnospace"/>
              <w:rPr>
                <w:sz w:val="20"/>
                <w:szCs w:val="20"/>
              </w:rPr>
            </w:pPr>
            <w:r w:rsidRPr="00845807">
              <w:rPr>
                <w:sz w:val="20"/>
                <w:szCs w:val="20"/>
              </w:rPr>
              <w:t>Clients engaged with agriculture services</w:t>
            </w:r>
          </w:p>
        </w:tc>
        <w:tc>
          <w:tcPr>
            <w:tcW w:w="964" w:type="dxa"/>
          </w:tcPr>
          <w:p w14:paraId="1D77D30F"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18E896DB" w14:textId="77777777" w:rsidR="00255EC0" w:rsidRPr="00845807" w:rsidRDefault="00255EC0" w:rsidP="00845807">
            <w:pPr>
              <w:pStyle w:val="Tabletextnospace"/>
              <w:jc w:val="right"/>
              <w:rPr>
                <w:sz w:val="20"/>
                <w:szCs w:val="20"/>
              </w:rPr>
            </w:pPr>
            <w:r w:rsidRPr="00845807">
              <w:rPr>
                <w:sz w:val="20"/>
                <w:szCs w:val="20"/>
              </w:rPr>
              <w:t>4966</w:t>
            </w:r>
          </w:p>
        </w:tc>
        <w:tc>
          <w:tcPr>
            <w:tcW w:w="963" w:type="dxa"/>
          </w:tcPr>
          <w:p w14:paraId="2DF01013" w14:textId="77777777" w:rsidR="00255EC0" w:rsidRPr="00845807" w:rsidRDefault="00255EC0" w:rsidP="00845807">
            <w:pPr>
              <w:pStyle w:val="Tabletextnospace"/>
              <w:jc w:val="right"/>
              <w:rPr>
                <w:sz w:val="20"/>
                <w:szCs w:val="20"/>
              </w:rPr>
            </w:pPr>
            <w:r w:rsidRPr="00845807">
              <w:rPr>
                <w:sz w:val="20"/>
                <w:szCs w:val="20"/>
              </w:rPr>
              <w:t>4300</w:t>
            </w:r>
          </w:p>
        </w:tc>
        <w:tc>
          <w:tcPr>
            <w:tcW w:w="1375" w:type="dxa"/>
          </w:tcPr>
          <w:p w14:paraId="6DA56B70" w14:textId="77777777" w:rsidR="00255EC0" w:rsidRPr="00845807" w:rsidRDefault="00255EC0" w:rsidP="00845807">
            <w:pPr>
              <w:pStyle w:val="Tabletextnospace"/>
              <w:jc w:val="right"/>
              <w:rPr>
                <w:sz w:val="20"/>
                <w:szCs w:val="20"/>
              </w:rPr>
            </w:pPr>
            <w:r w:rsidRPr="00845807">
              <w:rPr>
                <w:sz w:val="20"/>
                <w:szCs w:val="20"/>
              </w:rPr>
              <w:t>15.5%</w:t>
            </w:r>
          </w:p>
        </w:tc>
        <w:tc>
          <w:tcPr>
            <w:tcW w:w="850" w:type="dxa"/>
          </w:tcPr>
          <w:p w14:paraId="7E178CEA"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4E0608" w14:paraId="23B223D2" w14:textId="77777777" w:rsidTr="00E8460A">
        <w:trPr>
          <w:trHeight w:val="113"/>
        </w:trPr>
        <w:tc>
          <w:tcPr>
            <w:tcW w:w="9776" w:type="dxa"/>
            <w:gridSpan w:val="6"/>
          </w:tcPr>
          <w:p w14:paraId="7174AA32" w14:textId="77777777" w:rsidR="00255EC0" w:rsidRPr="004E0608" w:rsidRDefault="00255EC0" w:rsidP="00012E27">
            <w:pPr>
              <w:pStyle w:val="Tabletextnospace"/>
              <w:rPr>
                <w:i/>
                <w:iCs/>
                <w:sz w:val="18"/>
              </w:rPr>
            </w:pPr>
            <w:r w:rsidRPr="004E0608">
              <w:rPr>
                <w:i/>
                <w:iCs/>
                <w:sz w:val="18"/>
              </w:rPr>
              <w:t xml:space="preserve">Higher result due to increased uptake of demand-driven services associated with drought, dry seasonal </w:t>
            </w:r>
            <w:proofErr w:type="gramStart"/>
            <w:r w:rsidRPr="004E0608">
              <w:rPr>
                <w:i/>
                <w:iCs/>
                <w:sz w:val="18"/>
              </w:rPr>
              <w:t>conditions</w:t>
            </w:r>
            <w:proofErr w:type="gramEnd"/>
            <w:r w:rsidRPr="004E0608">
              <w:rPr>
                <w:i/>
                <w:iCs/>
                <w:sz w:val="18"/>
              </w:rPr>
              <w:t xml:space="preserve"> and bushfire recovery. </w:t>
            </w:r>
          </w:p>
        </w:tc>
      </w:tr>
      <w:tr w:rsidR="00255EC0" w:rsidRPr="00845807" w14:paraId="46419BB9" w14:textId="77777777" w:rsidTr="00E8460A">
        <w:trPr>
          <w:trHeight w:val="113"/>
        </w:trPr>
        <w:tc>
          <w:tcPr>
            <w:tcW w:w="4660" w:type="dxa"/>
          </w:tcPr>
          <w:p w14:paraId="0414F93F" w14:textId="23FF6422" w:rsidR="00255EC0" w:rsidRPr="00845807" w:rsidRDefault="00255EC0" w:rsidP="00012E27">
            <w:pPr>
              <w:pStyle w:val="Tabletextnospace"/>
              <w:rPr>
                <w:sz w:val="20"/>
                <w:szCs w:val="20"/>
              </w:rPr>
            </w:pPr>
            <w:r w:rsidRPr="00845807">
              <w:rPr>
                <w:sz w:val="20"/>
                <w:szCs w:val="20"/>
              </w:rPr>
              <w:t>Improved agricultural services, program and products developed</w:t>
            </w:r>
          </w:p>
        </w:tc>
        <w:tc>
          <w:tcPr>
            <w:tcW w:w="964" w:type="dxa"/>
          </w:tcPr>
          <w:p w14:paraId="33AAA414"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346563F7" w14:textId="77777777" w:rsidR="00255EC0" w:rsidRPr="00845807" w:rsidRDefault="00255EC0" w:rsidP="00845807">
            <w:pPr>
              <w:pStyle w:val="Tabletextnospace"/>
              <w:jc w:val="right"/>
              <w:rPr>
                <w:sz w:val="20"/>
                <w:szCs w:val="20"/>
              </w:rPr>
            </w:pPr>
            <w:r w:rsidRPr="00845807">
              <w:rPr>
                <w:sz w:val="20"/>
                <w:szCs w:val="20"/>
              </w:rPr>
              <w:t>10</w:t>
            </w:r>
          </w:p>
        </w:tc>
        <w:tc>
          <w:tcPr>
            <w:tcW w:w="963" w:type="dxa"/>
          </w:tcPr>
          <w:p w14:paraId="30B8C642" w14:textId="77777777" w:rsidR="00255EC0" w:rsidRPr="00845807" w:rsidRDefault="00255EC0" w:rsidP="00845807">
            <w:pPr>
              <w:pStyle w:val="Tabletextnospace"/>
              <w:jc w:val="right"/>
              <w:rPr>
                <w:sz w:val="20"/>
                <w:szCs w:val="20"/>
              </w:rPr>
            </w:pPr>
            <w:r w:rsidRPr="00845807">
              <w:rPr>
                <w:sz w:val="20"/>
                <w:szCs w:val="20"/>
              </w:rPr>
              <w:t>10</w:t>
            </w:r>
          </w:p>
        </w:tc>
        <w:tc>
          <w:tcPr>
            <w:tcW w:w="1375" w:type="dxa"/>
          </w:tcPr>
          <w:p w14:paraId="3B9AAF6A"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38483C64"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1F99A8A0" w14:textId="77777777" w:rsidTr="00E8460A">
        <w:trPr>
          <w:trHeight w:val="113"/>
        </w:trPr>
        <w:tc>
          <w:tcPr>
            <w:tcW w:w="4660" w:type="dxa"/>
          </w:tcPr>
          <w:p w14:paraId="5DFFE86A" w14:textId="77777777" w:rsidR="00255EC0" w:rsidRPr="00845807" w:rsidRDefault="00255EC0" w:rsidP="00012E27">
            <w:pPr>
              <w:pStyle w:val="Tabletextnospace"/>
              <w:rPr>
                <w:sz w:val="20"/>
                <w:szCs w:val="20"/>
              </w:rPr>
            </w:pPr>
            <w:r w:rsidRPr="00845807">
              <w:rPr>
                <w:sz w:val="20"/>
                <w:szCs w:val="20"/>
              </w:rPr>
              <w:t>Known state prohibited weed sites monitored and treated in line with the relevant weed action plan</w:t>
            </w:r>
          </w:p>
        </w:tc>
        <w:tc>
          <w:tcPr>
            <w:tcW w:w="964" w:type="dxa"/>
          </w:tcPr>
          <w:p w14:paraId="3D840D0A"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0DF50D01" w14:textId="77777777" w:rsidR="00255EC0" w:rsidRPr="00845807" w:rsidRDefault="00255EC0" w:rsidP="00845807">
            <w:pPr>
              <w:pStyle w:val="Tabletextnospace"/>
              <w:jc w:val="right"/>
              <w:rPr>
                <w:sz w:val="20"/>
                <w:szCs w:val="20"/>
              </w:rPr>
            </w:pPr>
            <w:r w:rsidRPr="00845807">
              <w:rPr>
                <w:sz w:val="20"/>
                <w:szCs w:val="20"/>
              </w:rPr>
              <w:t>91</w:t>
            </w:r>
          </w:p>
        </w:tc>
        <w:tc>
          <w:tcPr>
            <w:tcW w:w="963" w:type="dxa"/>
          </w:tcPr>
          <w:p w14:paraId="0D00A713" w14:textId="77777777" w:rsidR="00255EC0" w:rsidRPr="00845807" w:rsidRDefault="00255EC0" w:rsidP="00845807">
            <w:pPr>
              <w:pStyle w:val="Tabletextnospace"/>
              <w:jc w:val="right"/>
              <w:rPr>
                <w:sz w:val="20"/>
                <w:szCs w:val="20"/>
              </w:rPr>
            </w:pPr>
            <w:r w:rsidRPr="00845807">
              <w:rPr>
                <w:sz w:val="20"/>
                <w:szCs w:val="20"/>
              </w:rPr>
              <w:t>95</w:t>
            </w:r>
          </w:p>
        </w:tc>
        <w:tc>
          <w:tcPr>
            <w:tcW w:w="1375" w:type="dxa"/>
          </w:tcPr>
          <w:p w14:paraId="6D1630DB" w14:textId="77777777" w:rsidR="00255EC0" w:rsidRPr="00845807" w:rsidRDefault="00255EC0" w:rsidP="00845807">
            <w:pPr>
              <w:pStyle w:val="Tabletextnospace"/>
              <w:jc w:val="right"/>
              <w:rPr>
                <w:sz w:val="20"/>
                <w:szCs w:val="20"/>
              </w:rPr>
            </w:pPr>
            <w:r w:rsidRPr="00845807">
              <w:rPr>
                <w:sz w:val="20"/>
                <w:szCs w:val="20"/>
              </w:rPr>
              <w:t>-4.2%</w:t>
            </w:r>
          </w:p>
        </w:tc>
        <w:tc>
          <w:tcPr>
            <w:tcW w:w="850" w:type="dxa"/>
          </w:tcPr>
          <w:p w14:paraId="075D412A" w14:textId="77777777" w:rsidR="00255EC0" w:rsidRPr="00845807"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845807">
              <w:rPr>
                <w:rFonts w:ascii="Wingdings 2" w:hAnsi="Wingdings 2" w:cs="Wingdings 2"/>
                <w:sz w:val="20"/>
                <w:lang w:val="en-GB"/>
              </w:rPr>
              <w:t>™</w:t>
            </w:r>
          </w:p>
        </w:tc>
      </w:tr>
      <w:tr w:rsidR="00255EC0" w:rsidRPr="00845807" w14:paraId="7F922308" w14:textId="77777777" w:rsidTr="00E8460A">
        <w:trPr>
          <w:trHeight w:val="113"/>
        </w:trPr>
        <w:tc>
          <w:tcPr>
            <w:tcW w:w="4660" w:type="dxa"/>
          </w:tcPr>
          <w:p w14:paraId="64E6B6B9" w14:textId="77777777" w:rsidR="00255EC0" w:rsidRPr="00845807" w:rsidRDefault="00255EC0" w:rsidP="00012E27">
            <w:pPr>
              <w:pStyle w:val="Tabletextnospace"/>
              <w:rPr>
                <w:sz w:val="20"/>
                <w:szCs w:val="20"/>
              </w:rPr>
            </w:pPr>
            <w:r w:rsidRPr="00845807">
              <w:rPr>
                <w:sz w:val="20"/>
                <w:szCs w:val="20"/>
              </w:rPr>
              <w:t>New or amended Interstate Certificate Assurance (ICA) or other market access accreditations developed to restore or enable trade</w:t>
            </w:r>
          </w:p>
        </w:tc>
        <w:tc>
          <w:tcPr>
            <w:tcW w:w="964" w:type="dxa"/>
          </w:tcPr>
          <w:p w14:paraId="01FCC4AE"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59120926" w14:textId="77777777" w:rsidR="00255EC0" w:rsidRPr="00845807" w:rsidRDefault="00255EC0" w:rsidP="00845807">
            <w:pPr>
              <w:pStyle w:val="Tabletextnospace"/>
              <w:jc w:val="right"/>
              <w:rPr>
                <w:sz w:val="20"/>
                <w:szCs w:val="20"/>
              </w:rPr>
            </w:pPr>
            <w:r w:rsidRPr="00845807">
              <w:rPr>
                <w:sz w:val="20"/>
                <w:szCs w:val="20"/>
              </w:rPr>
              <w:t>8</w:t>
            </w:r>
          </w:p>
        </w:tc>
        <w:tc>
          <w:tcPr>
            <w:tcW w:w="963" w:type="dxa"/>
          </w:tcPr>
          <w:p w14:paraId="23F5CAA7" w14:textId="77777777" w:rsidR="00255EC0" w:rsidRPr="00845807" w:rsidRDefault="00255EC0" w:rsidP="00845807">
            <w:pPr>
              <w:pStyle w:val="Tabletextnospace"/>
              <w:jc w:val="right"/>
              <w:rPr>
                <w:sz w:val="20"/>
                <w:szCs w:val="20"/>
              </w:rPr>
            </w:pPr>
            <w:r w:rsidRPr="00845807">
              <w:rPr>
                <w:sz w:val="20"/>
                <w:szCs w:val="20"/>
              </w:rPr>
              <w:t>2</w:t>
            </w:r>
          </w:p>
        </w:tc>
        <w:tc>
          <w:tcPr>
            <w:tcW w:w="1375" w:type="dxa"/>
          </w:tcPr>
          <w:p w14:paraId="276C3CF7" w14:textId="77777777" w:rsidR="00255EC0" w:rsidRPr="00845807" w:rsidRDefault="00255EC0" w:rsidP="00845807">
            <w:pPr>
              <w:pStyle w:val="Tabletextnospace"/>
              <w:jc w:val="right"/>
              <w:rPr>
                <w:sz w:val="20"/>
                <w:szCs w:val="20"/>
              </w:rPr>
            </w:pPr>
            <w:r w:rsidRPr="00845807">
              <w:rPr>
                <w:sz w:val="20"/>
                <w:szCs w:val="20"/>
              </w:rPr>
              <w:t>300.0%</w:t>
            </w:r>
          </w:p>
        </w:tc>
        <w:tc>
          <w:tcPr>
            <w:tcW w:w="850" w:type="dxa"/>
          </w:tcPr>
          <w:p w14:paraId="7E6B9077"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4E0608" w14:paraId="353D8779" w14:textId="77777777" w:rsidTr="00E8460A">
        <w:trPr>
          <w:trHeight w:val="113"/>
        </w:trPr>
        <w:tc>
          <w:tcPr>
            <w:tcW w:w="9776" w:type="dxa"/>
            <w:gridSpan w:val="6"/>
          </w:tcPr>
          <w:p w14:paraId="2456E936" w14:textId="5DF51C3B" w:rsidR="00255EC0" w:rsidRPr="004E0608" w:rsidRDefault="00255EC0" w:rsidP="00012E27">
            <w:pPr>
              <w:pStyle w:val="Tabletextnospace"/>
              <w:rPr>
                <w:i/>
                <w:iCs/>
                <w:sz w:val="18"/>
              </w:rPr>
            </w:pPr>
            <w:r w:rsidRPr="004E0608">
              <w:rPr>
                <w:i/>
                <w:iCs/>
                <w:sz w:val="18"/>
              </w:rPr>
              <w:t xml:space="preserve">Higher result is due to </w:t>
            </w:r>
            <w:proofErr w:type="gramStart"/>
            <w:r w:rsidRPr="004E0608">
              <w:rPr>
                <w:i/>
                <w:iCs/>
                <w:sz w:val="18"/>
              </w:rPr>
              <w:t>a number of</w:t>
            </w:r>
            <w:proofErr w:type="gramEnd"/>
            <w:r w:rsidRPr="004E0608">
              <w:rPr>
                <w:i/>
                <w:iCs/>
                <w:sz w:val="18"/>
              </w:rPr>
              <w:t xml:space="preserve"> factors not directly influenced by the department. These external factors include changes</w:t>
            </w:r>
            <w:r w:rsidR="00367CD4" w:rsidRPr="004E0608">
              <w:rPr>
                <w:i/>
                <w:iCs/>
                <w:sz w:val="18"/>
              </w:rPr>
              <w:t xml:space="preserve"> </w:t>
            </w:r>
            <w:r w:rsidRPr="004E0608">
              <w:rPr>
                <w:i/>
                <w:iCs/>
                <w:sz w:val="18"/>
              </w:rPr>
              <w:t xml:space="preserve">to requirements of other jurisdictions, national policy, industry demand, and the response to new pests and/or diseases. </w:t>
            </w:r>
          </w:p>
        </w:tc>
      </w:tr>
      <w:tr w:rsidR="00255EC0" w:rsidRPr="00845807" w14:paraId="0CAC8763" w14:textId="77777777" w:rsidTr="00E8460A">
        <w:trPr>
          <w:trHeight w:val="113"/>
        </w:trPr>
        <w:tc>
          <w:tcPr>
            <w:tcW w:w="4660" w:type="dxa"/>
          </w:tcPr>
          <w:p w14:paraId="1482F20B" w14:textId="77777777" w:rsidR="00255EC0" w:rsidRPr="00845807" w:rsidRDefault="00255EC0" w:rsidP="00012E27">
            <w:pPr>
              <w:pStyle w:val="Tabletextnospace"/>
              <w:rPr>
                <w:sz w:val="20"/>
                <w:szCs w:val="20"/>
              </w:rPr>
            </w:pPr>
            <w:r w:rsidRPr="00845807">
              <w:rPr>
                <w:sz w:val="20"/>
                <w:szCs w:val="20"/>
              </w:rPr>
              <w:t>Plant pest, disease and residue control programs maintained to ensure Victorian agricultural produce complies with food safety and biosecurity standards required to access markets</w:t>
            </w:r>
          </w:p>
        </w:tc>
        <w:tc>
          <w:tcPr>
            <w:tcW w:w="964" w:type="dxa"/>
          </w:tcPr>
          <w:p w14:paraId="7E8C559A"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68BCEB54" w14:textId="77777777" w:rsidR="00255EC0" w:rsidRPr="00845807" w:rsidRDefault="00255EC0" w:rsidP="00845807">
            <w:pPr>
              <w:pStyle w:val="Tabletextnospace"/>
              <w:jc w:val="right"/>
              <w:rPr>
                <w:sz w:val="20"/>
                <w:szCs w:val="20"/>
              </w:rPr>
            </w:pPr>
            <w:r w:rsidRPr="00845807">
              <w:rPr>
                <w:sz w:val="20"/>
                <w:szCs w:val="20"/>
              </w:rPr>
              <w:t>6</w:t>
            </w:r>
          </w:p>
        </w:tc>
        <w:tc>
          <w:tcPr>
            <w:tcW w:w="963" w:type="dxa"/>
          </w:tcPr>
          <w:p w14:paraId="329CF56B" w14:textId="77777777" w:rsidR="00255EC0" w:rsidRPr="00845807" w:rsidRDefault="00255EC0" w:rsidP="00845807">
            <w:pPr>
              <w:pStyle w:val="Tabletextnospace"/>
              <w:jc w:val="right"/>
              <w:rPr>
                <w:sz w:val="20"/>
                <w:szCs w:val="20"/>
              </w:rPr>
            </w:pPr>
            <w:r w:rsidRPr="00845807">
              <w:rPr>
                <w:sz w:val="20"/>
                <w:szCs w:val="20"/>
              </w:rPr>
              <w:t>6</w:t>
            </w:r>
          </w:p>
        </w:tc>
        <w:tc>
          <w:tcPr>
            <w:tcW w:w="1375" w:type="dxa"/>
          </w:tcPr>
          <w:p w14:paraId="4A7FE608"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27A8AAC8"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6E6D936D" w14:textId="77777777" w:rsidTr="00E8460A">
        <w:trPr>
          <w:trHeight w:val="113"/>
        </w:trPr>
        <w:tc>
          <w:tcPr>
            <w:tcW w:w="4660" w:type="dxa"/>
          </w:tcPr>
          <w:p w14:paraId="51D29471" w14:textId="77777777" w:rsidR="00255EC0" w:rsidRPr="00845807" w:rsidRDefault="00255EC0" w:rsidP="00012E27">
            <w:pPr>
              <w:pStyle w:val="Tabletextnospace"/>
              <w:rPr>
                <w:sz w:val="20"/>
                <w:szCs w:val="20"/>
              </w:rPr>
            </w:pPr>
            <w:r w:rsidRPr="00845807">
              <w:rPr>
                <w:sz w:val="20"/>
                <w:szCs w:val="20"/>
              </w:rPr>
              <w:t>Properties inspected for invasive plant and animal</w:t>
            </w:r>
            <w:r w:rsidRPr="00845807">
              <w:rPr>
                <w:sz w:val="20"/>
                <w:szCs w:val="20"/>
              </w:rPr>
              <w:br/>
              <w:t>priority species</w:t>
            </w:r>
          </w:p>
        </w:tc>
        <w:tc>
          <w:tcPr>
            <w:tcW w:w="964" w:type="dxa"/>
          </w:tcPr>
          <w:p w14:paraId="169584BA"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0111869A" w14:textId="77777777" w:rsidR="00255EC0" w:rsidRPr="00845807" w:rsidRDefault="00255EC0" w:rsidP="00845807">
            <w:pPr>
              <w:pStyle w:val="Tabletextnospace"/>
              <w:jc w:val="right"/>
              <w:rPr>
                <w:sz w:val="20"/>
                <w:szCs w:val="20"/>
              </w:rPr>
            </w:pPr>
            <w:r w:rsidRPr="00845807">
              <w:rPr>
                <w:sz w:val="20"/>
                <w:szCs w:val="20"/>
              </w:rPr>
              <w:t>2794</w:t>
            </w:r>
          </w:p>
        </w:tc>
        <w:tc>
          <w:tcPr>
            <w:tcW w:w="963" w:type="dxa"/>
          </w:tcPr>
          <w:p w14:paraId="186569CF" w14:textId="77777777" w:rsidR="00255EC0" w:rsidRPr="00845807" w:rsidRDefault="00255EC0" w:rsidP="00845807">
            <w:pPr>
              <w:pStyle w:val="Tabletextnospace"/>
              <w:jc w:val="right"/>
              <w:rPr>
                <w:sz w:val="20"/>
                <w:szCs w:val="20"/>
              </w:rPr>
            </w:pPr>
            <w:r w:rsidRPr="00845807">
              <w:rPr>
                <w:sz w:val="20"/>
                <w:szCs w:val="20"/>
              </w:rPr>
              <w:t>2700</w:t>
            </w:r>
          </w:p>
        </w:tc>
        <w:tc>
          <w:tcPr>
            <w:tcW w:w="1375" w:type="dxa"/>
          </w:tcPr>
          <w:p w14:paraId="0598F5F5" w14:textId="77777777" w:rsidR="00255EC0" w:rsidRPr="00845807" w:rsidRDefault="00255EC0" w:rsidP="00845807">
            <w:pPr>
              <w:pStyle w:val="Tabletextnospace"/>
              <w:jc w:val="right"/>
              <w:rPr>
                <w:sz w:val="20"/>
                <w:szCs w:val="20"/>
              </w:rPr>
            </w:pPr>
            <w:r w:rsidRPr="00845807">
              <w:rPr>
                <w:sz w:val="20"/>
                <w:szCs w:val="20"/>
              </w:rPr>
              <w:t>3.5%</w:t>
            </w:r>
          </w:p>
        </w:tc>
        <w:tc>
          <w:tcPr>
            <w:tcW w:w="850" w:type="dxa"/>
          </w:tcPr>
          <w:p w14:paraId="5820691E"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367CD4" w14:paraId="1545FEB4" w14:textId="77777777" w:rsidTr="00E8460A">
        <w:trPr>
          <w:trHeight w:val="113"/>
        </w:trPr>
        <w:tc>
          <w:tcPr>
            <w:tcW w:w="9776" w:type="dxa"/>
            <w:gridSpan w:val="6"/>
          </w:tcPr>
          <w:p w14:paraId="7CBDB7ED" w14:textId="77777777" w:rsidR="00255EC0" w:rsidRPr="00367CD4" w:rsidRDefault="00255EC0" w:rsidP="00012E27">
            <w:pPr>
              <w:pStyle w:val="Tabletextnospace"/>
              <w:rPr>
                <w:b/>
                <w:bCs/>
                <w:sz w:val="20"/>
                <w:szCs w:val="20"/>
              </w:rPr>
            </w:pPr>
            <w:r w:rsidRPr="00367CD4">
              <w:rPr>
                <w:b/>
                <w:bCs/>
                <w:sz w:val="20"/>
                <w:szCs w:val="20"/>
              </w:rPr>
              <w:t>Quality</w:t>
            </w:r>
          </w:p>
        </w:tc>
      </w:tr>
      <w:tr w:rsidR="00255EC0" w:rsidRPr="00845807" w14:paraId="508E3A7E" w14:textId="77777777" w:rsidTr="00E8460A">
        <w:trPr>
          <w:trHeight w:val="113"/>
        </w:trPr>
        <w:tc>
          <w:tcPr>
            <w:tcW w:w="4660" w:type="dxa"/>
          </w:tcPr>
          <w:p w14:paraId="3948FFC1" w14:textId="77777777" w:rsidR="00255EC0" w:rsidRPr="00845807" w:rsidRDefault="00255EC0" w:rsidP="00012E27">
            <w:pPr>
              <w:pStyle w:val="Tabletextnospace"/>
              <w:rPr>
                <w:sz w:val="20"/>
                <w:szCs w:val="20"/>
              </w:rPr>
            </w:pPr>
            <w:r w:rsidRPr="00845807">
              <w:rPr>
                <w:sz w:val="20"/>
                <w:szCs w:val="20"/>
              </w:rPr>
              <w:t>Client satisfaction rating of agricultural services</w:t>
            </w:r>
          </w:p>
        </w:tc>
        <w:tc>
          <w:tcPr>
            <w:tcW w:w="964" w:type="dxa"/>
          </w:tcPr>
          <w:p w14:paraId="40886A14" w14:textId="77777777" w:rsidR="00255EC0" w:rsidRPr="00845807" w:rsidRDefault="00255EC0" w:rsidP="00845807">
            <w:pPr>
              <w:pStyle w:val="Tabletextnospace"/>
              <w:jc w:val="right"/>
              <w:rPr>
                <w:sz w:val="20"/>
                <w:szCs w:val="20"/>
              </w:rPr>
            </w:pPr>
            <w:r w:rsidRPr="00845807">
              <w:rPr>
                <w:sz w:val="20"/>
                <w:szCs w:val="20"/>
              </w:rPr>
              <w:t>number</w:t>
            </w:r>
          </w:p>
        </w:tc>
        <w:tc>
          <w:tcPr>
            <w:tcW w:w="964" w:type="dxa"/>
          </w:tcPr>
          <w:p w14:paraId="4C5A485F" w14:textId="77777777" w:rsidR="00255EC0" w:rsidRPr="00845807" w:rsidRDefault="00255EC0" w:rsidP="00845807">
            <w:pPr>
              <w:pStyle w:val="Tabletextnospace"/>
              <w:jc w:val="right"/>
              <w:rPr>
                <w:sz w:val="20"/>
                <w:szCs w:val="20"/>
              </w:rPr>
            </w:pPr>
            <w:r w:rsidRPr="00845807">
              <w:rPr>
                <w:sz w:val="20"/>
                <w:szCs w:val="20"/>
              </w:rPr>
              <w:t>8.4</w:t>
            </w:r>
          </w:p>
        </w:tc>
        <w:tc>
          <w:tcPr>
            <w:tcW w:w="963" w:type="dxa"/>
          </w:tcPr>
          <w:p w14:paraId="3E974CD0" w14:textId="77777777" w:rsidR="00255EC0" w:rsidRPr="00845807" w:rsidRDefault="00255EC0" w:rsidP="00845807">
            <w:pPr>
              <w:pStyle w:val="Tabletextnospace"/>
              <w:jc w:val="right"/>
              <w:rPr>
                <w:sz w:val="20"/>
                <w:szCs w:val="20"/>
              </w:rPr>
            </w:pPr>
            <w:r w:rsidRPr="00845807">
              <w:rPr>
                <w:sz w:val="20"/>
                <w:szCs w:val="20"/>
              </w:rPr>
              <w:t>8</w:t>
            </w:r>
          </w:p>
        </w:tc>
        <w:tc>
          <w:tcPr>
            <w:tcW w:w="1375" w:type="dxa"/>
          </w:tcPr>
          <w:p w14:paraId="4D6A9B68" w14:textId="77777777" w:rsidR="00255EC0" w:rsidRPr="00845807" w:rsidRDefault="00255EC0" w:rsidP="00845807">
            <w:pPr>
              <w:pStyle w:val="Tabletextnospace"/>
              <w:jc w:val="right"/>
              <w:rPr>
                <w:sz w:val="20"/>
                <w:szCs w:val="20"/>
              </w:rPr>
            </w:pPr>
            <w:r w:rsidRPr="00845807">
              <w:rPr>
                <w:sz w:val="20"/>
                <w:szCs w:val="20"/>
              </w:rPr>
              <w:t>5.0%</w:t>
            </w:r>
          </w:p>
        </w:tc>
        <w:tc>
          <w:tcPr>
            <w:tcW w:w="850" w:type="dxa"/>
          </w:tcPr>
          <w:p w14:paraId="0DD8C870"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4E0608" w14:paraId="316F3745" w14:textId="77777777" w:rsidTr="00E8460A">
        <w:trPr>
          <w:trHeight w:val="113"/>
        </w:trPr>
        <w:tc>
          <w:tcPr>
            <w:tcW w:w="9776" w:type="dxa"/>
            <w:gridSpan w:val="6"/>
          </w:tcPr>
          <w:p w14:paraId="7B66CA63" w14:textId="77777777" w:rsidR="00255EC0" w:rsidRPr="004E0608" w:rsidRDefault="00255EC0" w:rsidP="00012E27">
            <w:pPr>
              <w:pStyle w:val="Tabletextnospace"/>
              <w:rPr>
                <w:i/>
                <w:iCs/>
                <w:sz w:val="18"/>
              </w:rPr>
            </w:pPr>
            <w:r w:rsidRPr="004E0608">
              <w:rPr>
                <w:i/>
                <w:iCs/>
                <w:sz w:val="18"/>
              </w:rPr>
              <w:t>Higher result is due to greater emphasis on the design and delivery of client-focussed services.</w:t>
            </w:r>
          </w:p>
        </w:tc>
      </w:tr>
      <w:tr w:rsidR="00255EC0" w:rsidRPr="00845807" w14:paraId="293DB303" w14:textId="77777777" w:rsidTr="00E8460A">
        <w:trPr>
          <w:trHeight w:val="113"/>
        </w:trPr>
        <w:tc>
          <w:tcPr>
            <w:tcW w:w="4660" w:type="dxa"/>
          </w:tcPr>
          <w:p w14:paraId="12A81CEC" w14:textId="77777777" w:rsidR="00255EC0" w:rsidRPr="00845807" w:rsidRDefault="00255EC0" w:rsidP="00012E27">
            <w:pPr>
              <w:pStyle w:val="Tabletextnospace"/>
              <w:rPr>
                <w:sz w:val="20"/>
                <w:szCs w:val="20"/>
              </w:rPr>
            </w:pPr>
            <w:r w:rsidRPr="00845807">
              <w:rPr>
                <w:sz w:val="20"/>
                <w:szCs w:val="20"/>
              </w:rPr>
              <w:lastRenderedPageBreak/>
              <w:t>National biosecurity, agriculture/veterinary chemical use and animal welfare programs implemented in accordance with agreed plans</w:t>
            </w:r>
          </w:p>
        </w:tc>
        <w:tc>
          <w:tcPr>
            <w:tcW w:w="964" w:type="dxa"/>
          </w:tcPr>
          <w:p w14:paraId="566A4ED1"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475E93E6" w14:textId="77777777" w:rsidR="00255EC0" w:rsidRPr="00845807" w:rsidRDefault="00255EC0" w:rsidP="00845807">
            <w:pPr>
              <w:pStyle w:val="Tabletextnospace"/>
              <w:jc w:val="right"/>
              <w:rPr>
                <w:sz w:val="20"/>
                <w:szCs w:val="20"/>
              </w:rPr>
            </w:pPr>
            <w:r w:rsidRPr="00845807">
              <w:rPr>
                <w:sz w:val="20"/>
                <w:szCs w:val="20"/>
              </w:rPr>
              <w:t>100</w:t>
            </w:r>
          </w:p>
        </w:tc>
        <w:tc>
          <w:tcPr>
            <w:tcW w:w="963" w:type="dxa"/>
          </w:tcPr>
          <w:p w14:paraId="125CAE95" w14:textId="77777777" w:rsidR="00255EC0" w:rsidRPr="00845807" w:rsidRDefault="00255EC0" w:rsidP="00845807">
            <w:pPr>
              <w:pStyle w:val="Tabletextnospace"/>
              <w:jc w:val="right"/>
              <w:rPr>
                <w:sz w:val="20"/>
                <w:szCs w:val="20"/>
              </w:rPr>
            </w:pPr>
            <w:r w:rsidRPr="00845807">
              <w:rPr>
                <w:sz w:val="20"/>
                <w:szCs w:val="20"/>
              </w:rPr>
              <w:t>95</w:t>
            </w:r>
          </w:p>
        </w:tc>
        <w:tc>
          <w:tcPr>
            <w:tcW w:w="1375" w:type="dxa"/>
          </w:tcPr>
          <w:p w14:paraId="08A23D4F" w14:textId="77777777" w:rsidR="00255EC0" w:rsidRPr="00845807" w:rsidRDefault="00255EC0" w:rsidP="00845807">
            <w:pPr>
              <w:pStyle w:val="Tabletextnospace"/>
              <w:jc w:val="right"/>
              <w:rPr>
                <w:sz w:val="20"/>
                <w:szCs w:val="20"/>
              </w:rPr>
            </w:pPr>
            <w:r w:rsidRPr="00845807">
              <w:rPr>
                <w:sz w:val="20"/>
                <w:szCs w:val="20"/>
              </w:rPr>
              <w:t>5.3%</w:t>
            </w:r>
          </w:p>
        </w:tc>
        <w:tc>
          <w:tcPr>
            <w:tcW w:w="850" w:type="dxa"/>
          </w:tcPr>
          <w:p w14:paraId="5316B57F"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4E0608" w14:paraId="61EE99C3" w14:textId="77777777" w:rsidTr="00E8460A">
        <w:trPr>
          <w:trHeight w:val="113"/>
        </w:trPr>
        <w:tc>
          <w:tcPr>
            <w:tcW w:w="9776" w:type="dxa"/>
            <w:gridSpan w:val="6"/>
          </w:tcPr>
          <w:p w14:paraId="3F0946D1" w14:textId="77777777" w:rsidR="00255EC0" w:rsidRPr="004E0608" w:rsidRDefault="00255EC0" w:rsidP="00012E27">
            <w:pPr>
              <w:pStyle w:val="Tabletextnospace"/>
              <w:rPr>
                <w:i/>
                <w:iCs/>
                <w:sz w:val="18"/>
              </w:rPr>
            </w:pPr>
            <w:r w:rsidRPr="004E0608">
              <w:rPr>
                <w:i/>
                <w:iCs/>
                <w:sz w:val="18"/>
              </w:rPr>
              <w:t>Higher result is due to Victoria responding to all requests associated with national work programs (National Management Group, National Biosecurity Committee, Agriculture Ministers meeting, Agriculture Secretaries Committee). Key contributions were made to development of the Aquatic Animal Health Deed, National Browsing ant Eradication Program, Lens snail, National Tropical Weed Eradication, Red Imported Fire Ant, Citrus Canker, Fruit Fly and Traceability.</w:t>
            </w:r>
          </w:p>
        </w:tc>
      </w:tr>
      <w:tr w:rsidR="00255EC0" w:rsidRPr="00845807" w14:paraId="49F6467C" w14:textId="77777777" w:rsidTr="00E8460A">
        <w:trPr>
          <w:trHeight w:val="113"/>
        </w:trPr>
        <w:tc>
          <w:tcPr>
            <w:tcW w:w="4660" w:type="dxa"/>
          </w:tcPr>
          <w:p w14:paraId="198DC5E1" w14:textId="77777777" w:rsidR="00255EC0" w:rsidRPr="00845807" w:rsidRDefault="00255EC0" w:rsidP="00012E27">
            <w:pPr>
              <w:pStyle w:val="Tabletextnospace"/>
              <w:rPr>
                <w:sz w:val="20"/>
                <w:szCs w:val="20"/>
              </w:rPr>
            </w:pPr>
            <w:r w:rsidRPr="00845807">
              <w:rPr>
                <w:sz w:val="20"/>
                <w:szCs w:val="20"/>
              </w:rPr>
              <w:t xml:space="preserve">Preparedness activities implemented, in line with agreed plans, to ensure response readiness for emergency animal and plant pest, disease and natural disaster incidents. </w:t>
            </w:r>
          </w:p>
        </w:tc>
        <w:tc>
          <w:tcPr>
            <w:tcW w:w="964" w:type="dxa"/>
          </w:tcPr>
          <w:p w14:paraId="6EECFBC3"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14835C6E" w14:textId="77777777" w:rsidR="00255EC0" w:rsidRPr="00845807" w:rsidRDefault="00255EC0" w:rsidP="00845807">
            <w:pPr>
              <w:pStyle w:val="Tabletextnospace"/>
              <w:jc w:val="right"/>
              <w:rPr>
                <w:sz w:val="20"/>
                <w:szCs w:val="20"/>
              </w:rPr>
            </w:pPr>
            <w:r w:rsidRPr="00845807">
              <w:rPr>
                <w:sz w:val="20"/>
                <w:szCs w:val="20"/>
              </w:rPr>
              <w:t>90</w:t>
            </w:r>
          </w:p>
        </w:tc>
        <w:tc>
          <w:tcPr>
            <w:tcW w:w="963" w:type="dxa"/>
          </w:tcPr>
          <w:p w14:paraId="0E7DB3B7" w14:textId="77777777" w:rsidR="00255EC0" w:rsidRPr="00845807" w:rsidRDefault="00255EC0" w:rsidP="00845807">
            <w:pPr>
              <w:pStyle w:val="Tabletextnospace"/>
              <w:jc w:val="right"/>
              <w:rPr>
                <w:sz w:val="20"/>
                <w:szCs w:val="20"/>
              </w:rPr>
            </w:pPr>
            <w:r w:rsidRPr="00845807">
              <w:rPr>
                <w:sz w:val="20"/>
                <w:szCs w:val="20"/>
              </w:rPr>
              <w:t>90</w:t>
            </w:r>
          </w:p>
        </w:tc>
        <w:tc>
          <w:tcPr>
            <w:tcW w:w="1375" w:type="dxa"/>
          </w:tcPr>
          <w:p w14:paraId="07643F76"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2BE34C63"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4E0608" w:rsidRPr="00845807" w14:paraId="0032E1B7" w14:textId="77777777" w:rsidTr="00E8460A">
        <w:trPr>
          <w:trHeight w:val="113"/>
        </w:trPr>
        <w:tc>
          <w:tcPr>
            <w:tcW w:w="9776" w:type="dxa"/>
            <w:gridSpan w:val="6"/>
          </w:tcPr>
          <w:p w14:paraId="69BC8478" w14:textId="0CE688C4" w:rsidR="004E0608" w:rsidRPr="004E0608" w:rsidRDefault="004E0608" w:rsidP="00012E27">
            <w:pPr>
              <w:pStyle w:val="Tabletextnospace"/>
              <w:rPr>
                <w:rFonts w:ascii="VIC Italic" w:hAnsi="VIC Italic"/>
                <w:b/>
                <w:bCs/>
                <w:sz w:val="20"/>
                <w:szCs w:val="20"/>
              </w:rPr>
            </w:pPr>
            <w:r w:rsidRPr="004E0608">
              <w:rPr>
                <w:b/>
                <w:bCs/>
                <w:sz w:val="20"/>
                <w:szCs w:val="20"/>
              </w:rPr>
              <w:t>Timeliness</w:t>
            </w:r>
          </w:p>
        </w:tc>
      </w:tr>
      <w:tr w:rsidR="00255EC0" w:rsidRPr="00845807" w14:paraId="3FB032C0" w14:textId="77777777" w:rsidTr="00E8460A">
        <w:trPr>
          <w:trHeight w:val="113"/>
        </w:trPr>
        <w:tc>
          <w:tcPr>
            <w:tcW w:w="4660" w:type="dxa"/>
          </w:tcPr>
          <w:p w14:paraId="3B09CF18" w14:textId="25B9EA1A" w:rsidR="00255EC0" w:rsidRPr="00845807" w:rsidRDefault="00255EC0" w:rsidP="00012E27">
            <w:pPr>
              <w:pStyle w:val="Tabletextnospace"/>
              <w:rPr>
                <w:sz w:val="20"/>
                <w:szCs w:val="20"/>
              </w:rPr>
            </w:pPr>
            <w:r w:rsidRPr="00845807">
              <w:rPr>
                <w:sz w:val="20"/>
                <w:szCs w:val="20"/>
              </w:rPr>
              <w:t>Animal and plant certificates issued within specified timeframes to support domestic and international</w:t>
            </w:r>
            <w:r w:rsidR="00367CD4">
              <w:rPr>
                <w:sz w:val="20"/>
                <w:szCs w:val="20"/>
              </w:rPr>
              <w:t xml:space="preserve"> </w:t>
            </w:r>
            <w:r w:rsidRPr="00845807">
              <w:rPr>
                <w:sz w:val="20"/>
                <w:szCs w:val="20"/>
              </w:rPr>
              <w:t>market access.</w:t>
            </w:r>
          </w:p>
        </w:tc>
        <w:tc>
          <w:tcPr>
            <w:tcW w:w="964" w:type="dxa"/>
          </w:tcPr>
          <w:p w14:paraId="025AAC9B"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6B9C72D9" w14:textId="77777777" w:rsidR="00255EC0" w:rsidRPr="00845807" w:rsidRDefault="00255EC0" w:rsidP="00845807">
            <w:pPr>
              <w:pStyle w:val="Tabletextnospace"/>
              <w:jc w:val="right"/>
              <w:rPr>
                <w:sz w:val="20"/>
                <w:szCs w:val="20"/>
              </w:rPr>
            </w:pPr>
            <w:r w:rsidRPr="00845807">
              <w:rPr>
                <w:sz w:val="20"/>
                <w:szCs w:val="20"/>
              </w:rPr>
              <w:t>93</w:t>
            </w:r>
          </w:p>
        </w:tc>
        <w:tc>
          <w:tcPr>
            <w:tcW w:w="963" w:type="dxa"/>
          </w:tcPr>
          <w:p w14:paraId="6BEEE60B" w14:textId="77777777" w:rsidR="00255EC0" w:rsidRPr="00845807" w:rsidRDefault="00255EC0" w:rsidP="00845807">
            <w:pPr>
              <w:pStyle w:val="Tabletextnospace"/>
              <w:jc w:val="right"/>
              <w:rPr>
                <w:sz w:val="20"/>
                <w:szCs w:val="20"/>
              </w:rPr>
            </w:pPr>
            <w:r w:rsidRPr="00845807">
              <w:rPr>
                <w:sz w:val="20"/>
                <w:szCs w:val="20"/>
              </w:rPr>
              <w:t>95</w:t>
            </w:r>
          </w:p>
        </w:tc>
        <w:tc>
          <w:tcPr>
            <w:tcW w:w="1375" w:type="dxa"/>
          </w:tcPr>
          <w:p w14:paraId="46FC2477" w14:textId="77777777" w:rsidR="00255EC0" w:rsidRPr="00845807" w:rsidRDefault="00255EC0" w:rsidP="00845807">
            <w:pPr>
              <w:pStyle w:val="Tabletextnospace"/>
              <w:jc w:val="right"/>
              <w:rPr>
                <w:sz w:val="20"/>
                <w:szCs w:val="20"/>
              </w:rPr>
            </w:pPr>
            <w:r w:rsidRPr="00845807">
              <w:rPr>
                <w:sz w:val="20"/>
                <w:szCs w:val="20"/>
              </w:rPr>
              <w:t>-2.1%</w:t>
            </w:r>
          </w:p>
        </w:tc>
        <w:tc>
          <w:tcPr>
            <w:tcW w:w="850" w:type="dxa"/>
          </w:tcPr>
          <w:p w14:paraId="520FB56F" w14:textId="77777777" w:rsidR="00255EC0" w:rsidRPr="00845807"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845807">
              <w:rPr>
                <w:rFonts w:ascii="Wingdings 2" w:hAnsi="Wingdings 2" w:cs="Wingdings 2"/>
                <w:sz w:val="20"/>
                <w:lang w:val="en-GB"/>
              </w:rPr>
              <w:t>™</w:t>
            </w:r>
          </w:p>
        </w:tc>
      </w:tr>
      <w:tr w:rsidR="00255EC0" w:rsidRPr="00845807" w14:paraId="03C2438B" w14:textId="77777777" w:rsidTr="00E8460A">
        <w:trPr>
          <w:trHeight w:val="113"/>
        </w:trPr>
        <w:tc>
          <w:tcPr>
            <w:tcW w:w="4660" w:type="dxa"/>
          </w:tcPr>
          <w:p w14:paraId="6597B7E7" w14:textId="5F314214" w:rsidR="00255EC0" w:rsidRPr="00845807" w:rsidRDefault="00255EC0" w:rsidP="00012E27">
            <w:pPr>
              <w:pStyle w:val="Tabletextnospace"/>
              <w:rPr>
                <w:sz w:val="20"/>
                <w:szCs w:val="20"/>
              </w:rPr>
            </w:pPr>
            <w:r w:rsidRPr="00845807">
              <w:rPr>
                <w:sz w:val="20"/>
                <w:szCs w:val="20"/>
              </w:rPr>
              <w:t>Initial action taken to respond to reported emergency animal and plant pest, disease and natural disaster incidents complies with national agreements</w:t>
            </w:r>
            <w:r w:rsidR="00367CD4">
              <w:rPr>
                <w:sz w:val="20"/>
                <w:szCs w:val="20"/>
              </w:rPr>
              <w:t xml:space="preserve"> </w:t>
            </w:r>
            <w:r w:rsidRPr="00845807">
              <w:rPr>
                <w:sz w:val="20"/>
                <w:szCs w:val="20"/>
              </w:rPr>
              <w:t>and obligations</w:t>
            </w:r>
          </w:p>
        </w:tc>
        <w:tc>
          <w:tcPr>
            <w:tcW w:w="964" w:type="dxa"/>
          </w:tcPr>
          <w:p w14:paraId="0877160D"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5B95B13C" w14:textId="77777777" w:rsidR="00255EC0" w:rsidRPr="00845807" w:rsidRDefault="00255EC0" w:rsidP="00845807">
            <w:pPr>
              <w:pStyle w:val="Tabletextnospace"/>
              <w:jc w:val="right"/>
              <w:rPr>
                <w:sz w:val="20"/>
                <w:szCs w:val="20"/>
              </w:rPr>
            </w:pPr>
            <w:r w:rsidRPr="00845807">
              <w:rPr>
                <w:sz w:val="20"/>
                <w:szCs w:val="20"/>
              </w:rPr>
              <w:t>100</w:t>
            </w:r>
          </w:p>
        </w:tc>
        <w:tc>
          <w:tcPr>
            <w:tcW w:w="963" w:type="dxa"/>
          </w:tcPr>
          <w:p w14:paraId="18BD33B3" w14:textId="77777777" w:rsidR="00255EC0" w:rsidRPr="00845807" w:rsidRDefault="00255EC0" w:rsidP="00845807">
            <w:pPr>
              <w:pStyle w:val="Tabletextnospace"/>
              <w:jc w:val="right"/>
              <w:rPr>
                <w:sz w:val="20"/>
                <w:szCs w:val="20"/>
              </w:rPr>
            </w:pPr>
            <w:r w:rsidRPr="00845807">
              <w:rPr>
                <w:sz w:val="20"/>
                <w:szCs w:val="20"/>
              </w:rPr>
              <w:t>100</w:t>
            </w:r>
          </w:p>
        </w:tc>
        <w:tc>
          <w:tcPr>
            <w:tcW w:w="1375" w:type="dxa"/>
          </w:tcPr>
          <w:p w14:paraId="2D7518E5"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0048CBE2"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367CD4" w:rsidRPr="00367CD4" w14:paraId="3B1C4CA5" w14:textId="77777777" w:rsidTr="00E8460A">
        <w:trPr>
          <w:trHeight w:val="113"/>
        </w:trPr>
        <w:tc>
          <w:tcPr>
            <w:tcW w:w="9776" w:type="dxa"/>
            <w:gridSpan w:val="6"/>
          </w:tcPr>
          <w:p w14:paraId="50E34D60" w14:textId="28684065" w:rsidR="00367CD4" w:rsidRPr="00367CD4" w:rsidRDefault="00367CD4" w:rsidP="00012E27">
            <w:pPr>
              <w:pStyle w:val="Tabletextnospace"/>
              <w:rPr>
                <w:rFonts w:ascii="VIC Italic" w:hAnsi="VIC Italic"/>
                <w:b/>
                <w:bCs/>
                <w:sz w:val="20"/>
                <w:szCs w:val="20"/>
              </w:rPr>
            </w:pPr>
            <w:r w:rsidRPr="00367CD4">
              <w:rPr>
                <w:b/>
                <w:bCs/>
                <w:sz w:val="20"/>
                <w:szCs w:val="20"/>
              </w:rPr>
              <w:t>Cost</w:t>
            </w:r>
          </w:p>
        </w:tc>
      </w:tr>
      <w:tr w:rsidR="00255EC0" w:rsidRPr="00367CD4" w14:paraId="4B10C0E3" w14:textId="77777777" w:rsidTr="00E8460A">
        <w:trPr>
          <w:trHeight w:val="113"/>
        </w:trPr>
        <w:tc>
          <w:tcPr>
            <w:tcW w:w="4660" w:type="dxa"/>
          </w:tcPr>
          <w:p w14:paraId="47B51794" w14:textId="77777777" w:rsidR="00255EC0" w:rsidRPr="00367CD4" w:rsidRDefault="00255EC0" w:rsidP="00012E27">
            <w:pPr>
              <w:pStyle w:val="Tabletextnospace"/>
              <w:rPr>
                <w:b/>
                <w:bCs/>
                <w:sz w:val="20"/>
                <w:szCs w:val="20"/>
              </w:rPr>
            </w:pPr>
            <w:r w:rsidRPr="00367CD4">
              <w:rPr>
                <w:b/>
                <w:bCs/>
                <w:sz w:val="20"/>
                <w:szCs w:val="20"/>
              </w:rPr>
              <w:t>Total output cost</w:t>
            </w:r>
          </w:p>
        </w:tc>
        <w:tc>
          <w:tcPr>
            <w:tcW w:w="964" w:type="dxa"/>
          </w:tcPr>
          <w:p w14:paraId="0956671B" w14:textId="77777777" w:rsidR="00255EC0" w:rsidRPr="00367CD4" w:rsidRDefault="00255EC0" w:rsidP="00845807">
            <w:pPr>
              <w:pStyle w:val="Tabletextnospace"/>
              <w:jc w:val="right"/>
              <w:rPr>
                <w:b/>
                <w:bCs/>
                <w:sz w:val="20"/>
                <w:szCs w:val="20"/>
              </w:rPr>
            </w:pPr>
            <w:r w:rsidRPr="00367CD4">
              <w:rPr>
                <w:b/>
                <w:bCs/>
                <w:sz w:val="20"/>
                <w:szCs w:val="20"/>
              </w:rPr>
              <w:t>$ million</w:t>
            </w:r>
          </w:p>
        </w:tc>
        <w:tc>
          <w:tcPr>
            <w:tcW w:w="964" w:type="dxa"/>
          </w:tcPr>
          <w:p w14:paraId="52BE1E38" w14:textId="77777777" w:rsidR="00255EC0" w:rsidRPr="00367CD4" w:rsidRDefault="00255EC0" w:rsidP="00845807">
            <w:pPr>
              <w:pStyle w:val="Tabletextnospace"/>
              <w:jc w:val="right"/>
              <w:rPr>
                <w:b/>
                <w:bCs/>
                <w:sz w:val="20"/>
                <w:szCs w:val="20"/>
              </w:rPr>
            </w:pPr>
            <w:r w:rsidRPr="00367CD4">
              <w:rPr>
                <w:b/>
                <w:bCs/>
                <w:sz w:val="20"/>
                <w:szCs w:val="20"/>
              </w:rPr>
              <w:t>125.1</w:t>
            </w:r>
          </w:p>
        </w:tc>
        <w:tc>
          <w:tcPr>
            <w:tcW w:w="963" w:type="dxa"/>
          </w:tcPr>
          <w:p w14:paraId="629A3903" w14:textId="77777777" w:rsidR="00255EC0" w:rsidRPr="00367CD4" w:rsidRDefault="00255EC0" w:rsidP="00845807">
            <w:pPr>
              <w:pStyle w:val="Tabletextnospace"/>
              <w:jc w:val="right"/>
              <w:rPr>
                <w:b/>
                <w:bCs/>
                <w:sz w:val="20"/>
                <w:szCs w:val="20"/>
              </w:rPr>
            </w:pPr>
            <w:r w:rsidRPr="00367CD4">
              <w:rPr>
                <w:b/>
                <w:bCs/>
                <w:sz w:val="20"/>
                <w:szCs w:val="20"/>
              </w:rPr>
              <w:t>114.3</w:t>
            </w:r>
          </w:p>
        </w:tc>
        <w:tc>
          <w:tcPr>
            <w:tcW w:w="1375" w:type="dxa"/>
          </w:tcPr>
          <w:p w14:paraId="518A0CCB" w14:textId="77777777" w:rsidR="00255EC0" w:rsidRPr="00367CD4" w:rsidRDefault="00255EC0" w:rsidP="00845807">
            <w:pPr>
              <w:pStyle w:val="Tabletextnospace"/>
              <w:jc w:val="right"/>
              <w:rPr>
                <w:b/>
                <w:bCs/>
                <w:sz w:val="20"/>
                <w:szCs w:val="20"/>
              </w:rPr>
            </w:pPr>
            <w:r w:rsidRPr="00367CD4">
              <w:rPr>
                <w:b/>
                <w:bCs/>
                <w:sz w:val="20"/>
                <w:szCs w:val="20"/>
              </w:rPr>
              <w:t>9.0%</w:t>
            </w:r>
          </w:p>
        </w:tc>
        <w:tc>
          <w:tcPr>
            <w:tcW w:w="850" w:type="dxa"/>
          </w:tcPr>
          <w:p w14:paraId="3819A662" w14:textId="77777777" w:rsidR="00255EC0" w:rsidRPr="00367CD4" w:rsidRDefault="00255EC0" w:rsidP="00012E27">
            <w:pPr>
              <w:pStyle w:val="Tabletextnospace"/>
              <w:rPr>
                <w:rFonts w:ascii="VIC Light" w:hAnsi="VIC Light"/>
                <w:b/>
                <w:bCs/>
                <w:sz w:val="20"/>
                <w:szCs w:val="20"/>
              </w:rPr>
            </w:pPr>
            <w:r w:rsidRPr="00367CD4">
              <w:rPr>
                <w:rFonts w:ascii="Wingdings" w:hAnsi="Wingdings" w:cs="Wingdings"/>
                <w:b/>
                <w:bCs/>
                <w:position w:val="-2"/>
                <w:sz w:val="20"/>
                <w:szCs w:val="20"/>
              </w:rPr>
              <w:t>n</w:t>
            </w:r>
          </w:p>
        </w:tc>
      </w:tr>
      <w:tr w:rsidR="00255EC0" w:rsidRPr="004E0608" w14:paraId="7EA0A081" w14:textId="77777777" w:rsidTr="00E8460A">
        <w:trPr>
          <w:trHeight w:val="113"/>
        </w:trPr>
        <w:tc>
          <w:tcPr>
            <w:tcW w:w="9776" w:type="dxa"/>
            <w:gridSpan w:val="6"/>
          </w:tcPr>
          <w:p w14:paraId="5CC4A2A6" w14:textId="6AC0F662" w:rsidR="00255EC0" w:rsidRPr="004E0608" w:rsidRDefault="00255EC0" w:rsidP="00012E27">
            <w:pPr>
              <w:pStyle w:val="Tabletextnospace"/>
              <w:rPr>
                <w:i/>
                <w:iCs/>
                <w:sz w:val="18"/>
              </w:rPr>
            </w:pPr>
            <w:r w:rsidRPr="004E0608">
              <w:rPr>
                <w:i/>
                <w:iCs/>
                <w:sz w:val="18"/>
              </w:rPr>
              <w:t>The 2019–20 result was higher than budget primarily due to additional funding for Drought Response and National Biosecurity</w:t>
            </w:r>
            <w:r w:rsidR="00367CD4" w:rsidRPr="004E0608">
              <w:rPr>
                <w:i/>
                <w:iCs/>
                <w:sz w:val="18"/>
              </w:rPr>
              <w:t xml:space="preserve"> </w:t>
            </w:r>
            <w:r w:rsidRPr="004E0608">
              <w:rPr>
                <w:i/>
                <w:iCs/>
                <w:sz w:val="18"/>
              </w:rPr>
              <w:t>Control Agreements.</w:t>
            </w:r>
          </w:p>
        </w:tc>
      </w:tr>
      <w:tr w:rsidR="00255EC0" w:rsidRPr="00845807" w14:paraId="23456EF6" w14:textId="77777777" w:rsidTr="00E8460A">
        <w:trPr>
          <w:trHeight w:val="113"/>
        </w:trPr>
        <w:tc>
          <w:tcPr>
            <w:tcW w:w="9776" w:type="dxa"/>
            <w:gridSpan w:val="6"/>
          </w:tcPr>
          <w:p w14:paraId="733A6BC6" w14:textId="77777777" w:rsidR="00255EC0" w:rsidRPr="00845807" w:rsidRDefault="00255EC0" w:rsidP="00012E27">
            <w:pPr>
              <w:pStyle w:val="Tabletextnospace"/>
              <w:rPr>
                <w:sz w:val="20"/>
                <w:szCs w:val="20"/>
              </w:rPr>
            </w:pPr>
          </w:p>
        </w:tc>
      </w:tr>
      <w:tr w:rsidR="00255EC0" w:rsidRPr="00845807" w14:paraId="601C3D8D" w14:textId="77777777" w:rsidTr="00E8460A">
        <w:trPr>
          <w:trHeight w:val="113"/>
        </w:trPr>
        <w:tc>
          <w:tcPr>
            <w:tcW w:w="9776" w:type="dxa"/>
            <w:gridSpan w:val="6"/>
          </w:tcPr>
          <w:p w14:paraId="39BE99BA" w14:textId="77777777" w:rsidR="00255EC0" w:rsidRPr="00845807" w:rsidRDefault="00255EC0" w:rsidP="00012E27">
            <w:pPr>
              <w:pStyle w:val="Tabletextnospace"/>
              <w:rPr>
                <w:sz w:val="20"/>
                <w:szCs w:val="20"/>
              </w:rPr>
            </w:pPr>
            <w:r w:rsidRPr="00367CD4">
              <w:rPr>
                <w:b/>
                <w:bCs/>
                <w:sz w:val="20"/>
                <w:szCs w:val="20"/>
              </w:rPr>
              <w:t>Sustainably manage forest and game resources</w:t>
            </w:r>
            <w:r w:rsidRPr="00845807">
              <w:rPr>
                <w:sz w:val="20"/>
                <w:szCs w:val="20"/>
              </w:rPr>
              <w:br/>
              <w:t>This sub-output creates the conditions to grow the natural resources economy by ensuring forestry and game resources are sustainably allocated and used for both recreational and commercial purposes.</w:t>
            </w:r>
          </w:p>
        </w:tc>
      </w:tr>
      <w:tr w:rsidR="00367CD4" w:rsidRPr="00845807" w14:paraId="61BAE6A4" w14:textId="77777777" w:rsidTr="00E8460A">
        <w:trPr>
          <w:trHeight w:val="113"/>
        </w:trPr>
        <w:tc>
          <w:tcPr>
            <w:tcW w:w="9776" w:type="dxa"/>
            <w:gridSpan w:val="6"/>
          </w:tcPr>
          <w:p w14:paraId="49A1DD7D" w14:textId="6CD5C31E" w:rsidR="00367CD4" w:rsidRPr="00367CD4" w:rsidRDefault="00367CD4" w:rsidP="00012E27">
            <w:pPr>
              <w:pStyle w:val="Tabletextnospace"/>
              <w:rPr>
                <w:rFonts w:ascii="VIC Italic" w:hAnsi="VIC Italic"/>
                <w:b/>
                <w:bCs/>
                <w:sz w:val="20"/>
                <w:szCs w:val="20"/>
              </w:rPr>
            </w:pPr>
            <w:r w:rsidRPr="00367CD4">
              <w:rPr>
                <w:b/>
                <w:bCs/>
                <w:sz w:val="20"/>
                <w:szCs w:val="20"/>
              </w:rPr>
              <w:t>Quality</w:t>
            </w:r>
          </w:p>
        </w:tc>
      </w:tr>
      <w:tr w:rsidR="00255EC0" w:rsidRPr="00845807" w14:paraId="3FB5D00B" w14:textId="77777777" w:rsidTr="00E8460A">
        <w:trPr>
          <w:trHeight w:val="113"/>
        </w:trPr>
        <w:tc>
          <w:tcPr>
            <w:tcW w:w="4660" w:type="dxa"/>
          </w:tcPr>
          <w:p w14:paraId="5A2F0070" w14:textId="77777777" w:rsidR="00255EC0" w:rsidRPr="00845807" w:rsidRDefault="00255EC0" w:rsidP="00012E27">
            <w:pPr>
              <w:pStyle w:val="Tabletextnospace"/>
              <w:rPr>
                <w:sz w:val="20"/>
                <w:szCs w:val="20"/>
              </w:rPr>
            </w:pPr>
            <w:r w:rsidRPr="00845807">
              <w:rPr>
                <w:sz w:val="20"/>
                <w:szCs w:val="20"/>
              </w:rPr>
              <w:t>Key statutory obligations relevant to the Game Management Authority complied with (tabling annual report, audits, business plan and board appointments)</w:t>
            </w:r>
          </w:p>
        </w:tc>
        <w:tc>
          <w:tcPr>
            <w:tcW w:w="964" w:type="dxa"/>
          </w:tcPr>
          <w:p w14:paraId="5830A0E0"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5C98A98F" w14:textId="77777777" w:rsidR="00255EC0" w:rsidRPr="00845807" w:rsidRDefault="00255EC0" w:rsidP="00845807">
            <w:pPr>
              <w:pStyle w:val="Tabletextnospace"/>
              <w:jc w:val="right"/>
              <w:rPr>
                <w:sz w:val="20"/>
                <w:szCs w:val="20"/>
              </w:rPr>
            </w:pPr>
            <w:r w:rsidRPr="00845807">
              <w:rPr>
                <w:sz w:val="20"/>
                <w:szCs w:val="20"/>
              </w:rPr>
              <w:t>100</w:t>
            </w:r>
          </w:p>
        </w:tc>
        <w:tc>
          <w:tcPr>
            <w:tcW w:w="963" w:type="dxa"/>
          </w:tcPr>
          <w:p w14:paraId="67ADBA46" w14:textId="77777777" w:rsidR="00255EC0" w:rsidRPr="00845807" w:rsidRDefault="00255EC0" w:rsidP="00845807">
            <w:pPr>
              <w:pStyle w:val="Tabletextnospace"/>
              <w:jc w:val="right"/>
              <w:rPr>
                <w:sz w:val="20"/>
                <w:szCs w:val="20"/>
              </w:rPr>
            </w:pPr>
            <w:r w:rsidRPr="00845807">
              <w:rPr>
                <w:sz w:val="20"/>
                <w:szCs w:val="20"/>
              </w:rPr>
              <w:t>100</w:t>
            </w:r>
          </w:p>
        </w:tc>
        <w:tc>
          <w:tcPr>
            <w:tcW w:w="1375" w:type="dxa"/>
          </w:tcPr>
          <w:p w14:paraId="0ECFFBC8" w14:textId="77777777" w:rsidR="00255EC0" w:rsidRPr="00845807" w:rsidRDefault="00255EC0" w:rsidP="00845807">
            <w:pPr>
              <w:pStyle w:val="Tabletextnospace"/>
              <w:jc w:val="right"/>
              <w:rPr>
                <w:sz w:val="20"/>
                <w:szCs w:val="20"/>
              </w:rPr>
            </w:pPr>
            <w:r w:rsidRPr="00845807">
              <w:rPr>
                <w:sz w:val="20"/>
                <w:szCs w:val="20"/>
              </w:rPr>
              <w:t>0.0%</w:t>
            </w:r>
          </w:p>
        </w:tc>
        <w:tc>
          <w:tcPr>
            <w:tcW w:w="850" w:type="dxa"/>
          </w:tcPr>
          <w:p w14:paraId="5BFACDCB"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ü</w:t>
            </w:r>
          </w:p>
        </w:tc>
      </w:tr>
      <w:tr w:rsidR="00255EC0" w:rsidRPr="00845807" w14:paraId="4BF05CAA" w14:textId="77777777" w:rsidTr="00E8460A">
        <w:trPr>
          <w:trHeight w:val="113"/>
        </w:trPr>
        <w:tc>
          <w:tcPr>
            <w:tcW w:w="4660" w:type="dxa"/>
          </w:tcPr>
          <w:p w14:paraId="3CFB1408" w14:textId="77777777" w:rsidR="00255EC0" w:rsidRPr="00845807" w:rsidRDefault="00255EC0" w:rsidP="00012E27">
            <w:pPr>
              <w:pStyle w:val="Tabletextnospace"/>
              <w:rPr>
                <w:sz w:val="20"/>
                <w:szCs w:val="20"/>
              </w:rPr>
            </w:pPr>
            <w:r w:rsidRPr="00845807">
              <w:rPr>
                <w:sz w:val="20"/>
                <w:szCs w:val="20"/>
              </w:rPr>
              <w:t xml:space="preserve">Key statutory obligations relevant to </w:t>
            </w:r>
            <w:proofErr w:type="spellStart"/>
            <w:r w:rsidRPr="00845807">
              <w:rPr>
                <w:sz w:val="20"/>
                <w:szCs w:val="20"/>
              </w:rPr>
              <w:t>VicForests</w:t>
            </w:r>
            <w:proofErr w:type="spellEnd"/>
            <w:r w:rsidRPr="00845807">
              <w:rPr>
                <w:sz w:val="20"/>
                <w:szCs w:val="20"/>
              </w:rPr>
              <w:t xml:space="preserve"> complied with (tabling annual reports, audits, corporate </w:t>
            </w:r>
            <w:proofErr w:type="gramStart"/>
            <w:r w:rsidRPr="00845807">
              <w:rPr>
                <w:sz w:val="20"/>
                <w:szCs w:val="20"/>
              </w:rPr>
              <w:t>plan</w:t>
            </w:r>
            <w:proofErr w:type="gramEnd"/>
            <w:r w:rsidRPr="00845807">
              <w:rPr>
                <w:sz w:val="20"/>
                <w:szCs w:val="20"/>
              </w:rPr>
              <w:t xml:space="preserve"> and board appointments)</w:t>
            </w:r>
          </w:p>
        </w:tc>
        <w:tc>
          <w:tcPr>
            <w:tcW w:w="964" w:type="dxa"/>
          </w:tcPr>
          <w:p w14:paraId="073C4F2D" w14:textId="77777777" w:rsidR="00255EC0" w:rsidRPr="00845807" w:rsidRDefault="00255EC0" w:rsidP="00845807">
            <w:pPr>
              <w:pStyle w:val="Tabletextnospace"/>
              <w:jc w:val="right"/>
              <w:rPr>
                <w:sz w:val="20"/>
                <w:szCs w:val="20"/>
              </w:rPr>
            </w:pPr>
            <w:r w:rsidRPr="00845807">
              <w:rPr>
                <w:sz w:val="20"/>
                <w:szCs w:val="20"/>
              </w:rPr>
              <w:t>per cent</w:t>
            </w:r>
          </w:p>
        </w:tc>
        <w:tc>
          <w:tcPr>
            <w:tcW w:w="964" w:type="dxa"/>
          </w:tcPr>
          <w:p w14:paraId="2FB623C7" w14:textId="77777777" w:rsidR="00255EC0" w:rsidRPr="00845807" w:rsidRDefault="00255EC0" w:rsidP="00845807">
            <w:pPr>
              <w:pStyle w:val="Tabletextnospace"/>
              <w:jc w:val="right"/>
              <w:rPr>
                <w:sz w:val="20"/>
                <w:szCs w:val="20"/>
              </w:rPr>
            </w:pPr>
            <w:r w:rsidRPr="00845807">
              <w:rPr>
                <w:sz w:val="20"/>
                <w:szCs w:val="20"/>
              </w:rPr>
              <w:t>75</w:t>
            </w:r>
          </w:p>
        </w:tc>
        <w:tc>
          <w:tcPr>
            <w:tcW w:w="963" w:type="dxa"/>
          </w:tcPr>
          <w:p w14:paraId="79874622" w14:textId="77777777" w:rsidR="00255EC0" w:rsidRPr="00845807" w:rsidRDefault="00255EC0" w:rsidP="00845807">
            <w:pPr>
              <w:pStyle w:val="Tabletextnospace"/>
              <w:jc w:val="right"/>
              <w:rPr>
                <w:sz w:val="20"/>
                <w:szCs w:val="20"/>
              </w:rPr>
            </w:pPr>
            <w:r w:rsidRPr="00845807">
              <w:rPr>
                <w:sz w:val="20"/>
                <w:szCs w:val="20"/>
              </w:rPr>
              <w:t>100</w:t>
            </w:r>
          </w:p>
        </w:tc>
        <w:tc>
          <w:tcPr>
            <w:tcW w:w="1375" w:type="dxa"/>
          </w:tcPr>
          <w:p w14:paraId="559A7312" w14:textId="77777777" w:rsidR="00255EC0" w:rsidRPr="00845807" w:rsidRDefault="00255EC0" w:rsidP="00845807">
            <w:pPr>
              <w:pStyle w:val="Tabletextnospace"/>
              <w:jc w:val="right"/>
              <w:rPr>
                <w:sz w:val="20"/>
                <w:szCs w:val="20"/>
              </w:rPr>
            </w:pPr>
            <w:r w:rsidRPr="00845807">
              <w:rPr>
                <w:sz w:val="20"/>
                <w:szCs w:val="20"/>
              </w:rPr>
              <w:t>-25.0%</w:t>
            </w:r>
          </w:p>
        </w:tc>
        <w:tc>
          <w:tcPr>
            <w:tcW w:w="850" w:type="dxa"/>
          </w:tcPr>
          <w:p w14:paraId="213D68F6" w14:textId="77777777" w:rsidR="00255EC0" w:rsidRPr="00845807"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845807">
              <w:rPr>
                <w:rFonts w:ascii="Wingdings" w:hAnsi="Wingdings" w:cs="Wingdings"/>
                <w:position w:val="-2"/>
                <w:sz w:val="20"/>
                <w:lang w:val="en-GB"/>
              </w:rPr>
              <w:t>n</w:t>
            </w:r>
          </w:p>
        </w:tc>
      </w:tr>
      <w:tr w:rsidR="00255EC0" w:rsidRPr="004E0608" w14:paraId="6050DEE4" w14:textId="77777777" w:rsidTr="00E8460A">
        <w:trPr>
          <w:trHeight w:val="113"/>
        </w:trPr>
        <w:tc>
          <w:tcPr>
            <w:tcW w:w="9776" w:type="dxa"/>
            <w:gridSpan w:val="6"/>
          </w:tcPr>
          <w:p w14:paraId="5F1FC18B" w14:textId="77777777" w:rsidR="00255EC0" w:rsidRPr="004E0608" w:rsidRDefault="00255EC0" w:rsidP="00012E27">
            <w:pPr>
              <w:pStyle w:val="Tabletextnospace"/>
              <w:rPr>
                <w:i/>
                <w:iCs/>
                <w:sz w:val="18"/>
              </w:rPr>
            </w:pPr>
            <w:r w:rsidRPr="004E0608">
              <w:rPr>
                <w:i/>
                <w:iCs/>
                <w:sz w:val="18"/>
              </w:rPr>
              <w:t xml:space="preserve">Lower result due to a delay with </w:t>
            </w:r>
            <w:proofErr w:type="spellStart"/>
            <w:r w:rsidRPr="004E0608">
              <w:rPr>
                <w:i/>
                <w:iCs/>
                <w:sz w:val="18"/>
              </w:rPr>
              <w:t>VicForests</w:t>
            </w:r>
            <w:proofErr w:type="spellEnd"/>
            <w:r w:rsidRPr="004E0608">
              <w:rPr>
                <w:i/>
                <w:iCs/>
                <w:sz w:val="18"/>
              </w:rPr>
              <w:t xml:space="preserve"> providing its corporate plan to the Minister and the Treasurer. </w:t>
            </w:r>
          </w:p>
        </w:tc>
      </w:tr>
      <w:tr w:rsidR="00367CD4" w:rsidRPr="00367CD4" w14:paraId="2A980298" w14:textId="77777777" w:rsidTr="00E8460A">
        <w:trPr>
          <w:trHeight w:val="113"/>
        </w:trPr>
        <w:tc>
          <w:tcPr>
            <w:tcW w:w="9776" w:type="dxa"/>
            <w:gridSpan w:val="6"/>
          </w:tcPr>
          <w:p w14:paraId="4F0915D9" w14:textId="7856F598" w:rsidR="00367CD4" w:rsidRPr="00367CD4" w:rsidRDefault="00367CD4" w:rsidP="00012E27">
            <w:pPr>
              <w:pStyle w:val="Tabletextnospace"/>
              <w:rPr>
                <w:rFonts w:ascii="VIC Italic" w:hAnsi="VIC Italic"/>
                <w:b/>
                <w:bCs/>
                <w:sz w:val="20"/>
                <w:szCs w:val="20"/>
              </w:rPr>
            </w:pPr>
            <w:r w:rsidRPr="00367CD4">
              <w:rPr>
                <w:b/>
                <w:bCs/>
                <w:sz w:val="20"/>
                <w:szCs w:val="20"/>
              </w:rPr>
              <w:t>Cost</w:t>
            </w:r>
          </w:p>
        </w:tc>
      </w:tr>
      <w:tr w:rsidR="00255EC0" w:rsidRPr="00367CD4" w14:paraId="11B47264" w14:textId="77777777" w:rsidTr="00E8460A">
        <w:trPr>
          <w:trHeight w:val="113"/>
        </w:trPr>
        <w:tc>
          <w:tcPr>
            <w:tcW w:w="4660" w:type="dxa"/>
          </w:tcPr>
          <w:p w14:paraId="24A8561D" w14:textId="77777777" w:rsidR="00255EC0" w:rsidRPr="00367CD4" w:rsidRDefault="00255EC0" w:rsidP="00012E27">
            <w:pPr>
              <w:pStyle w:val="Tabletextnospace"/>
              <w:rPr>
                <w:b/>
                <w:bCs/>
                <w:sz w:val="20"/>
                <w:szCs w:val="20"/>
              </w:rPr>
            </w:pPr>
            <w:r w:rsidRPr="00367CD4">
              <w:rPr>
                <w:b/>
                <w:bCs/>
                <w:sz w:val="20"/>
                <w:szCs w:val="20"/>
              </w:rPr>
              <w:t>Total output cost</w:t>
            </w:r>
          </w:p>
        </w:tc>
        <w:tc>
          <w:tcPr>
            <w:tcW w:w="964" w:type="dxa"/>
          </w:tcPr>
          <w:p w14:paraId="68FC68A8" w14:textId="77777777" w:rsidR="00255EC0" w:rsidRPr="00367CD4" w:rsidRDefault="00255EC0" w:rsidP="00845807">
            <w:pPr>
              <w:pStyle w:val="Tabletextnospace"/>
              <w:jc w:val="right"/>
              <w:rPr>
                <w:b/>
                <w:bCs/>
                <w:sz w:val="20"/>
                <w:szCs w:val="20"/>
              </w:rPr>
            </w:pPr>
            <w:r w:rsidRPr="00367CD4">
              <w:rPr>
                <w:b/>
                <w:bCs/>
                <w:sz w:val="20"/>
                <w:szCs w:val="20"/>
              </w:rPr>
              <w:t>$ million</w:t>
            </w:r>
          </w:p>
        </w:tc>
        <w:tc>
          <w:tcPr>
            <w:tcW w:w="964" w:type="dxa"/>
          </w:tcPr>
          <w:p w14:paraId="3647D1DE" w14:textId="77777777" w:rsidR="00255EC0" w:rsidRPr="00367CD4" w:rsidRDefault="00255EC0" w:rsidP="00845807">
            <w:pPr>
              <w:pStyle w:val="Tabletextnospace"/>
              <w:jc w:val="right"/>
              <w:rPr>
                <w:b/>
                <w:bCs/>
                <w:sz w:val="20"/>
                <w:szCs w:val="20"/>
              </w:rPr>
            </w:pPr>
            <w:r w:rsidRPr="00367CD4">
              <w:rPr>
                <w:b/>
                <w:bCs/>
                <w:sz w:val="20"/>
                <w:szCs w:val="20"/>
              </w:rPr>
              <w:t>73.2</w:t>
            </w:r>
          </w:p>
        </w:tc>
        <w:tc>
          <w:tcPr>
            <w:tcW w:w="963" w:type="dxa"/>
          </w:tcPr>
          <w:p w14:paraId="7C4B0D82" w14:textId="77777777" w:rsidR="00255EC0" w:rsidRPr="00367CD4" w:rsidRDefault="00255EC0" w:rsidP="00845807">
            <w:pPr>
              <w:pStyle w:val="Tabletextnospace"/>
              <w:jc w:val="right"/>
              <w:rPr>
                <w:b/>
                <w:bCs/>
                <w:sz w:val="20"/>
                <w:szCs w:val="20"/>
              </w:rPr>
            </w:pPr>
            <w:r w:rsidRPr="00367CD4">
              <w:rPr>
                <w:b/>
                <w:bCs/>
                <w:sz w:val="20"/>
                <w:szCs w:val="20"/>
              </w:rPr>
              <w:t>42.3</w:t>
            </w:r>
          </w:p>
        </w:tc>
        <w:tc>
          <w:tcPr>
            <w:tcW w:w="1375" w:type="dxa"/>
          </w:tcPr>
          <w:p w14:paraId="66522897" w14:textId="77777777" w:rsidR="00255EC0" w:rsidRPr="00367CD4" w:rsidRDefault="00255EC0" w:rsidP="00845807">
            <w:pPr>
              <w:pStyle w:val="Tabletextnospace"/>
              <w:jc w:val="right"/>
              <w:rPr>
                <w:b/>
                <w:bCs/>
                <w:sz w:val="20"/>
                <w:szCs w:val="20"/>
              </w:rPr>
            </w:pPr>
            <w:r w:rsidRPr="00367CD4">
              <w:rPr>
                <w:b/>
                <w:bCs/>
                <w:sz w:val="20"/>
                <w:szCs w:val="20"/>
              </w:rPr>
              <w:t>73.0%</w:t>
            </w:r>
          </w:p>
        </w:tc>
        <w:tc>
          <w:tcPr>
            <w:tcW w:w="850" w:type="dxa"/>
          </w:tcPr>
          <w:p w14:paraId="78EC0623" w14:textId="77777777" w:rsidR="00255EC0" w:rsidRPr="00367CD4" w:rsidRDefault="00255EC0" w:rsidP="00012E27">
            <w:pPr>
              <w:pStyle w:val="Tabletextnospace"/>
              <w:rPr>
                <w:rFonts w:ascii="VIC Light" w:hAnsi="VIC Light"/>
                <w:b/>
                <w:bCs/>
                <w:sz w:val="20"/>
                <w:szCs w:val="20"/>
              </w:rPr>
            </w:pPr>
            <w:r w:rsidRPr="00367CD4">
              <w:rPr>
                <w:rFonts w:ascii="Wingdings" w:hAnsi="Wingdings" w:cs="Wingdings"/>
                <w:b/>
                <w:bCs/>
                <w:position w:val="-2"/>
                <w:sz w:val="20"/>
                <w:szCs w:val="20"/>
              </w:rPr>
              <w:t>n</w:t>
            </w:r>
          </w:p>
        </w:tc>
      </w:tr>
      <w:tr w:rsidR="00255EC0" w:rsidRPr="004E0608" w14:paraId="3D50C268" w14:textId="77777777" w:rsidTr="00E8460A">
        <w:trPr>
          <w:trHeight w:val="113"/>
        </w:trPr>
        <w:tc>
          <w:tcPr>
            <w:tcW w:w="9776" w:type="dxa"/>
            <w:gridSpan w:val="6"/>
          </w:tcPr>
          <w:p w14:paraId="52951B9A" w14:textId="77777777" w:rsidR="00255EC0" w:rsidRPr="004E0608" w:rsidRDefault="00255EC0" w:rsidP="00012E27">
            <w:pPr>
              <w:pStyle w:val="Tabletextnospace"/>
              <w:rPr>
                <w:i/>
                <w:iCs/>
                <w:sz w:val="18"/>
              </w:rPr>
            </w:pPr>
            <w:r w:rsidRPr="004E0608">
              <w:rPr>
                <w:i/>
                <w:iCs/>
                <w:sz w:val="18"/>
              </w:rPr>
              <w:t>The 2019–20 result was higher than the target primarily due to additional funding for the Victorian Forestry Plan.</w:t>
            </w:r>
          </w:p>
        </w:tc>
      </w:tr>
      <w:tr w:rsidR="00255EC0" w:rsidRPr="00255EC0" w14:paraId="2B31317E" w14:textId="77777777" w:rsidTr="00E8460A">
        <w:trPr>
          <w:trHeight w:val="113"/>
        </w:trPr>
        <w:tc>
          <w:tcPr>
            <w:tcW w:w="9776" w:type="dxa"/>
            <w:gridSpan w:val="6"/>
          </w:tcPr>
          <w:p w14:paraId="5E3ED2FE" w14:textId="77777777" w:rsidR="00255EC0" w:rsidRPr="00255EC0" w:rsidRDefault="00255EC0" w:rsidP="00012E27">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71F26678" w14:textId="5911AB4E" w:rsidR="00255EC0" w:rsidRPr="00255EC0" w:rsidRDefault="00255EC0" w:rsidP="004E0608">
      <w:pPr>
        <w:pStyle w:val="Body"/>
      </w:pPr>
      <w:r w:rsidRPr="00255EC0">
        <w:lastRenderedPageBreak/>
        <w:t>Table 29 represents performance against</w:t>
      </w:r>
      <w:r w:rsidR="004E0608">
        <w:t xml:space="preserve"> </w:t>
      </w:r>
      <w:r w:rsidRPr="00255EC0">
        <w:t>the Resources output. This output develops</w:t>
      </w:r>
      <w:r w:rsidR="004E0608">
        <w:t xml:space="preserve"> </w:t>
      </w:r>
      <w:r w:rsidRPr="00255EC0">
        <w:t xml:space="preserve">and delivers policy, </w:t>
      </w:r>
      <w:proofErr w:type="gramStart"/>
      <w:r w:rsidRPr="00255EC0">
        <w:t>programs</w:t>
      </w:r>
      <w:proofErr w:type="gramEnd"/>
      <w:r w:rsidRPr="00255EC0">
        <w:t xml:space="preserve"> and regulation</w:t>
      </w:r>
      <w:r w:rsidR="004E0608">
        <w:t xml:space="preserve"> </w:t>
      </w:r>
      <w:r w:rsidRPr="00255EC0">
        <w:t>to enable investment and generate jobs</w:t>
      </w:r>
      <w:r w:rsidR="004E0608">
        <w:t xml:space="preserve"> </w:t>
      </w:r>
      <w:r w:rsidRPr="00255EC0">
        <w:t>through the sustainable development of the</w:t>
      </w:r>
      <w:r w:rsidR="004E0608">
        <w:t xml:space="preserve"> </w:t>
      </w:r>
      <w:r w:rsidRPr="00255EC0">
        <w:t>state’s earth resources, including extractives, minerals and petroleum.</w:t>
      </w:r>
    </w:p>
    <w:p w14:paraId="7B51F111" w14:textId="61E892C5" w:rsidR="00255EC0" w:rsidRPr="00255EC0" w:rsidRDefault="00255EC0" w:rsidP="004E0608">
      <w:pPr>
        <w:pStyle w:val="Body"/>
      </w:pPr>
      <w:r w:rsidRPr="00255EC0">
        <w:t>The department acquires and provides access</w:t>
      </w:r>
      <w:r w:rsidR="004E0608">
        <w:t xml:space="preserve"> </w:t>
      </w:r>
      <w:r w:rsidRPr="00255EC0">
        <w:t>to high-quality geoscience data and knowledge</w:t>
      </w:r>
      <w:r w:rsidR="004E0608">
        <w:t xml:space="preserve"> </w:t>
      </w:r>
      <w:r w:rsidRPr="00255EC0">
        <w:t>to inform government decision making and attract new investment and jobs to the state. It develops and implements legislative and regulatory reforms in the earth resources sector to improve outcomes for all stakeholders.</w:t>
      </w:r>
    </w:p>
    <w:p w14:paraId="119A1389" w14:textId="77777777" w:rsidR="00255EC0" w:rsidRPr="00255EC0" w:rsidRDefault="00255EC0" w:rsidP="004E0608">
      <w:pPr>
        <w:pStyle w:val="Body"/>
      </w:pPr>
      <w:r w:rsidRPr="00255EC0">
        <w:t xml:space="preserve">Supporting investment in resources and low emission technologies, the department fosters innovation, productivity, </w:t>
      </w:r>
      <w:proofErr w:type="gramStart"/>
      <w:r w:rsidRPr="00255EC0">
        <w:t>jobs</w:t>
      </w:r>
      <w:proofErr w:type="gramEnd"/>
      <w:r w:rsidRPr="00255EC0">
        <w:t xml:space="preserve"> and trade in the state’s earth resources sector. Through strategic resource and related land use planning, new opportunities </w:t>
      </w:r>
      <w:proofErr w:type="gramStart"/>
      <w:r w:rsidRPr="00255EC0">
        <w:t>are able to</w:t>
      </w:r>
      <w:proofErr w:type="gramEnd"/>
      <w:r w:rsidRPr="00255EC0">
        <w:t xml:space="preserve"> be identified for Victoria’s earth resources, along with supporting major infrastructure development in the State.</w:t>
      </w:r>
    </w:p>
    <w:p w14:paraId="5EEC3A12" w14:textId="6BC5E4A1" w:rsidR="00255EC0" w:rsidRPr="00255EC0" w:rsidRDefault="00255EC0" w:rsidP="004E0608">
      <w:pPr>
        <w:pStyle w:val="Body"/>
      </w:pPr>
      <w:r w:rsidRPr="00255EC0">
        <w:t>The department also regulates the earth</w:t>
      </w:r>
      <w:r w:rsidR="004E0608">
        <w:t xml:space="preserve"> </w:t>
      </w:r>
      <w:r w:rsidRPr="00255EC0">
        <w:t xml:space="preserve">resources sector through transparent, </w:t>
      </w:r>
      <w:proofErr w:type="gramStart"/>
      <w:r w:rsidRPr="00255EC0">
        <w:t>consistent</w:t>
      </w:r>
      <w:proofErr w:type="gramEnd"/>
      <w:r w:rsidR="004E0608">
        <w:t xml:space="preserve"> </w:t>
      </w:r>
      <w:r w:rsidRPr="00255EC0">
        <w:t>and timely regulatory processes that provide</w:t>
      </w:r>
      <w:r w:rsidR="004E0608">
        <w:t xml:space="preserve"> </w:t>
      </w:r>
      <w:r w:rsidRPr="00255EC0">
        <w:t>industry with confidence to invest and have</w:t>
      </w:r>
      <w:r w:rsidR="004E0608">
        <w:t xml:space="preserve"> </w:t>
      </w:r>
      <w:r w:rsidRPr="00255EC0">
        <w:t>regard to the needs of communities and minimise</w:t>
      </w:r>
      <w:r w:rsidR="004E0608">
        <w:t xml:space="preserve"> </w:t>
      </w:r>
      <w:r w:rsidRPr="00255EC0">
        <w:t>impacts to the environment.</w:t>
      </w:r>
    </w:p>
    <w:p w14:paraId="59247C0B" w14:textId="77777777" w:rsidR="00C21009" w:rsidRDefault="00C21009">
      <w:pPr>
        <w:rPr>
          <w:rFonts w:ascii="Arial" w:hAnsi="Arial" w:cs="Arial"/>
          <w:b/>
          <w:bCs/>
          <w:lang w:val="en-GB"/>
        </w:rPr>
      </w:pPr>
      <w:r>
        <w:br w:type="page"/>
      </w:r>
    </w:p>
    <w:p w14:paraId="75FC7C91" w14:textId="24227663" w:rsidR="00255EC0" w:rsidRPr="00255EC0" w:rsidRDefault="00255EC0" w:rsidP="004E0608">
      <w:pPr>
        <w:pStyle w:val="Heading5"/>
      </w:pPr>
      <w:r w:rsidRPr="00255EC0">
        <w:lastRenderedPageBreak/>
        <w:t>Table 29: Output – Resources</w:t>
      </w:r>
    </w:p>
    <w:tbl>
      <w:tblPr>
        <w:tblStyle w:val="TableGrid"/>
        <w:tblW w:w="9776" w:type="dxa"/>
        <w:tblLayout w:type="fixed"/>
        <w:tblLook w:val="0020" w:firstRow="1" w:lastRow="0" w:firstColumn="0" w:lastColumn="0" w:noHBand="0" w:noVBand="0"/>
      </w:tblPr>
      <w:tblGrid>
        <w:gridCol w:w="4660"/>
        <w:gridCol w:w="964"/>
        <w:gridCol w:w="964"/>
        <w:gridCol w:w="963"/>
        <w:gridCol w:w="1375"/>
        <w:gridCol w:w="850"/>
      </w:tblGrid>
      <w:tr w:rsidR="00255EC0" w:rsidRPr="004E0608" w14:paraId="0D2AD1CE" w14:textId="77777777" w:rsidTr="00E8460A">
        <w:trPr>
          <w:trHeight w:val="113"/>
        </w:trPr>
        <w:tc>
          <w:tcPr>
            <w:tcW w:w="4660" w:type="dxa"/>
          </w:tcPr>
          <w:p w14:paraId="7243BF4F" w14:textId="77777777" w:rsidR="00255EC0" w:rsidRPr="004E0608" w:rsidRDefault="00255EC0" w:rsidP="004E0608">
            <w:pPr>
              <w:pStyle w:val="TableColumnheading"/>
              <w:rPr>
                <w:sz w:val="20"/>
              </w:rPr>
            </w:pPr>
            <w:r w:rsidRPr="004E0608">
              <w:rPr>
                <w:sz w:val="20"/>
              </w:rPr>
              <w:t xml:space="preserve">Performance measures </w:t>
            </w:r>
          </w:p>
        </w:tc>
        <w:tc>
          <w:tcPr>
            <w:tcW w:w="964" w:type="dxa"/>
          </w:tcPr>
          <w:p w14:paraId="2C0F24A0" w14:textId="77777777" w:rsidR="00255EC0" w:rsidRPr="004E0608" w:rsidRDefault="00255EC0" w:rsidP="004E0608">
            <w:pPr>
              <w:pStyle w:val="TableColumnheading"/>
              <w:jc w:val="right"/>
              <w:rPr>
                <w:sz w:val="20"/>
              </w:rPr>
            </w:pPr>
            <w:r w:rsidRPr="004E0608">
              <w:rPr>
                <w:sz w:val="20"/>
              </w:rPr>
              <w:t>Unit of measure</w:t>
            </w:r>
          </w:p>
        </w:tc>
        <w:tc>
          <w:tcPr>
            <w:tcW w:w="964" w:type="dxa"/>
          </w:tcPr>
          <w:p w14:paraId="5BFCC964" w14:textId="77777777" w:rsidR="00255EC0" w:rsidRPr="004E0608" w:rsidRDefault="00255EC0" w:rsidP="004E0608">
            <w:pPr>
              <w:pStyle w:val="TableColumnheading"/>
              <w:jc w:val="right"/>
              <w:rPr>
                <w:sz w:val="20"/>
              </w:rPr>
            </w:pPr>
            <w:r w:rsidRPr="004E0608">
              <w:rPr>
                <w:sz w:val="20"/>
              </w:rPr>
              <w:t>2019–20 actual</w:t>
            </w:r>
          </w:p>
        </w:tc>
        <w:tc>
          <w:tcPr>
            <w:tcW w:w="963" w:type="dxa"/>
          </w:tcPr>
          <w:p w14:paraId="0BC6F52C" w14:textId="77777777" w:rsidR="00255EC0" w:rsidRPr="004E0608" w:rsidRDefault="00255EC0" w:rsidP="004E0608">
            <w:pPr>
              <w:pStyle w:val="TableColumnheading"/>
              <w:jc w:val="right"/>
              <w:rPr>
                <w:sz w:val="20"/>
              </w:rPr>
            </w:pPr>
            <w:r w:rsidRPr="004E0608">
              <w:rPr>
                <w:sz w:val="20"/>
              </w:rPr>
              <w:t>2019–20 target</w:t>
            </w:r>
          </w:p>
        </w:tc>
        <w:tc>
          <w:tcPr>
            <w:tcW w:w="1375" w:type="dxa"/>
          </w:tcPr>
          <w:p w14:paraId="6AB8456A" w14:textId="77777777" w:rsidR="00255EC0" w:rsidRPr="004E0608" w:rsidRDefault="00255EC0" w:rsidP="004E0608">
            <w:pPr>
              <w:pStyle w:val="TableColumnheading"/>
              <w:jc w:val="right"/>
              <w:rPr>
                <w:sz w:val="20"/>
              </w:rPr>
            </w:pPr>
            <w:r w:rsidRPr="004E0608">
              <w:rPr>
                <w:sz w:val="20"/>
              </w:rPr>
              <w:t xml:space="preserve">Performance variation (%) </w:t>
            </w:r>
          </w:p>
        </w:tc>
        <w:tc>
          <w:tcPr>
            <w:tcW w:w="850" w:type="dxa"/>
          </w:tcPr>
          <w:p w14:paraId="3A4BE8B2" w14:textId="77777777" w:rsidR="00255EC0" w:rsidRPr="004E0608" w:rsidRDefault="00255EC0" w:rsidP="004E0608">
            <w:pPr>
              <w:pStyle w:val="TableColumnheading"/>
              <w:jc w:val="right"/>
              <w:rPr>
                <w:sz w:val="20"/>
              </w:rPr>
            </w:pPr>
            <w:r w:rsidRPr="004E0608">
              <w:rPr>
                <w:sz w:val="20"/>
              </w:rPr>
              <w:t xml:space="preserve">Result </w:t>
            </w:r>
          </w:p>
        </w:tc>
      </w:tr>
      <w:tr w:rsidR="00255EC0" w:rsidRPr="004E0608" w14:paraId="523F2059" w14:textId="77777777" w:rsidTr="00E8460A">
        <w:trPr>
          <w:trHeight w:val="113"/>
        </w:trPr>
        <w:tc>
          <w:tcPr>
            <w:tcW w:w="9776" w:type="dxa"/>
            <w:gridSpan w:val="6"/>
          </w:tcPr>
          <w:p w14:paraId="3EBF76D8" w14:textId="77777777" w:rsidR="00255EC0" w:rsidRPr="004E0608" w:rsidRDefault="00255EC0" w:rsidP="004E0608">
            <w:pPr>
              <w:pStyle w:val="Tabletextnospace"/>
              <w:rPr>
                <w:b/>
                <w:bCs/>
                <w:sz w:val="20"/>
                <w:szCs w:val="20"/>
              </w:rPr>
            </w:pPr>
            <w:r w:rsidRPr="004E0608">
              <w:rPr>
                <w:b/>
                <w:bCs/>
                <w:sz w:val="20"/>
                <w:szCs w:val="20"/>
              </w:rPr>
              <w:t>Quantity</w:t>
            </w:r>
          </w:p>
        </w:tc>
      </w:tr>
      <w:tr w:rsidR="00255EC0" w:rsidRPr="004E0608" w14:paraId="29B3E6A9" w14:textId="77777777" w:rsidTr="00E8460A">
        <w:trPr>
          <w:trHeight w:val="113"/>
        </w:trPr>
        <w:tc>
          <w:tcPr>
            <w:tcW w:w="4660" w:type="dxa"/>
          </w:tcPr>
          <w:p w14:paraId="5AC8D50A" w14:textId="77777777" w:rsidR="00255EC0" w:rsidRPr="004E0608" w:rsidRDefault="00255EC0" w:rsidP="004E0608">
            <w:pPr>
              <w:pStyle w:val="Tabletextnospace"/>
              <w:rPr>
                <w:sz w:val="20"/>
                <w:szCs w:val="20"/>
              </w:rPr>
            </w:pPr>
            <w:r w:rsidRPr="004E0608">
              <w:rPr>
                <w:sz w:val="20"/>
                <w:szCs w:val="20"/>
              </w:rPr>
              <w:t>Community and stakeholder engagement</w:t>
            </w:r>
            <w:r w:rsidRPr="004E0608">
              <w:rPr>
                <w:sz w:val="20"/>
                <w:szCs w:val="20"/>
              </w:rPr>
              <w:br/>
              <w:t>information forums</w:t>
            </w:r>
          </w:p>
        </w:tc>
        <w:tc>
          <w:tcPr>
            <w:tcW w:w="964" w:type="dxa"/>
          </w:tcPr>
          <w:p w14:paraId="65A1D140" w14:textId="77777777" w:rsidR="00255EC0" w:rsidRPr="004E0608" w:rsidRDefault="00255EC0" w:rsidP="004E0608">
            <w:pPr>
              <w:pStyle w:val="Tabletextnospace"/>
              <w:jc w:val="right"/>
              <w:rPr>
                <w:sz w:val="20"/>
                <w:szCs w:val="20"/>
              </w:rPr>
            </w:pPr>
            <w:r w:rsidRPr="004E0608">
              <w:rPr>
                <w:sz w:val="20"/>
                <w:szCs w:val="20"/>
              </w:rPr>
              <w:t>number</w:t>
            </w:r>
          </w:p>
        </w:tc>
        <w:tc>
          <w:tcPr>
            <w:tcW w:w="964" w:type="dxa"/>
          </w:tcPr>
          <w:p w14:paraId="0BE55E51" w14:textId="77777777" w:rsidR="00255EC0" w:rsidRPr="004E0608" w:rsidRDefault="00255EC0" w:rsidP="004E0608">
            <w:pPr>
              <w:pStyle w:val="Tabletextnospace"/>
              <w:jc w:val="right"/>
              <w:rPr>
                <w:sz w:val="20"/>
                <w:szCs w:val="20"/>
              </w:rPr>
            </w:pPr>
            <w:r w:rsidRPr="004E0608">
              <w:rPr>
                <w:sz w:val="20"/>
                <w:szCs w:val="20"/>
              </w:rPr>
              <w:t>55</w:t>
            </w:r>
          </w:p>
        </w:tc>
        <w:tc>
          <w:tcPr>
            <w:tcW w:w="963" w:type="dxa"/>
          </w:tcPr>
          <w:p w14:paraId="796009A3" w14:textId="77777777" w:rsidR="00255EC0" w:rsidRPr="004E0608" w:rsidRDefault="00255EC0" w:rsidP="004E0608">
            <w:pPr>
              <w:pStyle w:val="Tabletextnospace"/>
              <w:jc w:val="right"/>
              <w:rPr>
                <w:sz w:val="20"/>
                <w:szCs w:val="20"/>
              </w:rPr>
            </w:pPr>
            <w:r w:rsidRPr="004E0608">
              <w:rPr>
                <w:sz w:val="20"/>
                <w:szCs w:val="20"/>
              </w:rPr>
              <w:t>55</w:t>
            </w:r>
          </w:p>
        </w:tc>
        <w:tc>
          <w:tcPr>
            <w:tcW w:w="1375" w:type="dxa"/>
          </w:tcPr>
          <w:p w14:paraId="745EA59A" w14:textId="77777777" w:rsidR="00255EC0" w:rsidRPr="004E0608" w:rsidRDefault="00255EC0" w:rsidP="004E0608">
            <w:pPr>
              <w:pStyle w:val="Tabletextnospace"/>
              <w:jc w:val="right"/>
              <w:rPr>
                <w:sz w:val="20"/>
                <w:szCs w:val="20"/>
              </w:rPr>
            </w:pPr>
            <w:r w:rsidRPr="004E0608">
              <w:rPr>
                <w:sz w:val="20"/>
                <w:szCs w:val="20"/>
              </w:rPr>
              <w:t>0.0%</w:t>
            </w:r>
          </w:p>
        </w:tc>
        <w:tc>
          <w:tcPr>
            <w:tcW w:w="850" w:type="dxa"/>
          </w:tcPr>
          <w:p w14:paraId="6E03FAA8"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ü</w:t>
            </w:r>
          </w:p>
        </w:tc>
      </w:tr>
      <w:tr w:rsidR="00255EC0" w:rsidRPr="004E0608" w14:paraId="472672B7" w14:textId="77777777" w:rsidTr="00E8460A">
        <w:trPr>
          <w:trHeight w:val="113"/>
        </w:trPr>
        <w:tc>
          <w:tcPr>
            <w:tcW w:w="9776" w:type="dxa"/>
            <w:gridSpan w:val="6"/>
          </w:tcPr>
          <w:p w14:paraId="75A49CF6" w14:textId="77777777" w:rsidR="00255EC0" w:rsidRPr="004E0608" w:rsidRDefault="00255EC0" w:rsidP="004E0608">
            <w:pPr>
              <w:pStyle w:val="Tabletextnospace"/>
              <w:rPr>
                <w:b/>
                <w:bCs/>
                <w:sz w:val="20"/>
                <w:szCs w:val="20"/>
              </w:rPr>
            </w:pPr>
            <w:r w:rsidRPr="004E0608">
              <w:rPr>
                <w:b/>
                <w:bCs/>
                <w:sz w:val="20"/>
                <w:szCs w:val="20"/>
              </w:rPr>
              <w:t>Quality</w:t>
            </w:r>
          </w:p>
        </w:tc>
      </w:tr>
      <w:tr w:rsidR="00255EC0" w:rsidRPr="004E0608" w14:paraId="4809FF25" w14:textId="77777777" w:rsidTr="00E8460A">
        <w:trPr>
          <w:trHeight w:val="113"/>
        </w:trPr>
        <w:tc>
          <w:tcPr>
            <w:tcW w:w="4660" w:type="dxa"/>
          </w:tcPr>
          <w:p w14:paraId="290BBF4F" w14:textId="77777777" w:rsidR="00255EC0" w:rsidRPr="004E0608" w:rsidRDefault="00255EC0" w:rsidP="004E0608">
            <w:pPr>
              <w:pStyle w:val="Tabletextnospace"/>
              <w:rPr>
                <w:sz w:val="20"/>
                <w:szCs w:val="20"/>
              </w:rPr>
            </w:pPr>
            <w:r w:rsidRPr="004E0608">
              <w:rPr>
                <w:sz w:val="20"/>
                <w:szCs w:val="20"/>
              </w:rPr>
              <w:t>Exploration and mining licences which are active</w:t>
            </w:r>
          </w:p>
        </w:tc>
        <w:tc>
          <w:tcPr>
            <w:tcW w:w="964" w:type="dxa"/>
          </w:tcPr>
          <w:p w14:paraId="42B6F199"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7F5F4163" w14:textId="77777777" w:rsidR="00255EC0" w:rsidRPr="004E0608" w:rsidRDefault="00255EC0" w:rsidP="004E0608">
            <w:pPr>
              <w:pStyle w:val="Tabletextnospace"/>
              <w:jc w:val="right"/>
              <w:rPr>
                <w:sz w:val="20"/>
                <w:szCs w:val="20"/>
              </w:rPr>
            </w:pPr>
            <w:r w:rsidRPr="004E0608">
              <w:rPr>
                <w:sz w:val="20"/>
                <w:szCs w:val="20"/>
              </w:rPr>
              <w:t>79.1</w:t>
            </w:r>
          </w:p>
        </w:tc>
        <w:tc>
          <w:tcPr>
            <w:tcW w:w="963" w:type="dxa"/>
          </w:tcPr>
          <w:p w14:paraId="045C65C2" w14:textId="77777777" w:rsidR="00255EC0" w:rsidRPr="004E0608" w:rsidRDefault="00255EC0" w:rsidP="004E0608">
            <w:pPr>
              <w:pStyle w:val="Tabletextnospace"/>
              <w:jc w:val="right"/>
              <w:rPr>
                <w:sz w:val="20"/>
                <w:szCs w:val="20"/>
              </w:rPr>
            </w:pPr>
            <w:r w:rsidRPr="004E0608">
              <w:rPr>
                <w:sz w:val="20"/>
                <w:szCs w:val="20"/>
              </w:rPr>
              <w:t>82.5</w:t>
            </w:r>
          </w:p>
        </w:tc>
        <w:tc>
          <w:tcPr>
            <w:tcW w:w="1375" w:type="dxa"/>
          </w:tcPr>
          <w:p w14:paraId="67B88171" w14:textId="77777777" w:rsidR="00255EC0" w:rsidRPr="004E0608" w:rsidRDefault="00255EC0" w:rsidP="004E0608">
            <w:pPr>
              <w:pStyle w:val="Tabletextnospace"/>
              <w:jc w:val="right"/>
              <w:rPr>
                <w:sz w:val="20"/>
                <w:szCs w:val="20"/>
              </w:rPr>
            </w:pPr>
            <w:r w:rsidRPr="004E0608">
              <w:rPr>
                <w:sz w:val="20"/>
                <w:szCs w:val="20"/>
              </w:rPr>
              <w:t>-4.1%</w:t>
            </w:r>
          </w:p>
        </w:tc>
        <w:tc>
          <w:tcPr>
            <w:tcW w:w="850" w:type="dxa"/>
          </w:tcPr>
          <w:p w14:paraId="2C4AAE35" w14:textId="77777777" w:rsidR="00255EC0" w:rsidRPr="004E0608" w:rsidRDefault="00255EC0" w:rsidP="00255EC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jc w:val="right"/>
              <w:textAlignment w:val="center"/>
              <w:rPr>
                <w:rFonts w:ascii="VIC Light Italic" w:hAnsi="VIC Light Italic" w:cs="VIC Light Italic"/>
                <w:i/>
                <w:iCs/>
                <w:sz w:val="20"/>
                <w:lang w:val="en-GB"/>
              </w:rPr>
            </w:pPr>
            <w:r w:rsidRPr="004E0608">
              <w:rPr>
                <w:rFonts w:ascii="Wingdings 2" w:hAnsi="Wingdings 2" w:cs="Wingdings 2"/>
                <w:sz w:val="20"/>
                <w:lang w:val="en-GB"/>
              </w:rPr>
              <w:t>™</w:t>
            </w:r>
          </w:p>
        </w:tc>
      </w:tr>
      <w:tr w:rsidR="00255EC0" w:rsidRPr="004E0608" w14:paraId="5E3F5F8F" w14:textId="77777777" w:rsidTr="00E8460A">
        <w:trPr>
          <w:trHeight w:val="113"/>
        </w:trPr>
        <w:tc>
          <w:tcPr>
            <w:tcW w:w="9776" w:type="dxa"/>
            <w:gridSpan w:val="6"/>
          </w:tcPr>
          <w:p w14:paraId="428E0AC1" w14:textId="77777777" w:rsidR="00255EC0" w:rsidRPr="004E0608" w:rsidRDefault="00255EC0" w:rsidP="004E0608">
            <w:pPr>
              <w:pStyle w:val="Tabletextnospace"/>
              <w:rPr>
                <w:b/>
                <w:bCs/>
                <w:sz w:val="20"/>
                <w:szCs w:val="20"/>
              </w:rPr>
            </w:pPr>
            <w:r w:rsidRPr="004E0608">
              <w:rPr>
                <w:b/>
                <w:bCs/>
                <w:sz w:val="20"/>
                <w:szCs w:val="20"/>
              </w:rPr>
              <w:t>Timeliness</w:t>
            </w:r>
          </w:p>
        </w:tc>
      </w:tr>
      <w:tr w:rsidR="00255EC0" w:rsidRPr="004E0608" w14:paraId="5D5C5908" w14:textId="77777777" w:rsidTr="00E8460A">
        <w:trPr>
          <w:trHeight w:val="113"/>
        </w:trPr>
        <w:tc>
          <w:tcPr>
            <w:tcW w:w="4660" w:type="dxa"/>
          </w:tcPr>
          <w:p w14:paraId="4041DBCC" w14:textId="77777777" w:rsidR="00255EC0" w:rsidRPr="004E0608" w:rsidRDefault="00255EC0" w:rsidP="004E0608">
            <w:pPr>
              <w:pStyle w:val="Tabletextnospace"/>
              <w:rPr>
                <w:sz w:val="20"/>
                <w:szCs w:val="20"/>
              </w:rPr>
            </w:pPr>
            <w:r w:rsidRPr="004E0608">
              <w:rPr>
                <w:sz w:val="20"/>
                <w:szCs w:val="20"/>
              </w:rPr>
              <w:t xml:space="preserve">Delivery of key </w:t>
            </w:r>
            <w:proofErr w:type="spellStart"/>
            <w:r w:rsidRPr="004E0608">
              <w:rPr>
                <w:sz w:val="20"/>
                <w:szCs w:val="20"/>
              </w:rPr>
              <w:t>CarbonNet</w:t>
            </w:r>
            <w:proofErr w:type="spellEnd"/>
            <w:r w:rsidRPr="004E0608">
              <w:rPr>
                <w:sz w:val="20"/>
                <w:szCs w:val="20"/>
              </w:rPr>
              <w:t xml:space="preserve"> milestones, in line with funding agreements and agreed project deliverables</w:t>
            </w:r>
          </w:p>
        </w:tc>
        <w:tc>
          <w:tcPr>
            <w:tcW w:w="964" w:type="dxa"/>
          </w:tcPr>
          <w:p w14:paraId="3999FBB3"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6359CCA7" w14:textId="77777777" w:rsidR="00255EC0" w:rsidRPr="004E0608" w:rsidRDefault="00255EC0" w:rsidP="004E0608">
            <w:pPr>
              <w:pStyle w:val="Tabletextnospace"/>
              <w:jc w:val="right"/>
              <w:rPr>
                <w:sz w:val="20"/>
                <w:szCs w:val="20"/>
              </w:rPr>
            </w:pPr>
            <w:r w:rsidRPr="004E0608">
              <w:rPr>
                <w:sz w:val="20"/>
                <w:szCs w:val="20"/>
              </w:rPr>
              <w:t>100</w:t>
            </w:r>
          </w:p>
        </w:tc>
        <w:tc>
          <w:tcPr>
            <w:tcW w:w="963" w:type="dxa"/>
          </w:tcPr>
          <w:p w14:paraId="070D1F94" w14:textId="77777777" w:rsidR="00255EC0" w:rsidRPr="004E0608" w:rsidRDefault="00255EC0" w:rsidP="004E0608">
            <w:pPr>
              <w:pStyle w:val="Tabletextnospace"/>
              <w:jc w:val="right"/>
              <w:rPr>
                <w:sz w:val="20"/>
                <w:szCs w:val="20"/>
              </w:rPr>
            </w:pPr>
            <w:r w:rsidRPr="004E0608">
              <w:rPr>
                <w:sz w:val="20"/>
                <w:szCs w:val="20"/>
              </w:rPr>
              <w:t>100</w:t>
            </w:r>
          </w:p>
        </w:tc>
        <w:tc>
          <w:tcPr>
            <w:tcW w:w="1375" w:type="dxa"/>
          </w:tcPr>
          <w:p w14:paraId="1D811C60" w14:textId="77777777" w:rsidR="00255EC0" w:rsidRPr="004E0608" w:rsidRDefault="00255EC0" w:rsidP="004E0608">
            <w:pPr>
              <w:pStyle w:val="Tabletextnospace"/>
              <w:jc w:val="right"/>
              <w:rPr>
                <w:sz w:val="20"/>
                <w:szCs w:val="20"/>
              </w:rPr>
            </w:pPr>
            <w:r w:rsidRPr="004E0608">
              <w:rPr>
                <w:sz w:val="20"/>
                <w:szCs w:val="20"/>
              </w:rPr>
              <w:t>0.0%</w:t>
            </w:r>
          </w:p>
        </w:tc>
        <w:tc>
          <w:tcPr>
            <w:tcW w:w="850" w:type="dxa"/>
          </w:tcPr>
          <w:p w14:paraId="7D2A5DC5"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ü</w:t>
            </w:r>
          </w:p>
        </w:tc>
      </w:tr>
      <w:tr w:rsidR="00255EC0" w:rsidRPr="004E0608" w14:paraId="1D01493D" w14:textId="77777777" w:rsidTr="00E8460A">
        <w:trPr>
          <w:trHeight w:val="113"/>
        </w:trPr>
        <w:tc>
          <w:tcPr>
            <w:tcW w:w="4660" w:type="dxa"/>
          </w:tcPr>
          <w:p w14:paraId="3AD07B85" w14:textId="77777777" w:rsidR="00255EC0" w:rsidRPr="004E0608" w:rsidRDefault="00255EC0" w:rsidP="004E0608">
            <w:pPr>
              <w:pStyle w:val="Tabletextnospace"/>
              <w:rPr>
                <w:sz w:val="20"/>
                <w:szCs w:val="20"/>
              </w:rPr>
            </w:pPr>
            <w:r w:rsidRPr="004E0608">
              <w:rPr>
                <w:sz w:val="20"/>
                <w:szCs w:val="20"/>
              </w:rPr>
              <w:t>Delivery of key milestones consistent with agreed timelines for the Victorian Gas Program</w:t>
            </w:r>
          </w:p>
        </w:tc>
        <w:tc>
          <w:tcPr>
            <w:tcW w:w="964" w:type="dxa"/>
          </w:tcPr>
          <w:p w14:paraId="6B1F8191"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32BA993A" w14:textId="77777777" w:rsidR="00255EC0" w:rsidRPr="004E0608" w:rsidRDefault="00255EC0" w:rsidP="004E0608">
            <w:pPr>
              <w:pStyle w:val="Tabletextnospace"/>
              <w:jc w:val="right"/>
              <w:rPr>
                <w:sz w:val="20"/>
                <w:szCs w:val="20"/>
              </w:rPr>
            </w:pPr>
            <w:r w:rsidRPr="004E0608">
              <w:rPr>
                <w:sz w:val="20"/>
                <w:szCs w:val="20"/>
              </w:rPr>
              <w:t>100</w:t>
            </w:r>
          </w:p>
        </w:tc>
        <w:tc>
          <w:tcPr>
            <w:tcW w:w="963" w:type="dxa"/>
          </w:tcPr>
          <w:p w14:paraId="3B952228" w14:textId="77777777" w:rsidR="00255EC0" w:rsidRPr="004E0608" w:rsidRDefault="00255EC0" w:rsidP="004E0608">
            <w:pPr>
              <w:pStyle w:val="Tabletextnospace"/>
              <w:jc w:val="right"/>
              <w:rPr>
                <w:sz w:val="20"/>
                <w:szCs w:val="20"/>
              </w:rPr>
            </w:pPr>
            <w:r w:rsidRPr="004E0608">
              <w:rPr>
                <w:sz w:val="20"/>
                <w:szCs w:val="20"/>
              </w:rPr>
              <w:t>100</w:t>
            </w:r>
          </w:p>
        </w:tc>
        <w:tc>
          <w:tcPr>
            <w:tcW w:w="1375" w:type="dxa"/>
          </w:tcPr>
          <w:p w14:paraId="634C3B6F" w14:textId="77777777" w:rsidR="00255EC0" w:rsidRPr="004E0608" w:rsidRDefault="00255EC0" w:rsidP="004E0608">
            <w:pPr>
              <w:pStyle w:val="Tabletextnospace"/>
              <w:jc w:val="right"/>
              <w:rPr>
                <w:sz w:val="20"/>
                <w:szCs w:val="20"/>
              </w:rPr>
            </w:pPr>
            <w:r w:rsidRPr="004E0608">
              <w:rPr>
                <w:sz w:val="20"/>
                <w:szCs w:val="20"/>
              </w:rPr>
              <w:t>0.0%</w:t>
            </w:r>
          </w:p>
        </w:tc>
        <w:tc>
          <w:tcPr>
            <w:tcW w:w="850" w:type="dxa"/>
          </w:tcPr>
          <w:p w14:paraId="7E910888"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ü</w:t>
            </w:r>
          </w:p>
        </w:tc>
      </w:tr>
      <w:tr w:rsidR="00255EC0" w:rsidRPr="004E0608" w14:paraId="699D7B0B" w14:textId="77777777" w:rsidTr="00E8460A">
        <w:trPr>
          <w:trHeight w:val="113"/>
        </w:trPr>
        <w:tc>
          <w:tcPr>
            <w:tcW w:w="4660" w:type="dxa"/>
          </w:tcPr>
          <w:p w14:paraId="55635824" w14:textId="77777777" w:rsidR="00255EC0" w:rsidRPr="004E0608" w:rsidRDefault="00255EC0" w:rsidP="004E0608">
            <w:pPr>
              <w:pStyle w:val="Tabletextnospace"/>
              <w:rPr>
                <w:sz w:val="20"/>
                <w:szCs w:val="20"/>
              </w:rPr>
            </w:pPr>
            <w:r w:rsidRPr="004E0608">
              <w:rPr>
                <w:sz w:val="20"/>
                <w:szCs w:val="20"/>
              </w:rPr>
              <w:t>Extractive Industries Work Authority work plans processed within regulatory timeframes</w:t>
            </w:r>
          </w:p>
        </w:tc>
        <w:tc>
          <w:tcPr>
            <w:tcW w:w="964" w:type="dxa"/>
          </w:tcPr>
          <w:p w14:paraId="5F3932A5"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3058CE6A" w14:textId="77777777" w:rsidR="00255EC0" w:rsidRPr="004E0608" w:rsidRDefault="00255EC0" w:rsidP="004E0608">
            <w:pPr>
              <w:pStyle w:val="Tabletextnospace"/>
              <w:jc w:val="right"/>
              <w:rPr>
                <w:sz w:val="20"/>
                <w:szCs w:val="20"/>
              </w:rPr>
            </w:pPr>
            <w:r w:rsidRPr="004E0608">
              <w:rPr>
                <w:sz w:val="20"/>
                <w:szCs w:val="20"/>
              </w:rPr>
              <w:t>96.2</w:t>
            </w:r>
          </w:p>
        </w:tc>
        <w:tc>
          <w:tcPr>
            <w:tcW w:w="963" w:type="dxa"/>
          </w:tcPr>
          <w:p w14:paraId="59F3969E" w14:textId="77777777" w:rsidR="00255EC0" w:rsidRPr="004E0608" w:rsidRDefault="00255EC0" w:rsidP="004E0608">
            <w:pPr>
              <w:pStyle w:val="Tabletextnospace"/>
              <w:jc w:val="right"/>
              <w:rPr>
                <w:sz w:val="20"/>
                <w:szCs w:val="20"/>
              </w:rPr>
            </w:pPr>
            <w:r w:rsidRPr="004E0608">
              <w:rPr>
                <w:sz w:val="20"/>
                <w:szCs w:val="20"/>
              </w:rPr>
              <w:t>95</w:t>
            </w:r>
          </w:p>
        </w:tc>
        <w:tc>
          <w:tcPr>
            <w:tcW w:w="1375" w:type="dxa"/>
          </w:tcPr>
          <w:p w14:paraId="70E60AA1" w14:textId="77777777" w:rsidR="00255EC0" w:rsidRPr="004E0608" w:rsidRDefault="00255EC0" w:rsidP="004E0608">
            <w:pPr>
              <w:pStyle w:val="Tabletextnospace"/>
              <w:jc w:val="right"/>
              <w:rPr>
                <w:sz w:val="20"/>
                <w:szCs w:val="20"/>
              </w:rPr>
            </w:pPr>
            <w:r w:rsidRPr="004E0608">
              <w:rPr>
                <w:sz w:val="20"/>
                <w:szCs w:val="20"/>
              </w:rPr>
              <w:t>1.3%</w:t>
            </w:r>
          </w:p>
        </w:tc>
        <w:tc>
          <w:tcPr>
            <w:tcW w:w="850" w:type="dxa"/>
          </w:tcPr>
          <w:p w14:paraId="4432BD85"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ü</w:t>
            </w:r>
          </w:p>
        </w:tc>
      </w:tr>
      <w:tr w:rsidR="00255EC0" w:rsidRPr="004E0608" w14:paraId="49DAF789" w14:textId="77777777" w:rsidTr="00E8460A">
        <w:trPr>
          <w:trHeight w:val="113"/>
        </w:trPr>
        <w:tc>
          <w:tcPr>
            <w:tcW w:w="4660" w:type="dxa"/>
          </w:tcPr>
          <w:p w14:paraId="59864C21" w14:textId="77777777" w:rsidR="00255EC0" w:rsidRPr="004E0608" w:rsidRDefault="00255EC0" w:rsidP="004E0608">
            <w:pPr>
              <w:pStyle w:val="Tabletextnospace"/>
              <w:rPr>
                <w:sz w:val="20"/>
                <w:szCs w:val="20"/>
              </w:rPr>
            </w:pPr>
            <w:r w:rsidRPr="004E0608">
              <w:rPr>
                <w:sz w:val="20"/>
                <w:szCs w:val="20"/>
              </w:rPr>
              <w:t>Facilitate the delivery of resources projects in line with grant agreements and project milestones.</w:t>
            </w:r>
          </w:p>
        </w:tc>
        <w:tc>
          <w:tcPr>
            <w:tcW w:w="964" w:type="dxa"/>
          </w:tcPr>
          <w:p w14:paraId="102386DA"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3DF90C26" w14:textId="77777777" w:rsidR="00255EC0" w:rsidRPr="004E0608" w:rsidRDefault="00255EC0" w:rsidP="004E0608">
            <w:pPr>
              <w:pStyle w:val="Tabletextnospace"/>
              <w:jc w:val="right"/>
              <w:rPr>
                <w:sz w:val="20"/>
                <w:szCs w:val="20"/>
              </w:rPr>
            </w:pPr>
            <w:r w:rsidRPr="004E0608">
              <w:rPr>
                <w:sz w:val="20"/>
                <w:szCs w:val="20"/>
              </w:rPr>
              <w:t>90.8</w:t>
            </w:r>
          </w:p>
        </w:tc>
        <w:tc>
          <w:tcPr>
            <w:tcW w:w="963" w:type="dxa"/>
          </w:tcPr>
          <w:p w14:paraId="1653D510" w14:textId="77777777" w:rsidR="00255EC0" w:rsidRPr="004E0608" w:rsidRDefault="00255EC0" w:rsidP="004E0608">
            <w:pPr>
              <w:pStyle w:val="Tabletextnospace"/>
              <w:jc w:val="right"/>
              <w:rPr>
                <w:sz w:val="20"/>
                <w:szCs w:val="20"/>
              </w:rPr>
            </w:pPr>
            <w:r w:rsidRPr="004E0608">
              <w:rPr>
                <w:sz w:val="20"/>
                <w:szCs w:val="20"/>
              </w:rPr>
              <w:t>100</w:t>
            </w:r>
          </w:p>
        </w:tc>
        <w:tc>
          <w:tcPr>
            <w:tcW w:w="1375" w:type="dxa"/>
          </w:tcPr>
          <w:p w14:paraId="292196B0" w14:textId="77777777" w:rsidR="00255EC0" w:rsidRPr="004E0608" w:rsidRDefault="00255EC0" w:rsidP="004E0608">
            <w:pPr>
              <w:pStyle w:val="Tabletextnospace"/>
              <w:jc w:val="right"/>
              <w:rPr>
                <w:sz w:val="20"/>
                <w:szCs w:val="20"/>
              </w:rPr>
            </w:pPr>
            <w:r w:rsidRPr="004E0608">
              <w:rPr>
                <w:sz w:val="20"/>
                <w:szCs w:val="20"/>
              </w:rPr>
              <w:t>-9.2%</w:t>
            </w:r>
          </w:p>
        </w:tc>
        <w:tc>
          <w:tcPr>
            <w:tcW w:w="850" w:type="dxa"/>
          </w:tcPr>
          <w:p w14:paraId="089EA98B"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n</w:t>
            </w:r>
          </w:p>
        </w:tc>
      </w:tr>
      <w:tr w:rsidR="00255EC0" w:rsidRPr="004E0608" w14:paraId="5B3BC3F6" w14:textId="77777777" w:rsidTr="00E8460A">
        <w:trPr>
          <w:trHeight w:val="113"/>
        </w:trPr>
        <w:tc>
          <w:tcPr>
            <w:tcW w:w="9776" w:type="dxa"/>
            <w:gridSpan w:val="6"/>
          </w:tcPr>
          <w:p w14:paraId="70572BE4" w14:textId="77777777" w:rsidR="00255EC0" w:rsidRPr="004E0608" w:rsidRDefault="00255EC0" w:rsidP="004E0608">
            <w:pPr>
              <w:pStyle w:val="Tabletextnospace"/>
              <w:rPr>
                <w:i/>
                <w:iCs/>
                <w:sz w:val="18"/>
              </w:rPr>
            </w:pPr>
            <w:r w:rsidRPr="004E0608">
              <w:rPr>
                <w:i/>
                <w:iCs/>
                <w:sz w:val="18"/>
              </w:rPr>
              <w:t xml:space="preserve">Lower result due to rescheduling of key activities arising from the impact of the coronavirus (COVID-19) pandemic. </w:t>
            </w:r>
          </w:p>
        </w:tc>
      </w:tr>
      <w:tr w:rsidR="00255EC0" w:rsidRPr="004E0608" w14:paraId="4B640199" w14:textId="77777777" w:rsidTr="00E8460A">
        <w:trPr>
          <w:trHeight w:val="113"/>
        </w:trPr>
        <w:tc>
          <w:tcPr>
            <w:tcW w:w="4660" w:type="dxa"/>
          </w:tcPr>
          <w:p w14:paraId="1ED99135" w14:textId="77777777" w:rsidR="00255EC0" w:rsidRPr="004E0608" w:rsidRDefault="00255EC0" w:rsidP="004E0608">
            <w:pPr>
              <w:pStyle w:val="Tabletextnospace"/>
              <w:rPr>
                <w:sz w:val="20"/>
                <w:szCs w:val="20"/>
              </w:rPr>
            </w:pPr>
            <w:r w:rsidRPr="004E0608">
              <w:rPr>
                <w:sz w:val="20"/>
                <w:szCs w:val="20"/>
              </w:rPr>
              <w:t>Industry geoscience data packages released for minerals and petroleum sectors consistent with agreed timelines</w:t>
            </w:r>
          </w:p>
        </w:tc>
        <w:tc>
          <w:tcPr>
            <w:tcW w:w="964" w:type="dxa"/>
          </w:tcPr>
          <w:p w14:paraId="1BA453C1" w14:textId="77777777" w:rsidR="00255EC0" w:rsidRPr="004E0608" w:rsidRDefault="00255EC0" w:rsidP="004E0608">
            <w:pPr>
              <w:pStyle w:val="Tabletextnospace"/>
              <w:jc w:val="right"/>
              <w:rPr>
                <w:sz w:val="20"/>
                <w:szCs w:val="20"/>
              </w:rPr>
            </w:pPr>
            <w:r w:rsidRPr="004E0608">
              <w:rPr>
                <w:sz w:val="20"/>
                <w:szCs w:val="20"/>
              </w:rPr>
              <w:t>number</w:t>
            </w:r>
          </w:p>
        </w:tc>
        <w:tc>
          <w:tcPr>
            <w:tcW w:w="964" w:type="dxa"/>
          </w:tcPr>
          <w:p w14:paraId="0A2DE11E" w14:textId="77777777" w:rsidR="00255EC0" w:rsidRPr="004E0608" w:rsidRDefault="00255EC0" w:rsidP="004E0608">
            <w:pPr>
              <w:pStyle w:val="Tabletextnospace"/>
              <w:jc w:val="right"/>
              <w:rPr>
                <w:sz w:val="20"/>
                <w:szCs w:val="20"/>
              </w:rPr>
            </w:pPr>
            <w:r w:rsidRPr="004E0608">
              <w:rPr>
                <w:sz w:val="20"/>
                <w:szCs w:val="20"/>
              </w:rPr>
              <w:t>10</w:t>
            </w:r>
          </w:p>
        </w:tc>
        <w:tc>
          <w:tcPr>
            <w:tcW w:w="963" w:type="dxa"/>
          </w:tcPr>
          <w:p w14:paraId="1D21F2C0" w14:textId="77777777" w:rsidR="00255EC0" w:rsidRPr="004E0608" w:rsidRDefault="00255EC0" w:rsidP="004E0608">
            <w:pPr>
              <w:pStyle w:val="Tabletextnospace"/>
              <w:jc w:val="right"/>
              <w:rPr>
                <w:sz w:val="20"/>
                <w:szCs w:val="20"/>
              </w:rPr>
            </w:pPr>
            <w:r w:rsidRPr="004E0608">
              <w:rPr>
                <w:sz w:val="20"/>
                <w:szCs w:val="20"/>
              </w:rPr>
              <w:t>10</w:t>
            </w:r>
          </w:p>
        </w:tc>
        <w:tc>
          <w:tcPr>
            <w:tcW w:w="1375" w:type="dxa"/>
          </w:tcPr>
          <w:p w14:paraId="3A6A61BA" w14:textId="77777777" w:rsidR="00255EC0" w:rsidRPr="004E0608" w:rsidRDefault="00255EC0" w:rsidP="004E0608">
            <w:pPr>
              <w:pStyle w:val="Tabletextnospace"/>
              <w:jc w:val="right"/>
              <w:rPr>
                <w:sz w:val="20"/>
                <w:szCs w:val="20"/>
              </w:rPr>
            </w:pPr>
            <w:r w:rsidRPr="004E0608">
              <w:rPr>
                <w:sz w:val="20"/>
                <w:szCs w:val="20"/>
              </w:rPr>
              <w:t>0.0%</w:t>
            </w:r>
          </w:p>
        </w:tc>
        <w:tc>
          <w:tcPr>
            <w:tcW w:w="850" w:type="dxa"/>
          </w:tcPr>
          <w:p w14:paraId="1E33FC55"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ü</w:t>
            </w:r>
          </w:p>
        </w:tc>
      </w:tr>
      <w:tr w:rsidR="00255EC0" w:rsidRPr="004E0608" w14:paraId="2ACD3E7E" w14:textId="77777777" w:rsidTr="00E8460A">
        <w:trPr>
          <w:trHeight w:val="113"/>
        </w:trPr>
        <w:tc>
          <w:tcPr>
            <w:tcW w:w="4660" w:type="dxa"/>
          </w:tcPr>
          <w:p w14:paraId="569E37AD" w14:textId="77777777" w:rsidR="00255EC0" w:rsidRPr="004E0608" w:rsidRDefault="00255EC0" w:rsidP="004E0608">
            <w:pPr>
              <w:pStyle w:val="Tabletextnospace"/>
              <w:rPr>
                <w:sz w:val="20"/>
                <w:szCs w:val="20"/>
              </w:rPr>
            </w:pPr>
            <w:r w:rsidRPr="004E0608">
              <w:rPr>
                <w:sz w:val="20"/>
                <w:szCs w:val="20"/>
              </w:rPr>
              <w:t>Mineral licence applications and work plans processed within regulatory timeframes</w:t>
            </w:r>
          </w:p>
        </w:tc>
        <w:tc>
          <w:tcPr>
            <w:tcW w:w="964" w:type="dxa"/>
          </w:tcPr>
          <w:p w14:paraId="0ECAD3AC"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16272F93" w14:textId="77777777" w:rsidR="00255EC0" w:rsidRPr="004E0608" w:rsidRDefault="00255EC0" w:rsidP="004E0608">
            <w:pPr>
              <w:pStyle w:val="Tabletextnospace"/>
              <w:jc w:val="right"/>
              <w:rPr>
                <w:sz w:val="20"/>
                <w:szCs w:val="20"/>
              </w:rPr>
            </w:pPr>
            <w:r w:rsidRPr="004E0608">
              <w:rPr>
                <w:sz w:val="20"/>
                <w:szCs w:val="20"/>
              </w:rPr>
              <w:t>82</w:t>
            </w:r>
          </w:p>
        </w:tc>
        <w:tc>
          <w:tcPr>
            <w:tcW w:w="963" w:type="dxa"/>
          </w:tcPr>
          <w:p w14:paraId="7858D5D1" w14:textId="77777777" w:rsidR="00255EC0" w:rsidRPr="004E0608" w:rsidRDefault="00255EC0" w:rsidP="004E0608">
            <w:pPr>
              <w:pStyle w:val="Tabletextnospace"/>
              <w:jc w:val="right"/>
              <w:rPr>
                <w:sz w:val="20"/>
                <w:szCs w:val="20"/>
              </w:rPr>
            </w:pPr>
            <w:r w:rsidRPr="004E0608">
              <w:rPr>
                <w:sz w:val="20"/>
                <w:szCs w:val="20"/>
              </w:rPr>
              <w:t>95</w:t>
            </w:r>
          </w:p>
        </w:tc>
        <w:tc>
          <w:tcPr>
            <w:tcW w:w="1375" w:type="dxa"/>
          </w:tcPr>
          <w:p w14:paraId="030FB4B5" w14:textId="77777777" w:rsidR="00255EC0" w:rsidRPr="004E0608" w:rsidRDefault="00255EC0" w:rsidP="004E0608">
            <w:pPr>
              <w:pStyle w:val="Tabletextnospace"/>
              <w:jc w:val="right"/>
              <w:rPr>
                <w:sz w:val="20"/>
                <w:szCs w:val="20"/>
              </w:rPr>
            </w:pPr>
            <w:r w:rsidRPr="004E0608">
              <w:rPr>
                <w:sz w:val="20"/>
                <w:szCs w:val="20"/>
              </w:rPr>
              <w:t>-13.7%</w:t>
            </w:r>
          </w:p>
        </w:tc>
        <w:tc>
          <w:tcPr>
            <w:tcW w:w="850" w:type="dxa"/>
          </w:tcPr>
          <w:p w14:paraId="0C9427F3"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n</w:t>
            </w:r>
          </w:p>
        </w:tc>
      </w:tr>
      <w:tr w:rsidR="00255EC0" w:rsidRPr="00C21009" w14:paraId="0C7B9AB7" w14:textId="77777777" w:rsidTr="00E8460A">
        <w:trPr>
          <w:trHeight w:val="113"/>
        </w:trPr>
        <w:tc>
          <w:tcPr>
            <w:tcW w:w="9776" w:type="dxa"/>
            <w:gridSpan w:val="6"/>
          </w:tcPr>
          <w:p w14:paraId="1EE32E80" w14:textId="77777777" w:rsidR="00255EC0" w:rsidRPr="00C21009" w:rsidRDefault="00255EC0" w:rsidP="004E0608">
            <w:pPr>
              <w:pStyle w:val="Tabletextnospace"/>
              <w:rPr>
                <w:i/>
                <w:iCs/>
                <w:sz w:val="18"/>
              </w:rPr>
            </w:pPr>
            <w:r w:rsidRPr="00C21009">
              <w:rPr>
                <w:i/>
                <w:iCs/>
                <w:sz w:val="18"/>
              </w:rPr>
              <w:t>Lower result due to a significant increase in applications due to record levels of industry activity; and disruptions arising from the coronavirus (COVID-19) pandemic.</w:t>
            </w:r>
          </w:p>
        </w:tc>
      </w:tr>
      <w:tr w:rsidR="00255EC0" w:rsidRPr="004E0608" w14:paraId="02065E4C" w14:textId="77777777" w:rsidTr="00E8460A">
        <w:trPr>
          <w:trHeight w:val="113"/>
        </w:trPr>
        <w:tc>
          <w:tcPr>
            <w:tcW w:w="4660" w:type="dxa"/>
          </w:tcPr>
          <w:p w14:paraId="7CEB0EC5" w14:textId="77777777" w:rsidR="00255EC0" w:rsidRPr="004E0608" w:rsidRDefault="00255EC0" w:rsidP="004E0608">
            <w:pPr>
              <w:pStyle w:val="Tabletextnospace"/>
              <w:rPr>
                <w:sz w:val="20"/>
                <w:szCs w:val="20"/>
              </w:rPr>
            </w:pPr>
            <w:r w:rsidRPr="004E0608">
              <w:rPr>
                <w:sz w:val="20"/>
                <w:szCs w:val="20"/>
              </w:rPr>
              <w:t>Regulatory audits completed within agreed timelines</w:t>
            </w:r>
          </w:p>
        </w:tc>
        <w:tc>
          <w:tcPr>
            <w:tcW w:w="964" w:type="dxa"/>
          </w:tcPr>
          <w:p w14:paraId="60A28B2C" w14:textId="77777777" w:rsidR="00255EC0" w:rsidRPr="004E0608" w:rsidRDefault="00255EC0" w:rsidP="004E0608">
            <w:pPr>
              <w:pStyle w:val="Tabletextnospace"/>
              <w:jc w:val="right"/>
              <w:rPr>
                <w:sz w:val="20"/>
                <w:szCs w:val="20"/>
              </w:rPr>
            </w:pPr>
            <w:r w:rsidRPr="004E0608">
              <w:rPr>
                <w:sz w:val="20"/>
                <w:szCs w:val="20"/>
              </w:rPr>
              <w:t>per cent</w:t>
            </w:r>
          </w:p>
        </w:tc>
        <w:tc>
          <w:tcPr>
            <w:tcW w:w="964" w:type="dxa"/>
          </w:tcPr>
          <w:p w14:paraId="56C1F2EC" w14:textId="77777777" w:rsidR="00255EC0" w:rsidRPr="004E0608" w:rsidRDefault="00255EC0" w:rsidP="004E0608">
            <w:pPr>
              <w:pStyle w:val="Tabletextnospace"/>
              <w:jc w:val="right"/>
              <w:rPr>
                <w:sz w:val="20"/>
                <w:szCs w:val="20"/>
              </w:rPr>
            </w:pPr>
            <w:r w:rsidRPr="004E0608">
              <w:rPr>
                <w:sz w:val="20"/>
                <w:szCs w:val="20"/>
              </w:rPr>
              <w:t>72.5</w:t>
            </w:r>
          </w:p>
        </w:tc>
        <w:tc>
          <w:tcPr>
            <w:tcW w:w="963" w:type="dxa"/>
          </w:tcPr>
          <w:p w14:paraId="69911CB3" w14:textId="77777777" w:rsidR="00255EC0" w:rsidRPr="004E0608" w:rsidRDefault="00255EC0" w:rsidP="004E0608">
            <w:pPr>
              <w:pStyle w:val="Tabletextnospace"/>
              <w:jc w:val="right"/>
              <w:rPr>
                <w:sz w:val="20"/>
                <w:szCs w:val="20"/>
              </w:rPr>
            </w:pPr>
            <w:r w:rsidRPr="004E0608">
              <w:rPr>
                <w:sz w:val="20"/>
                <w:szCs w:val="20"/>
              </w:rPr>
              <w:t>98</w:t>
            </w:r>
          </w:p>
        </w:tc>
        <w:tc>
          <w:tcPr>
            <w:tcW w:w="1375" w:type="dxa"/>
          </w:tcPr>
          <w:p w14:paraId="7F06FE7A" w14:textId="77777777" w:rsidR="00255EC0" w:rsidRPr="004E0608" w:rsidRDefault="00255EC0" w:rsidP="004E0608">
            <w:pPr>
              <w:pStyle w:val="Tabletextnospace"/>
              <w:jc w:val="right"/>
              <w:rPr>
                <w:sz w:val="20"/>
                <w:szCs w:val="20"/>
              </w:rPr>
            </w:pPr>
            <w:r w:rsidRPr="004E0608">
              <w:rPr>
                <w:sz w:val="20"/>
                <w:szCs w:val="20"/>
              </w:rPr>
              <w:t>-26.0%</w:t>
            </w:r>
          </w:p>
        </w:tc>
        <w:tc>
          <w:tcPr>
            <w:tcW w:w="850" w:type="dxa"/>
          </w:tcPr>
          <w:p w14:paraId="4A5D8D66"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sz w:val="20"/>
                <w:lang w:val="en-GB"/>
              </w:rPr>
            </w:pPr>
            <w:r w:rsidRPr="004E0608">
              <w:rPr>
                <w:rFonts w:ascii="Wingdings" w:hAnsi="Wingdings" w:cs="Wingdings"/>
                <w:position w:val="-2"/>
                <w:sz w:val="20"/>
                <w:lang w:val="en-GB"/>
              </w:rPr>
              <w:t>n</w:t>
            </w:r>
          </w:p>
        </w:tc>
      </w:tr>
      <w:tr w:rsidR="00255EC0" w:rsidRPr="00C21009" w14:paraId="7053012D" w14:textId="77777777" w:rsidTr="00E8460A">
        <w:trPr>
          <w:trHeight w:val="113"/>
        </w:trPr>
        <w:tc>
          <w:tcPr>
            <w:tcW w:w="9776" w:type="dxa"/>
            <w:gridSpan w:val="6"/>
          </w:tcPr>
          <w:p w14:paraId="495C2DB9" w14:textId="77777777" w:rsidR="00255EC0" w:rsidRPr="00C21009" w:rsidRDefault="00255EC0" w:rsidP="004E0608">
            <w:pPr>
              <w:pStyle w:val="Tabletextnospace"/>
              <w:rPr>
                <w:i/>
                <w:iCs/>
                <w:sz w:val="18"/>
              </w:rPr>
            </w:pPr>
            <w:r w:rsidRPr="00C21009">
              <w:rPr>
                <w:i/>
                <w:iCs/>
                <w:sz w:val="18"/>
              </w:rPr>
              <w:t>Lower result due to constraints on compliance activities reflecting coronavirus (COVID-19) restrictions.</w:t>
            </w:r>
          </w:p>
        </w:tc>
      </w:tr>
      <w:tr w:rsidR="00255EC0" w:rsidRPr="004E0608" w14:paraId="152BDBD6" w14:textId="77777777" w:rsidTr="00E8460A">
        <w:trPr>
          <w:trHeight w:val="113"/>
        </w:trPr>
        <w:tc>
          <w:tcPr>
            <w:tcW w:w="9776" w:type="dxa"/>
            <w:gridSpan w:val="6"/>
          </w:tcPr>
          <w:p w14:paraId="3B610C91" w14:textId="77777777" w:rsidR="00255EC0" w:rsidRPr="004E0608" w:rsidRDefault="00255EC0" w:rsidP="004E0608">
            <w:pPr>
              <w:pStyle w:val="Tabletextnospace"/>
              <w:rPr>
                <w:b/>
                <w:bCs/>
                <w:sz w:val="20"/>
                <w:szCs w:val="20"/>
              </w:rPr>
            </w:pPr>
            <w:r w:rsidRPr="004E0608">
              <w:rPr>
                <w:b/>
                <w:bCs/>
                <w:sz w:val="20"/>
                <w:szCs w:val="20"/>
              </w:rPr>
              <w:t>Cost</w:t>
            </w:r>
          </w:p>
        </w:tc>
      </w:tr>
      <w:tr w:rsidR="00255EC0" w:rsidRPr="004E0608" w14:paraId="0D239F5A" w14:textId="77777777" w:rsidTr="00E8460A">
        <w:trPr>
          <w:trHeight w:val="113"/>
        </w:trPr>
        <w:tc>
          <w:tcPr>
            <w:tcW w:w="4660" w:type="dxa"/>
          </w:tcPr>
          <w:p w14:paraId="4E9D6D51" w14:textId="77777777" w:rsidR="00255EC0" w:rsidRPr="004E0608" w:rsidRDefault="00255EC0" w:rsidP="004E0608">
            <w:pPr>
              <w:pStyle w:val="Tabletextnospace"/>
              <w:rPr>
                <w:b/>
                <w:bCs/>
                <w:sz w:val="20"/>
                <w:szCs w:val="20"/>
              </w:rPr>
            </w:pPr>
            <w:r w:rsidRPr="004E0608">
              <w:rPr>
                <w:b/>
                <w:bCs/>
                <w:sz w:val="20"/>
                <w:szCs w:val="20"/>
              </w:rPr>
              <w:t>Total output cost</w:t>
            </w:r>
          </w:p>
        </w:tc>
        <w:tc>
          <w:tcPr>
            <w:tcW w:w="964" w:type="dxa"/>
          </w:tcPr>
          <w:p w14:paraId="0877AEB2" w14:textId="77777777" w:rsidR="00255EC0" w:rsidRPr="004E0608" w:rsidRDefault="00255EC0" w:rsidP="004E0608">
            <w:pPr>
              <w:pStyle w:val="Tabletextnospace"/>
              <w:jc w:val="right"/>
              <w:rPr>
                <w:b/>
                <w:bCs/>
                <w:sz w:val="20"/>
                <w:szCs w:val="20"/>
              </w:rPr>
            </w:pPr>
            <w:r w:rsidRPr="004E0608">
              <w:rPr>
                <w:b/>
                <w:bCs/>
                <w:sz w:val="20"/>
                <w:szCs w:val="20"/>
              </w:rPr>
              <w:t>$ million</w:t>
            </w:r>
          </w:p>
        </w:tc>
        <w:tc>
          <w:tcPr>
            <w:tcW w:w="964" w:type="dxa"/>
          </w:tcPr>
          <w:p w14:paraId="72759636" w14:textId="77777777" w:rsidR="00255EC0" w:rsidRPr="004E0608" w:rsidRDefault="00255EC0" w:rsidP="004E0608">
            <w:pPr>
              <w:pStyle w:val="Tabletextnospace"/>
              <w:jc w:val="right"/>
              <w:rPr>
                <w:b/>
                <w:bCs/>
                <w:sz w:val="20"/>
                <w:szCs w:val="20"/>
              </w:rPr>
            </w:pPr>
            <w:r w:rsidRPr="004E0608">
              <w:rPr>
                <w:b/>
                <w:bCs/>
                <w:sz w:val="20"/>
                <w:szCs w:val="20"/>
              </w:rPr>
              <w:t>115.1</w:t>
            </w:r>
          </w:p>
        </w:tc>
        <w:tc>
          <w:tcPr>
            <w:tcW w:w="963" w:type="dxa"/>
          </w:tcPr>
          <w:p w14:paraId="2410949F" w14:textId="77777777" w:rsidR="00255EC0" w:rsidRPr="004E0608" w:rsidRDefault="00255EC0" w:rsidP="004E0608">
            <w:pPr>
              <w:pStyle w:val="Tabletextnospace"/>
              <w:jc w:val="right"/>
              <w:rPr>
                <w:b/>
                <w:bCs/>
                <w:sz w:val="20"/>
                <w:szCs w:val="20"/>
              </w:rPr>
            </w:pPr>
            <w:r w:rsidRPr="004E0608">
              <w:rPr>
                <w:b/>
                <w:bCs/>
                <w:sz w:val="20"/>
                <w:szCs w:val="20"/>
              </w:rPr>
              <w:t>122.6</w:t>
            </w:r>
          </w:p>
        </w:tc>
        <w:tc>
          <w:tcPr>
            <w:tcW w:w="1375" w:type="dxa"/>
          </w:tcPr>
          <w:p w14:paraId="2B226D1B" w14:textId="77777777" w:rsidR="00255EC0" w:rsidRPr="004E0608" w:rsidRDefault="00255EC0" w:rsidP="004E0608">
            <w:pPr>
              <w:pStyle w:val="Tabletextnospace"/>
              <w:jc w:val="right"/>
              <w:rPr>
                <w:b/>
                <w:bCs/>
                <w:sz w:val="20"/>
                <w:szCs w:val="20"/>
              </w:rPr>
            </w:pPr>
            <w:r w:rsidRPr="004E0608">
              <w:rPr>
                <w:b/>
                <w:bCs/>
                <w:sz w:val="20"/>
                <w:szCs w:val="20"/>
              </w:rPr>
              <w:t>-6.0%</w:t>
            </w:r>
          </w:p>
        </w:tc>
        <w:tc>
          <w:tcPr>
            <w:tcW w:w="850" w:type="dxa"/>
          </w:tcPr>
          <w:p w14:paraId="62C07A60" w14:textId="77777777" w:rsidR="00255EC0" w:rsidRPr="004E0608" w:rsidRDefault="00255EC0" w:rsidP="00255EC0">
            <w:pPr>
              <w:suppressAutoHyphens/>
              <w:autoSpaceDE w:val="0"/>
              <w:autoSpaceDN w:val="0"/>
              <w:adjustRightInd w:val="0"/>
              <w:spacing w:after="113" w:line="220" w:lineRule="atLeast"/>
              <w:jc w:val="right"/>
              <w:textAlignment w:val="center"/>
              <w:rPr>
                <w:rFonts w:ascii="VIC Light" w:hAnsi="VIC Light" w:cs="VIC Light"/>
                <w:b/>
                <w:bCs/>
                <w:sz w:val="20"/>
                <w:lang w:val="en-GB"/>
              </w:rPr>
            </w:pPr>
            <w:r w:rsidRPr="004E0608">
              <w:rPr>
                <w:rFonts w:ascii="Wingdings" w:hAnsi="Wingdings" w:cs="Wingdings"/>
                <w:b/>
                <w:bCs/>
                <w:position w:val="-2"/>
                <w:sz w:val="20"/>
                <w:lang w:val="en-GB"/>
              </w:rPr>
              <w:t>ü</w:t>
            </w:r>
          </w:p>
        </w:tc>
      </w:tr>
      <w:tr w:rsidR="00255EC0" w:rsidRPr="00C21009" w14:paraId="15B5894A" w14:textId="77777777" w:rsidTr="00E8460A">
        <w:trPr>
          <w:trHeight w:val="113"/>
        </w:trPr>
        <w:tc>
          <w:tcPr>
            <w:tcW w:w="9776" w:type="dxa"/>
            <w:gridSpan w:val="6"/>
          </w:tcPr>
          <w:p w14:paraId="2AA4F772" w14:textId="77777777" w:rsidR="00255EC0" w:rsidRPr="00C21009" w:rsidRDefault="00255EC0" w:rsidP="004E0608">
            <w:pPr>
              <w:pStyle w:val="Tabletextnospace"/>
              <w:rPr>
                <w:i/>
                <w:iCs/>
                <w:sz w:val="18"/>
              </w:rPr>
            </w:pPr>
            <w:r w:rsidRPr="00C21009">
              <w:rPr>
                <w:i/>
                <w:iCs/>
                <w:sz w:val="18"/>
              </w:rPr>
              <w:t xml:space="preserve">The 2019–20 result was lower than budget due to scheduling changes for key work programs including </w:t>
            </w:r>
            <w:proofErr w:type="spellStart"/>
            <w:r w:rsidRPr="00C21009">
              <w:rPr>
                <w:i/>
                <w:iCs/>
                <w:sz w:val="18"/>
              </w:rPr>
              <w:t>CarbonNet</w:t>
            </w:r>
            <w:proofErr w:type="spellEnd"/>
            <w:r w:rsidRPr="00C21009">
              <w:rPr>
                <w:i/>
                <w:iCs/>
                <w:sz w:val="18"/>
              </w:rPr>
              <w:t>.</w:t>
            </w:r>
          </w:p>
        </w:tc>
      </w:tr>
      <w:tr w:rsidR="00255EC0" w:rsidRPr="00255EC0" w14:paraId="42A23704" w14:textId="77777777" w:rsidTr="00E8460A">
        <w:trPr>
          <w:trHeight w:val="113"/>
        </w:trPr>
        <w:tc>
          <w:tcPr>
            <w:tcW w:w="9776" w:type="dxa"/>
            <w:gridSpan w:val="6"/>
          </w:tcPr>
          <w:p w14:paraId="70608A30" w14:textId="77777777" w:rsidR="00255EC0" w:rsidRPr="00255EC0" w:rsidRDefault="00255EC0" w:rsidP="004E0608">
            <w:pPr>
              <w:pStyle w:val="Tablefootnote"/>
            </w:pPr>
            <w:r w:rsidRPr="00255EC0">
              <w:t>Note:</w:t>
            </w:r>
            <w:r w:rsidRPr="00255EC0">
              <w:t> </w:t>
            </w:r>
            <w:r w:rsidRPr="00255EC0">
              <w:br/>
            </w:r>
            <w:r w:rsidRPr="00255EC0">
              <w:rPr>
                <w:rFonts w:ascii="Wingdings" w:hAnsi="Wingdings" w:cs="Wingdings"/>
              </w:rPr>
              <w:t>ü</w:t>
            </w:r>
            <w:r w:rsidRPr="00255EC0">
              <w:rPr>
                <w:rFonts w:ascii="VIC" w:hAnsi="VIC" w:cs="VIC"/>
              </w:rPr>
              <w:t xml:space="preserve"> </w:t>
            </w:r>
            <w:r w:rsidRPr="00255EC0">
              <w:t>Performance target achieved or exceeded</w:t>
            </w:r>
            <w:r w:rsidRPr="00255EC0">
              <w:br/>
            </w:r>
            <w:r w:rsidRPr="00255EC0">
              <w:rPr>
                <w:rFonts w:ascii="Wingdings 2" w:hAnsi="Wingdings 2" w:cs="Wingdings 2"/>
              </w:rPr>
              <w:t>™</w:t>
            </w:r>
            <w:r w:rsidRPr="00255EC0">
              <w:rPr>
                <w:rFonts w:ascii="VIC" w:hAnsi="VIC" w:cs="VIC"/>
              </w:rPr>
              <w:t xml:space="preserve"> </w:t>
            </w:r>
            <w:r w:rsidRPr="00255EC0">
              <w:t>Performance target not achieved – within 5 per cent variance</w:t>
            </w:r>
            <w:r w:rsidRPr="00255EC0">
              <w:br/>
            </w:r>
            <w:r w:rsidRPr="00255EC0">
              <w:rPr>
                <w:rFonts w:ascii="Wingdings" w:hAnsi="Wingdings" w:cs="Wingdings"/>
              </w:rPr>
              <w:t>n</w:t>
            </w:r>
            <w:r w:rsidRPr="00255EC0">
              <w:t xml:space="preserve"> Performance target not achieved – exceeds 5 per cent variance</w:t>
            </w:r>
          </w:p>
        </w:tc>
      </w:tr>
    </w:tbl>
    <w:p w14:paraId="64257DBA" w14:textId="77777777" w:rsidR="00255EC0" w:rsidRPr="00255EC0" w:rsidRDefault="00255EC0" w:rsidP="00C21009">
      <w:pPr>
        <w:pStyle w:val="Body"/>
      </w:pPr>
    </w:p>
    <w:p w14:paraId="62F14483" w14:textId="5CDE3EF0" w:rsidR="00B65A7F" w:rsidRDefault="00B65A7F" w:rsidP="00C21009">
      <w:pPr>
        <w:pStyle w:val="Body"/>
      </w:pPr>
    </w:p>
    <w:sectPr w:rsidR="00B65A7F" w:rsidSect="00AA434D">
      <w:headerReference w:type="default" r:id="rId68"/>
      <w:footerReference w:type="default" r:id="rId69"/>
      <w:pgSz w:w="11906" w:h="16838" w:code="9"/>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0C">
      <wne:acd wne:acdName="acd8"/>
    </wne:keymap>
    <wne:keymap wne:kcmPrimary="0260">
      <wne:acd wne:acdName="acd0"/>
    </wne:keymap>
    <wne:keymap wne:kcmPrimary="0261">
      <wne:acd wne:acdName="acd1"/>
    </wne:keymap>
    <wne:keymap wne:kcmPrimary="0262">
      <wne:acd wne:acdName="acd4"/>
    </wne:keymap>
    <wne:keymap wne:kcmPrimary="0263">
      <wne:acd wne:acdName="acd9"/>
    </wne:keymap>
    <wne:keymap wne:kcmPrimary="0264">
      <wne:acd wne:acdName="acd2"/>
    </wne:keymap>
    <wne:keymap wne:kcmPrimary="0265">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CAG8AZAB5AA==" wne:acdName="acd0" wne:fciIndexBasedOn="0065"/>
    <wne:acd wne:argValue="AgAxACAASABlAGEAZABlAHIAIAAxACAALQAgADIAMgAvADIANAAgAFYAaQBjACAAUgBlAGcAIAAo&#10;AEgAZQBhAGQAZQByAHMAKQA=" wne:acdName="acd1" wne:fciIndexBasedOn="0065"/>
    <wne:acd wne:argValue="AQAAAAQA" wne:acdName="acd2" wne:fciIndexBasedOn="0065"/>
    <wne:acd wne:argValue="AgBMADEAIABCAHUAbABsAGUAdABzAA==" wne:acdName="acd3" wne:fciIndexBasedOn="0065"/>
    <wne:acd wne:argValue="AQAAAAIA" wne:acdName="acd4" wne:fciIndexBasedOn="0065"/>
    <wne:acd wne:acdName="acd5" wne:fciIndexBasedOn="0065"/>
    <wne:acd wne:acdName="acd6" wne:fciIndexBasedOn="0065"/>
    <wne:acd wne:acdName="acd7" wne:fciIndexBasedOn="0065"/>
    <wne:acd wne:argValue="AQAAAAUA" wne:acdName="acd8" wne:fciIndexBasedOn="0065"/>
    <wne:acd wne:argValue="AQAAAAM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CABE2" w14:textId="77777777" w:rsidR="006303E5" w:rsidRDefault="006303E5" w:rsidP="00DC4E4A">
      <w:pPr>
        <w:spacing w:after="0" w:line="240" w:lineRule="auto"/>
      </w:pPr>
      <w:r>
        <w:separator/>
      </w:r>
    </w:p>
  </w:endnote>
  <w:endnote w:type="continuationSeparator" w:id="0">
    <w:p w14:paraId="0A956934" w14:textId="77777777" w:rsidR="006303E5" w:rsidRDefault="006303E5" w:rsidP="00D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VIC Medium">
    <w:panose1 w:val="00000600000000000000"/>
    <w:charset w:val="00"/>
    <w:family w:val="modern"/>
    <w:notTrueType/>
    <w:pitch w:val="variable"/>
    <w:sig w:usb0="00000007" w:usb1="00000000" w:usb2="00000000" w:usb3="00000000" w:csb0="00000093" w:csb1="00000000"/>
  </w:font>
  <w:font w:name="VIC-Regular">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 w:name="VIC-Medium">
    <w:panose1 w:val="00000000000000000000"/>
    <w:charset w:val="00"/>
    <w:family w:val="auto"/>
    <w:notTrueType/>
    <w:pitch w:val="default"/>
    <w:sig w:usb0="00000003" w:usb1="00000000" w:usb2="00000000" w:usb3="00000000" w:csb0="00000001" w:csb1="00000000"/>
  </w:font>
  <w:font w:name="VIC-LightItalic">
    <w:panose1 w:val="00000000000000000000"/>
    <w:charset w:val="00"/>
    <w:family w:val="auto"/>
    <w:notTrueType/>
    <w:pitch w:val="default"/>
    <w:sig w:usb0="00000003" w:usb1="00000000" w:usb2="00000000" w:usb3="00000000" w:csb0="00000001" w:csb1="00000000"/>
  </w:font>
  <w:font w:name="VIC-Sem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 Light Italic">
    <w:panose1 w:val="000004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Italic">
    <w:altName w:val="VIC"/>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0BFE" w14:textId="77777777" w:rsidR="006303E5" w:rsidRPr="00A92C47" w:rsidRDefault="006303E5" w:rsidP="00A92C47">
    <w:pPr>
      <w:pStyle w:val="Footer"/>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6036" w14:textId="77777777" w:rsidR="006303E5" w:rsidRDefault="006303E5" w:rsidP="00DC4E4A">
      <w:pPr>
        <w:spacing w:after="0" w:line="240" w:lineRule="auto"/>
      </w:pPr>
      <w:r>
        <w:separator/>
      </w:r>
    </w:p>
  </w:footnote>
  <w:footnote w:type="continuationSeparator" w:id="0">
    <w:p w14:paraId="3467E87E" w14:textId="77777777" w:rsidR="006303E5" w:rsidRDefault="006303E5" w:rsidP="00DC4E4A">
      <w:pPr>
        <w:spacing w:after="0" w:line="240" w:lineRule="auto"/>
      </w:pPr>
      <w:r>
        <w:continuationSeparator/>
      </w:r>
    </w:p>
  </w:footnote>
  <w:footnote w:id="1">
    <w:p w14:paraId="1743BA3D" w14:textId="4FEA8765" w:rsidR="006303E5" w:rsidRDefault="006303E5" w:rsidP="002753C0">
      <w:pPr>
        <w:pStyle w:val="FootnoteBody"/>
      </w:pPr>
      <w:r>
        <w:rPr>
          <w:vertAlign w:val="superscript"/>
        </w:rPr>
        <w:footnoteRef/>
      </w:r>
      <w:r>
        <w:tab/>
        <w:t>Previously named Geelong Performing Arts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B186" w14:textId="77777777" w:rsidR="006303E5" w:rsidRDefault="006303E5">
    <w:pPr>
      <w:pStyle w:val="Header"/>
    </w:pPr>
    <w:r>
      <w:rPr>
        <w:noProof/>
      </w:rPr>
      <w:drawing>
        <wp:anchor distT="0" distB="0" distL="114300" distR="114300" simplePos="0" relativeHeight="251664384" behindDoc="1" locked="0" layoutInCell="1" allowOverlap="1" wp14:anchorId="5B71E54E" wp14:editId="3B76BF39">
          <wp:simplePos x="0" y="0"/>
          <wp:positionH relativeFrom="column">
            <wp:posOffset>-711464</wp:posOffset>
          </wp:positionH>
          <wp:positionV relativeFrom="paragraph">
            <wp:posOffset>-467468</wp:posOffset>
          </wp:positionV>
          <wp:extent cx="7565366" cy="10698876"/>
          <wp:effectExtent l="0" t="0" r="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187" cy="10721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9FFB" w14:textId="77777777" w:rsidR="006303E5" w:rsidRDefault="0063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458"/>
    <w:multiLevelType w:val="hybridMultilevel"/>
    <w:tmpl w:val="37786EA8"/>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677AF"/>
    <w:multiLevelType w:val="hybridMultilevel"/>
    <w:tmpl w:val="832CB366"/>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36C4B"/>
    <w:multiLevelType w:val="hybridMultilevel"/>
    <w:tmpl w:val="AABA222C"/>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64352"/>
    <w:multiLevelType w:val="hybridMultilevel"/>
    <w:tmpl w:val="B7DAC9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F59B9"/>
    <w:multiLevelType w:val="hybridMultilevel"/>
    <w:tmpl w:val="B9DE2DA4"/>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81822"/>
    <w:multiLevelType w:val="hybridMultilevel"/>
    <w:tmpl w:val="DEB20BB8"/>
    <w:lvl w:ilvl="0" w:tplc="D6E819B0">
      <w:start w:val="1"/>
      <w:numFmt w:val="bullet"/>
      <w:pStyle w:val="L2Bullets"/>
      <w:lvlText w:val=""/>
      <w:lvlJc w:val="left"/>
      <w:pPr>
        <w:ind w:left="284"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51F59"/>
    <w:multiLevelType w:val="hybridMultilevel"/>
    <w:tmpl w:val="B6E4EC22"/>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22C72"/>
    <w:multiLevelType w:val="hybridMultilevel"/>
    <w:tmpl w:val="88EC5C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E30311"/>
    <w:multiLevelType w:val="hybridMultilevel"/>
    <w:tmpl w:val="4F0E44DE"/>
    <w:lvl w:ilvl="0" w:tplc="75D02744">
      <w:start w:val="1"/>
      <w:numFmt w:val="lowerLetter"/>
      <w:pStyle w:val="L1AlphabulletsBody"/>
      <w:lvlText w:val="%1)"/>
      <w:lvlJc w:val="left"/>
      <w:pPr>
        <w:ind w:left="397" w:hanging="39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E70145E"/>
    <w:multiLevelType w:val="hybridMultilevel"/>
    <w:tmpl w:val="AABA222C"/>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B86A35"/>
    <w:multiLevelType w:val="hybridMultilevel"/>
    <w:tmpl w:val="8EB666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F66BC2"/>
    <w:multiLevelType w:val="hybridMultilevel"/>
    <w:tmpl w:val="7C483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8640A2"/>
    <w:multiLevelType w:val="hybridMultilevel"/>
    <w:tmpl w:val="B84A94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FF21F1"/>
    <w:multiLevelType w:val="hybridMultilevel"/>
    <w:tmpl w:val="ACA6EB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A5BD9"/>
    <w:multiLevelType w:val="hybridMultilevel"/>
    <w:tmpl w:val="03D0ACA6"/>
    <w:lvl w:ilvl="0" w:tplc="ECA6407C">
      <w:start w:val="1"/>
      <w:numFmt w:val="bullet"/>
      <w:pStyle w:val="L1Bullets"/>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F290B"/>
    <w:multiLevelType w:val="hybridMultilevel"/>
    <w:tmpl w:val="728241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1C711A"/>
    <w:multiLevelType w:val="hybridMultilevel"/>
    <w:tmpl w:val="B880B17A"/>
    <w:lvl w:ilvl="0" w:tplc="105E6C90">
      <w:start w:val="1"/>
      <w:numFmt w:val="decimal"/>
      <w:pStyle w:val="L1NoList-912VICLightBody"/>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A6688"/>
    <w:multiLevelType w:val="hybridMultilevel"/>
    <w:tmpl w:val="B84A94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21B80"/>
    <w:multiLevelType w:val="hybridMultilevel"/>
    <w:tmpl w:val="7C483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1"/>
  </w:num>
  <w:num w:numId="8">
    <w:abstractNumId w:val="4"/>
  </w:num>
  <w:num w:numId="9">
    <w:abstractNumId w:val="0"/>
  </w:num>
  <w:num w:numId="10">
    <w:abstractNumId w:val="6"/>
  </w:num>
  <w:num w:numId="11">
    <w:abstractNumId w:val="16"/>
  </w:num>
  <w:num w:numId="12">
    <w:abstractNumId w:val="16"/>
    <w:lvlOverride w:ilvl="0">
      <w:startOverride w:val="1"/>
    </w:lvlOverride>
  </w:num>
  <w:num w:numId="13">
    <w:abstractNumId w:val="16"/>
    <w:lvlOverride w:ilvl="0">
      <w:startOverride w:val="1"/>
    </w:lvlOverride>
  </w:num>
  <w:num w:numId="14">
    <w:abstractNumId w:val="2"/>
  </w:num>
  <w:num w:numId="15">
    <w:abstractNumId w:val="9"/>
  </w:num>
  <w:num w:numId="16">
    <w:abstractNumId w:val="3"/>
  </w:num>
  <w:num w:numId="17">
    <w:abstractNumId w:val="12"/>
  </w:num>
  <w:num w:numId="18">
    <w:abstractNumId w:val="17"/>
  </w:num>
  <w:num w:numId="19">
    <w:abstractNumId w:val="7"/>
  </w:num>
  <w:num w:numId="20">
    <w:abstractNumId w:val="18"/>
  </w:num>
  <w:num w:numId="21">
    <w:abstractNumId w:val="11"/>
  </w:num>
  <w:num w:numId="22">
    <w:abstractNumId w:val="13"/>
  </w:num>
  <w:num w:numId="23">
    <w:abstractNumId w:val="10"/>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81"/>
    <w:rsid w:val="00012E27"/>
    <w:rsid w:val="00037A1D"/>
    <w:rsid w:val="00044E3D"/>
    <w:rsid w:val="00062137"/>
    <w:rsid w:val="00076F3D"/>
    <w:rsid w:val="00083248"/>
    <w:rsid w:val="00096722"/>
    <w:rsid w:val="000B4A08"/>
    <w:rsid w:val="000B6D17"/>
    <w:rsid w:val="000D22D5"/>
    <w:rsid w:val="000D3E45"/>
    <w:rsid w:val="000F3B48"/>
    <w:rsid w:val="000F5565"/>
    <w:rsid w:val="0010296A"/>
    <w:rsid w:val="00121D34"/>
    <w:rsid w:val="0012450F"/>
    <w:rsid w:val="0012597E"/>
    <w:rsid w:val="00125BC4"/>
    <w:rsid w:val="001266E1"/>
    <w:rsid w:val="001274A4"/>
    <w:rsid w:val="00142224"/>
    <w:rsid w:val="00157C3A"/>
    <w:rsid w:val="00166267"/>
    <w:rsid w:val="00173FC2"/>
    <w:rsid w:val="00176381"/>
    <w:rsid w:val="00182CF2"/>
    <w:rsid w:val="00185508"/>
    <w:rsid w:val="001A11E7"/>
    <w:rsid w:val="001A5CB2"/>
    <w:rsid w:val="001B4BD6"/>
    <w:rsid w:val="001E00C9"/>
    <w:rsid w:val="001E20E7"/>
    <w:rsid w:val="001E5CFE"/>
    <w:rsid w:val="001E60F5"/>
    <w:rsid w:val="001F7E16"/>
    <w:rsid w:val="0020367C"/>
    <w:rsid w:val="00204CD1"/>
    <w:rsid w:val="0021479B"/>
    <w:rsid w:val="00221F7F"/>
    <w:rsid w:val="002253B7"/>
    <w:rsid w:val="00243ED1"/>
    <w:rsid w:val="00255EC0"/>
    <w:rsid w:val="002753C0"/>
    <w:rsid w:val="00275EF5"/>
    <w:rsid w:val="002A1EEB"/>
    <w:rsid w:val="002B14F3"/>
    <w:rsid w:val="002D2804"/>
    <w:rsid w:val="002D4EBF"/>
    <w:rsid w:val="002F6402"/>
    <w:rsid w:val="0030739E"/>
    <w:rsid w:val="0031057C"/>
    <w:rsid w:val="00346661"/>
    <w:rsid w:val="00347839"/>
    <w:rsid w:val="00347DFD"/>
    <w:rsid w:val="00363515"/>
    <w:rsid w:val="00367CD4"/>
    <w:rsid w:val="00395A8A"/>
    <w:rsid w:val="003960BF"/>
    <w:rsid w:val="003A16E3"/>
    <w:rsid w:val="003B13DB"/>
    <w:rsid w:val="003C3538"/>
    <w:rsid w:val="003F70BE"/>
    <w:rsid w:val="00411160"/>
    <w:rsid w:val="00414916"/>
    <w:rsid w:val="004456D6"/>
    <w:rsid w:val="004632AB"/>
    <w:rsid w:val="004A322E"/>
    <w:rsid w:val="004B6522"/>
    <w:rsid w:val="004C75C3"/>
    <w:rsid w:val="004D4696"/>
    <w:rsid w:val="004D76A5"/>
    <w:rsid w:val="004E0608"/>
    <w:rsid w:val="004E2711"/>
    <w:rsid w:val="004F7FAD"/>
    <w:rsid w:val="00516F7A"/>
    <w:rsid w:val="00517D60"/>
    <w:rsid w:val="005371B6"/>
    <w:rsid w:val="00542B1B"/>
    <w:rsid w:val="00551122"/>
    <w:rsid w:val="005622EF"/>
    <w:rsid w:val="0056630C"/>
    <w:rsid w:val="005A28C0"/>
    <w:rsid w:val="005B0008"/>
    <w:rsid w:val="005B5B74"/>
    <w:rsid w:val="005F1D2F"/>
    <w:rsid w:val="005F5615"/>
    <w:rsid w:val="006303E5"/>
    <w:rsid w:val="006522BE"/>
    <w:rsid w:val="00653F67"/>
    <w:rsid w:val="00665BF2"/>
    <w:rsid w:val="00671166"/>
    <w:rsid w:val="00673B19"/>
    <w:rsid w:val="00677656"/>
    <w:rsid w:val="00684554"/>
    <w:rsid w:val="00687BDF"/>
    <w:rsid w:val="0069207E"/>
    <w:rsid w:val="006C3DD3"/>
    <w:rsid w:val="006D3DD5"/>
    <w:rsid w:val="006E2B43"/>
    <w:rsid w:val="006F4118"/>
    <w:rsid w:val="006F5413"/>
    <w:rsid w:val="00702E7F"/>
    <w:rsid w:val="007210B5"/>
    <w:rsid w:val="0072291D"/>
    <w:rsid w:val="007267BE"/>
    <w:rsid w:val="007277B9"/>
    <w:rsid w:val="00731D22"/>
    <w:rsid w:val="00762AA6"/>
    <w:rsid w:val="00771263"/>
    <w:rsid w:val="007A2B53"/>
    <w:rsid w:val="007A6E29"/>
    <w:rsid w:val="007B0B9F"/>
    <w:rsid w:val="007B7AAC"/>
    <w:rsid w:val="007C269C"/>
    <w:rsid w:val="007D1D7B"/>
    <w:rsid w:val="007D6C53"/>
    <w:rsid w:val="007E2255"/>
    <w:rsid w:val="00807344"/>
    <w:rsid w:val="00807EC3"/>
    <w:rsid w:val="00821E11"/>
    <w:rsid w:val="00836146"/>
    <w:rsid w:val="00845807"/>
    <w:rsid w:val="008501CD"/>
    <w:rsid w:val="00870BC2"/>
    <w:rsid w:val="008728B5"/>
    <w:rsid w:val="008729A4"/>
    <w:rsid w:val="00872C26"/>
    <w:rsid w:val="00876F77"/>
    <w:rsid w:val="008812F6"/>
    <w:rsid w:val="0089474A"/>
    <w:rsid w:val="00897ECC"/>
    <w:rsid w:val="008D7A67"/>
    <w:rsid w:val="008E3325"/>
    <w:rsid w:val="008F7412"/>
    <w:rsid w:val="00901A30"/>
    <w:rsid w:val="00911920"/>
    <w:rsid w:val="0094121A"/>
    <w:rsid w:val="00941944"/>
    <w:rsid w:val="00950BDE"/>
    <w:rsid w:val="0095174B"/>
    <w:rsid w:val="00960B5D"/>
    <w:rsid w:val="00981EFF"/>
    <w:rsid w:val="009936A1"/>
    <w:rsid w:val="009A5C84"/>
    <w:rsid w:val="009A6770"/>
    <w:rsid w:val="009C32CC"/>
    <w:rsid w:val="009E6626"/>
    <w:rsid w:val="00A070EB"/>
    <w:rsid w:val="00A24AEE"/>
    <w:rsid w:val="00A33214"/>
    <w:rsid w:val="00A34202"/>
    <w:rsid w:val="00A53F11"/>
    <w:rsid w:val="00A570D6"/>
    <w:rsid w:val="00A628E2"/>
    <w:rsid w:val="00A706B4"/>
    <w:rsid w:val="00A909B6"/>
    <w:rsid w:val="00A92C47"/>
    <w:rsid w:val="00A95EC2"/>
    <w:rsid w:val="00AA434D"/>
    <w:rsid w:val="00AB6E39"/>
    <w:rsid w:val="00AB775F"/>
    <w:rsid w:val="00AC5BE3"/>
    <w:rsid w:val="00AE0EC4"/>
    <w:rsid w:val="00AE4CA7"/>
    <w:rsid w:val="00AF4CA3"/>
    <w:rsid w:val="00B25145"/>
    <w:rsid w:val="00B358C7"/>
    <w:rsid w:val="00B42472"/>
    <w:rsid w:val="00B51AE6"/>
    <w:rsid w:val="00B54FEA"/>
    <w:rsid w:val="00B65557"/>
    <w:rsid w:val="00B65A7F"/>
    <w:rsid w:val="00B673FF"/>
    <w:rsid w:val="00B75CC8"/>
    <w:rsid w:val="00B76046"/>
    <w:rsid w:val="00BD1B22"/>
    <w:rsid w:val="00BD3603"/>
    <w:rsid w:val="00BE4906"/>
    <w:rsid w:val="00BF5080"/>
    <w:rsid w:val="00C02F4C"/>
    <w:rsid w:val="00C10A6A"/>
    <w:rsid w:val="00C12F8F"/>
    <w:rsid w:val="00C13ED7"/>
    <w:rsid w:val="00C17BE8"/>
    <w:rsid w:val="00C21009"/>
    <w:rsid w:val="00C261A7"/>
    <w:rsid w:val="00C36B4A"/>
    <w:rsid w:val="00C417D6"/>
    <w:rsid w:val="00C46C26"/>
    <w:rsid w:val="00C4734E"/>
    <w:rsid w:val="00C47ACC"/>
    <w:rsid w:val="00C57ABB"/>
    <w:rsid w:val="00C81008"/>
    <w:rsid w:val="00C81EDB"/>
    <w:rsid w:val="00C936F9"/>
    <w:rsid w:val="00CC1057"/>
    <w:rsid w:val="00D04788"/>
    <w:rsid w:val="00D072CD"/>
    <w:rsid w:val="00D13634"/>
    <w:rsid w:val="00D16F6A"/>
    <w:rsid w:val="00D6654B"/>
    <w:rsid w:val="00D84DA7"/>
    <w:rsid w:val="00D912E8"/>
    <w:rsid w:val="00DA3827"/>
    <w:rsid w:val="00DC4E4A"/>
    <w:rsid w:val="00DD4BD4"/>
    <w:rsid w:val="00DF34A1"/>
    <w:rsid w:val="00DF6D83"/>
    <w:rsid w:val="00E0455D"/>
    <w:rsid w:val="00E0736F"/>
    <w:rsid w:val="00E1407F"/>
    <w:rsid w:val="00E53519"/>
    <w:rsid w:val="00E55EBD"/>
    <w:rsid w:val="00E72D65"/>
    <w:rsid w:val="00E8460A"/>
    <w:rsid w:val="00E87392"/>
    <w:rsid w:val="00EB4EEA"/>
    <w:rsid w:val="00EB73F9"/>
    <w:rsid w:val="00EC06C7"/>
    <w:rsid w:val="00EC3AC4"/>
    <w:rsid w:val="00EC4E46"/>
    <w:rsid w:val="00EE56B0"/>
    <w:rsid w:val="00EE6A58"/>
    <w:rsid w:val="00EF2E73"/>
    <w:rsid w:val="00F41508"/>
    <w:rsid w:val="00F51F7A"/>
    <w:rsid w:val="00F52BDB"/>
    <w:rsid w:val="00F53550"/>
    <w:rsid w:val="00F56A5A"/>
    <w:rsid w:val="00F639E3"/>
    <w:rsid w:val="00F65BD6"/>
    <w:rsid w:val="00F66E27"/>
    <w:rsid w:val="00F76E04"/>
    <w:rsid w:val="00F8370C"/>
    <w:rsid w:val="00FA2D92"/>
    <w:rsid w:val="00FA638B"/>
    <w:rsid w:val="00FD321D"/>
    <w:rsid w:val="00FD4189"/>
    <w:rsid w:val="00FE5311"/>
    <w:rsid w:val="00FF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E50C6"/>
  <w15:chartTrackingRefBased/>
  <w15:docId w15:val="{E4996E8B-8C81-4612-BE83-1DCD557F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EB"/>
  </w:style>
  <w:style w:type="paragraph" w:styleId="Heading1">
    <w:name w:val="heading 1"/>
    <w:basedOn w:val="Normal"/>
    <w:next w:val="Normal"/>
    <w:link w:val="Heading1Char"/>
    <w:uiPriority w:val="9"/>
    <w:qFormat/>
    <w:rsid w:val="007267BE"/>
    <w:pPr>
      <w:keepNext/>
      <w:tabs>
        <w:tab w:val="left" w:pos="1240"/>
        <w:tab w:val="left" w:pos="2100"/>
        <w:tab w:val="right" w:pos="7580"/>
      </w:tabs>
      <w:suppressAutoHyphens/>
      <w:autoSpaceDE w:val="0"/>
      <w:autoSpaceDN w:val="0"/>
      <w:adjustRightInd w:val="0"/>
      <w:spacing w:before="480" w:after="360" w:line="480" w:lineRule="atLeast"/>
      <w:textAlignment w:val="center"/>
      <w:outlineLvl w:val="0"/>
    </w:pPr>
    <w:rPr>
      <w:rFonts w:ascii="Arial" w:hAnsi="Arial" w:cs="VIC"/>
      <w:caps/>
      <w:sz w:val="44"/>
      <w:szCs w:val="44"/>
      <w:lang w:val="en-GB"/>
    </w:rPr>
  </w:style>
  <w:style w:type="paragraph" w:styleId="Heading2">
    <w:name w:val="heading 2"/>
    <w:basedOn w:val="Normal"/>
    <w:next w:val="Normal"/>
    <w:link w:val="Heading2Char"/>
    <w:uiPriority w:val="9"/>
    <w:qFormat/>
    <w:rsid w:val="00A92C47"/>
    <w:pPr>
      <w:keepNext/>
      <w:suppressAutoHyphens/>
      <w:autoSpaceDE w:val="0"/>
      <w:autoSpaceDN w:val="0"/>
      <w:adjustRightInd w:val="0"/>
      <w:spacing w:before="360" w:after="170" w:line="400" w:lineRule="atLeast"/>
      <w:textAlignment w:val="center"/>
      <w:outlineLvl w:val="1"/>
    </w:pPr>
    <w:rPr>
      <w:rFonts w:ascii="Arial" w:hAnsi="Arial" w:cs="VIC Light"/>
      <w:sz w:val="36"/>
      <w:szCs w:val="36"/>
      <w:lang w:val="en-GB"/>
    </w:rPr>
  </w:style>
  <w:style w:type="paragraph" w:styleId="Heading3">
    <w:name w:val="heading 3"/>
    <w:basedOn w:val="Normal"/>
    <w:next w:val="Normal"/>
    <w:link w:val="Heading3Char"/>
    <w:uiPriority w:val="9"/>
    <w:qFormat/>
    <w:rsid w:val="007267BE"/>
    <w:pPr>
      <w:keepNext/>
      <w:suppressAutoHyphens/>
      <w:autoSpaceDE w:val="0"/>
      <w:autoSpaceDN w:val="0"/>
      <w:adjustRightInd w:val="0"/>
      <w:spacing w:before="360" w:after="120" w:line="280" w:lineRule="atLeast"/>
      <w:textAlignment w:val="center"/>
      <w:outlineLvl w:val="2"/>
    </w:pPr>
    <w:rPr>
      <w:rFonts w:ascii="Arial" w:hAnsi="Arial" w:cs="Arial"/>
      <w:spacing w:val="-1"/>
      <w:sz w:val="28"/>
      <w:szCs w:val="28"/>
      <w:lang w:val="en-GB"/>
    </w:rPr>
  </w:style>
  <w:style w:type="paragraph" w:styleId="Heading4">
    <w:name w:val="heading 4"/>
    <w:basedOn w:val="Normal"/>
    <w:next w:val="Normal"/>
    <w:link w:val="Heading4Char"/>
    <w:uiPriority w:val="9"/>
    <w:qFormat/>
    <w:rsid w:val="00A92C47"/>
    <w:pPr>
      <w:keepNext/>
      <w:suppressAutoHyphens/>
      <w:autoSpaceDE w:val="0"/>
      <w:autoSpaceDN w:val="0"/>
      <w:adjustRightInd w:val="0"/>
      <w:spacing w:before="240" w:after="120" w:line="280" w:lineRule="atLeast"/>
      <w:textAlignment w:val="center"/>
      <w:outlineLvl w:val="3"/>
    </w:pPr>
    <w:rPr>
      <w:rFonts w:ascii="Arial" w:hAnsi="Arial" w:cs="Arial"/>
      <w:b/>
      <w:bCs/>
      <w:spacing w:val="-1"/>
      <w:sz w:val="24"/>
      <w:szCs w:val="24"/>
      <w:lang w:val="en-GB"/>
    </w:rPr>
  </w:style>
  <w:style w:type="paragraph" w:styleId="Heading5">
    <w:name w:val="heading 5"/>
    <w:basedOn w:val="Normal"/>
    <w:next w:val="Normal"/>
    <w:link w:val="Heading5Char"/>
    <w:uiPriority w:val="9"/>
    <w:qFormat/>
    <w:rsid w:val="007267BE"/>
    <w:pPr>
      <w:keepNext/>
      <w:keepLines/>
      <w:suppressAutoHyphens/>
      <w:autoSpaceDE w:val="0"/>
      <w:autoSpaceDN w:val="0"/>
      <w:adjustRightInd w:val="0"/>
      <w:spacing w:before="240" w:after="57" w:line="240" w:lineRule="atLeast"/>
      <w:textAlignment w:val="center"/>
      <w:outlineLvl w:val="4"/>
    </w:pPr>
    <w:rPr>
      <w:rFonts w:ascii="Arial" w:hAnsi="Arial" w:cs="Arial"/>
      <w:b/>
      <w:bCs/>
      <w:lang w:val="en-GB"/>
    </w:rPr>
  </w:style>
  <w:style w:type="paragraph" w:styleId="Heading6">
    <w:name w:val="heading 6"/>
    <w:basedOn w:val="Normal"/>
    <w:next w:val="Normal"/>
    <w:link w:val="Heading6Char"/>
    <w:uiPriority w:val="9"/>
    <w:unhideWhenUsed/>
    <w:qFormat/>
    <w:rsid w:val="004F7FAD"/>
    <w:pPr>
      <w:keepNext/>
      <w:spacing w:after="60"/>
      <w:outlineLvl w:val="5"/>
    </w:pPr>
    <w:rPr>
      <w:rFonts w:ascii="Arial" w:eastAsiaTheme="minorEastAsia"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BE"/>
    <w:rPr>
      <w:rFonts w:ascii="Arial" w:hAnsi="Arial" w:cs="VIC"/>
      <w:caps/>
      <w:sz w:val="44"/>
      <w:szCs w:val="44"/>
      <w:lang w:val="en-GB"/>
    </w:rPr>
  </w:style>
  <w:style w:type="character" w:customStyle="1" w:styleId="Heading2Char">
    <w:name w:val="Heading 2 Char"/>
    <w:basedOn w:val="DefaultParagraphFont"/>
    <w:link w:val="Heading2"/>
    <w:uiPriority w:val="9"/>
    <w:rsid w:val="00A92C47"/>
    <w:rPr>
      <w:rFonts w:ascii="Arial" w:hAnsi="Arial" w:cs="VIC Light"/>
      <w:sz w:val="36"/>
      <w:szCs w:val="36"/>
      <w:lang w:val="en-GB"/>
    </w:rPr>
  </w:style>
  <w:style w:type="character" w:customStyle="1" w:styleId="Heading3Char">
    <w:name w:val="Heading 3 Char"/>
    <w:basedOn w:val="DefaultParagraphFont"/>
    <w:link w:val="Heading3"/>
    <w:uiPriority w:val="9"/>
    <w:rsid w:val="007267BE"/>
    <w:rPr>
      <w:rFonts w:ascii="Arial" w:hAnsi="Arial" w:cs="Arial"/>
      <w:spacing w:val="-1"/>
      <w:sz w:val="28"/>
      <w:szCs w:val="28"/>
      <w:lang w:val="en-GB"/>
    </w:rPr>
  </w:style>
  <w:style w:type="character" w:customStyle="1" w:styleId="Heading4Char">
    <w:name w:val="Heading 4 Char"/>
    <w:basedOn w:val="DefaultParagraphFont"/>
    <w:link w:val="Heading4"/>
    <w:uiPriority w:val="9"/>
    <w:rsid w:val="00A92C47"/>
    <w:rPr>
      <w:rFonts w:ascii="Arial" w:hAnsi="Arial" w:cs="Arial"/>
      <w:b/>
      <w:bCs/>
      <w:spacing w:val="-1"/>
      <w:sz w:val="24"/>
      <w:szCs w:val="24"/>
      <w:lang w:val="en-GB"/>
    </w:rPr>
  </w:style>
  <w:style w:type="character" w:customStyle="1" w:styleId="Heading5Char">
    <w:name w:val="Heading 5 Char"/>
    <w:basedOn w:val="DefaultParagraphFont"/>
    <w:link w:val="Heading5"/>
    <w:uiPriority w:val="9"/>
    <w:rsid w:val="007267BE"/>
    <w:rPr>
      <w:rFonts w:ascii="Arial" w:hAnsi="Arial" w:cs="Arial"/>
      <w:b/>
      <w:bCs/>
      <w:lang w:val="en-GB"/>
    </w:rPr>
  </w:style>
  <w:style w:type="character" w:customStyle="1" w:styleId="Heading6Char">
    <w:name w:val="Heading 6 Char"/>
    <w:basedOn w:val="DefaultParagraphFont"/>
    <w:link w:val="Heading6"/>
    <w:uiPriority w:val="9"/>
    <w:rsid w:val="004F7FAD"/>
    <w:rPr>
      <w:rFonts w:ascii="Arial" w:eastAsiaTheme="minorEastAsia" w:hAnsi="Arial" w:cs="Times New Roman"/>
      <w:b/>
      <w:bCs/>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basedOn w:val="DefaultParagraphFont"/>
    <w:uiPriority w:val="99"/>
    <w:qFormat/>
    <w:rsid w:val="00083248"/>
    <w:rPr>
      <w:rFonts w:ascii="Arial" w:hAnsi="Arial"/>
      <w:color w:val="auto"/>
      <w:sz w:val="2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uiPriority w:val="39"/>
    <w:rsid w:val="004A322E"/>
    <w:rPr>
      <w:rFonts w:ascii="Arial" w:eastAsia="PMingLiU" w:hAnsi="Arial" w:cs="Times New Roman"/>
      <w:color w:val="00000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table" w:customStyle="1" w:styleId="VAGOTwo-Column">
    <w:name w:val="VAGO Two-Column"/>
    <w:basedOn w:val="TableNormal"/>
    <w:uiPriority w:val="99"/>
    <w:rsid w:val="008729A4"/>
    <w:pPr>
      <w:spacing w:after="113" w:line="210" w:lineRule="atLeast"/>
    </w:pPr>
    <w:rPr>
      <w:sz w:val="17"/>
    </w:rPr>
    <w:tblPr>
      <w:tblBorders>
        <w:insideH w:val="single" w:sz="6" w:space="0" w:color="auto"/>
      </w:tblBorders>
      <w:tblCellMar>
        <w:top w:w="113" w:type="dxa"/>
        <w:left w:w="0" w:type="dxa"/>
        <w:bottom w:w="113" w:type="dxa"/>
        <w:right w:w="0" w:type="dxa"/>
      </w:tblCellMar>
    </w:tblPr>
    <w:tblStylePr w:type="firstRow">
      <w:tblPr/>
      <w:tcPr>
        <w:tcBorders>
          <w:bottom w:val="double" w:sz="4" w:space="0" w:color="ED7D31" w:themeColor="accent2"/>
        </w:tcBorders>
        <w:shd w:val="clear" w:color="auto" w:fill="FFECD1"/>
      </w:tcPr>
    </w:tblStylePr>
  </w:style>
  <w:style w:type="table" w:customStyle="1" w:styleId="BrykGroup">
    <w:name w:val="BrykGroup"/>
    <w:basedOn w:val="TableNormal"/>
    <w:uiPriority w:val="99"/>
    <w:rsid w:val="00B65557"/>
    <w:pPr>
      <w:spacing w:after="0" w:line="240" w:lineRule="auto"/>
    </w:pPr>
    <w:rPr>
      <w:rFonts w:ascii="Roboto Light" w:hAnsi="Roboto Light"/>
      <w:sz w:val="20"/>
    </w:rPr>
    <w:tblPr>
      <w:tblCellMar>
        <w:left w:w="85" w:type="dxa"/>
        <w:right w:w="85" w:type="dxa"/>
      </w:tblCellMar>
    </w:tblPr>
    <w:trPr>
      <w:cantSplit/>
    </w:trPr>
    <w:tblStylePr w:type="firstRow">
      <w:rPr>
        <w:rFonts w:ascii="Roboto Medium" w:hAnsi="Roboto Medium"/>
        <w:color w:val="1B65B1"/>
        <w:sz w:val="20"/>
        <w:u w:color="1B65B1"/>
      </w:rPr>
      <w:tblPr/>
      <w:tcPr>
        <w:tcBorders>
          <w:top w:val="single" w:sz="12" w:space="0" w:color="1B65B1"/>
          <w:left w:val="nil"/>
          <w:bottom w:val="single" w:sz="8" w:space="0" w:color="1B65B1"/>
          <w:right w:val="nil"/>
          <w:insideH w:val="nil"/>
          <w:insideV w:val="nil"/>
          <w:tl2br w:val="nil"/>
          <w:tr2bl w:val="nil"/>
        </w:tcBorders>
      </w:tcPr>
    </w:tblStylePr>
    <w:tblStylePr w:type="lastRow">
      <w:tblPr/>
      <w:tcPr>
        <w:tcBorders>
          <w:bottom w:val="nil"/>
        </w:tcBorders>
      </w:tcPr>
    </w:tblStylePr>
    <w:tblStylePr w:type="firstCol">
      <w:tblPr/>
      <w:trPr>
        <w:cantSplit w:val="0"/>
      </w:trPr>
    </w:tblStylePr>
  </w:style>
  <w:style w:type="paragraph" w:customStyle="1" w:styleId="Body">
    <w:name w:val="Body"/>
    <w:basedOn w:val="Normal"/>
    <w:uiPriority w:val="99"/>
    <w:rsid w:val="005A28C0"/>
    <w:pPr>
      <w:suppressAutoHyphens/>
      <w:autoSpaceDE w:val="0"/>
      <w:autoSpaceDN w:val="0"/>
      <w:adjustRightInd w:val="0"/>
      <w:spacing w:after="240" w:line="270" w:lineRule="atLeast"/>
      <w:textAlignment w:val="center"/>
    </w:pPr>
    <w:rPr>
      <w:rFonts w:ascii="Arial" w:hAnsi="Arial" w:cs="VIC Light"/>
      <w:color w:val="000000"/>
      <w:spacing w:val="-1"/>
      <w:szCs w:val="18"/>
      <w:lang w:val="en-GB"/>
    </w:rPr>
  </w:style>
  <w:style w:type="character" w:customStyle="1" w:styleId="tableBCbold">
    <w:name w:val="*table BC bold"/>
    <w:uiPriority w:val="99"/>
    <w:rsid w:val="00176381"/>
  </w:style>
  <w:style w:type="paragraph" w:customStyle="1" w:styleId="Body-912ptVICLightBody">
    <w:name w:val="Body - 9/12pt VIC Light (Body)"/>
    <w:basedOn w:val="Normal"/>
    <w:uiPriority w:val="99"/>
    <w:rsid w:val="00AF4CA3"/>
    <w:pPr>
      <w:suppressAutoHyphens/>
      <w:autoSpaceDE w:val="0"/>
      <w:autoSpaceDN w:val="0"/>
      <w:adjustRightInd w:val="0"/>
      <w:spacing w:after="170" w:line="240" w:lineRule="atLeast"/>
      <w:textAlignment w:val="center"/>
    </w:pPr>
    <w:rPr>
      <w:rFonts w:ascii="VIC Light" w:hAnsi="VIC Light" w:cs="VIC Light"/>
      <w:color w:val="000000"/>
      <w:sz w:val="18"/>
      <w:szCs w:val="18"/>
      <w:lang w:val="en-GB"/>
    </w:rPr>
  </w:style>
  <w:style w:type="paragraph" w:customStyle="1" w:styleId="BodyColonbeforeBulletsBody">
    <w:name w:val="Body (Colon before Bullets) (Body)"/>
    <w:basedOn w:val="Normal"/>
    <w:uiPriority w:val="99"/>
    <w:rsid w:val="00AF4CA3"/>
    <w:pPr>
      <w:suppressAutoHyphens/>
      <w:autoSpaceDE w:val="0"/>
      <w:autoSpaceDN w:val="0"/>
      <w:adjustRightInd w:val="0"/>
      <w:spacing w:after="57" w:line="240" w:lineRule="atLeast"/>
      <w:textAlignment w:val="center"/>
    </w:pPr>
    <w:rPr>
      <w:rFonts w:ascii="VIC Light" w:hAnsi="VIC Light" w:cs="VIC Light"/>
      <w:color w:val="000000"/>
      <w:sz w:val="18"/>
      <w:szCs w:val="18"/>
      <w:lang w:val="en-GB"/>
    </w:rPr>
  </w:style>
  <w:style w:type="paragraph" w:customStyle="1" w:styleId="L1Bullets">
    <w:name w:val="L1 Bullets"/>
    <w:basedOn w:val="Normal"/>
    <w:uiPriority w:val="99"/>
    <w:rsid w:val="00A92C47"/>
    <w:pPr>
      <w:numPr>
        <w:numId w:val="1"/>
      </w:numPr>
      <w:suppressAutoHyphens/>
      <w:autoSpaceDE w:val="0"/>
      <w:autoSpaceDN w:val="0"/>
      <w:adjustRightInd w:val="0"/>
      <w:spacing w:after="120" w:line="260" w:lineRule="atLeast"/>
      <w:textAlignment w:val="center"/>
    </w:pPr>
    <w:rPr>
      <w:rFonts w:ascii="Arial" w:hAnsi="Arial" w:cs="Arial"/>
      <w:color w:val="000000"/>
      <w:szCs w:val="18"/>
      <w:lang w:val="en-GB"/>
    </w:rPr>
  </w:style>
  <w:style w:type="paragraph" w:customStyle="1" w:styleId="L1BulletsLast-912VICSA175ptBody">
    <w:name w:val="L1 Bullets Last - 9/12 VIC (S/A 1.75pt) (Body)"/>
    <w:basedOn w:val="Normal"/>
    <w:uiPriority w:val="99"/>
    <w:rsid w:val="00AF4CA3"/>
    <w:pPr>
      <w:suppressAutoHyphens/>
      <w:autoSpaceDE w:val="0"/>
      <w:autoSpaceDN w:val="0"/>
      <w:adjustRightInd w:val="0"/>
      <w:spacing w:after="99" w:line="240" w:lineRule="atLeast"/>
      <w:ind w:left="227" w:hanging="227"/>
      <w:textAlignment w:val="center"/>
    </w:pPr>
    <w:rPr>
      <w:rFonts w:ascii="VIC Light" w:hAnsi="VIC Light" w:cs="VIC Light"/>
      <w:color w:val="000000"/>
      <w:sz w:val="18"/>
      <w:szCs w:val="18"/>
      <w:lang w:val="en-GB"/>
    </w:rPr>
  </w:style>
  <w:style w:type="character" w:customStyle="1" w:styleId="BCMedium">
    <w:name w:val="*BC Medium"/>
    <w:basedOn w:val="tableBCbold"/>
    <w:uiPriority w:val="99"/>
    <w:rsid w:val="00AF4CA3"/>
  </w:style>
  <w:style w:type="paragraph" w:styleId="Header">
    <w:name w:val="header"/>
    <w:basedOn w:val="Normal"/>
    <w:link w:val="HeaderChar"/>
    <w:uiPriority w:val="99"/>
    <w:unhideWhenUsed/>
    <w:rsid w:val="00D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4A"/>
  </w:style>
  <w:style w:type="paragraph" w:styleId="Footer">
    <w:name w:val="footer"/>
    <w:basedOn w:val="Normal"/>
    <w:link w:val="FooterChar"/>
    <w:uiPriority w:val="99"/>
    <w:unhideWhenUsed/>
    <w:rsid w:val="00A92C47"/>
    <w:pPr>
      <w:tabs>
        <w:tab w:val="right" w:pos="9638"/>
      </w:tabs>
      <w:spacing w:after="0" w:line="240" w:lineRule="auto"/>
    </w:pPr>
    <w:rPr>
      <w:rFonts w:ascii="Arial" w:hAnsi="Arial" w:cs="Arial"/>
      <w:sz w:val="18"/>
    </w:rPr>
  </w:style>
  <w:style w:type="character" w:customStyle="1" w:styleId="FooterChar">
    <w:name w:val="Footer Char"/>
    <w:basedOn w:val="DefaultParagraphFont"/>
    <w:link w:val="Footer"/>
    <w:uiPriority w:val="99"/>
    <w:rsid w:val="00A92C47"/>
    <w:rPr>
      <w:rFonts w:ascii="Arial" w:hAnsi="Arial" w:cs="Arial"/>
      <w:sz w:val="18"/>
    </w:rPr>
  </w:style>
  <w:style w:type="paragraph" w:customStyle="1" w:styleId="Tabletext">
    <w:name w:val="Table text"/>
    <w:basedOn w:val="Body"/>
    <w:qFormat/>
    <w:rsid w:val="00B75CC8"/>
    <w:pPr>
      <w:spacing w:before="60" w:after="60"/>
    </w:pPr>
  </w:style>
  <w:style w:type="paragraph" w:customStyle="1" w:styleId="TableColumnheading">
    <w:name w:val="Table Column heading"/>
    <w:basedOn w:val="Normal"/>
    <w:qFormat/>
    <w:rsid w:val="00A92C47"/>
    <w:pPr>
      <w:keepNext/>
      <w:suppressAutoHyphens/>
      <w:autoSpaceDE w:val="0"/>
      <w:autoSpaceDN w:val="0"/>
      <w:adjustRightInd w:val="0"/>
      <w:spacing w:before="60" w:after="60" w:line="220" w:lineRule="atLeast"/>
      <w:textAlignment w:val="center"/>
    </w:pPr>
    <w:rPr>
      <w:rFonts w:ascii="Arial" w:eastAsia="PMingLiU" w:hAnsi="Arial" w:cs="Arial"/>
      <w:b/>
      <w:bCs/>
      <w:color w:val="000000"/>
      <w:szCs w:val="20"/>
      <w:lang w:val="en-GB" w:eastAsia="zh-CN"/>
    </w:rPr>
  </w:style>
  <w:style w:type="paragraph" w:customStyle="1" w:styleId="FootnoteBody">
    <w:name w:val="*Footnote (Body)"/>
    <w:basedOn w:val="Normal"/>
    <w:next w:val="Normal"/>
    <w:uiPriority w:val="99"/>
    <w:rsid w:val="005A28C0"/>
    <w:pPr>
      <w:tabs>
        <w:tab w:val="left" w:pos="200"/>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80" w:lineRule="atLeast"/>
      <w:ind w:left="198" w:hanging="198"/>
      <w:textAlignment w:val="center"/>
    </w:pPr>
    <w:rPr>
      <w:rFonts w:ascii="Arial" w:hAnsi="Arial" w:cs="VIC Light"/>
      <w:color w:val="000000"/>
      <w:sz w:val="16"/>
      <w:szCs w:val="14"/>
      <w:lang w:val="en-GB"/>
    </w:rPr>
  </w:style>
  <w:style w:type="paragraph" w:customStyle="1" w:styleId="NoParagraphStyle">
    <w:name w:val="[No Paragraph Style]"/>
    <w:rsid w:val="00876F77"/>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L1BulletsLast-912VICLightBody">
    <w:name w:val="L1 Bullets Last - 9/12 VIC Light (Body)"/>
    <w:basedOn w:val="Normal"/>
    <w:uiPriority w:val="99"/>
    <w:rsid w:val="00121D34"/>
    <w:pPr>
      <w:suppressAutoHyphens/>
      <w:autoSpaceDE w:val="0"/>
      <w:autoSpaceDN w:val="0"/>
      <w:adjustRightInd w:val="0"/>
      <w:spacing w:after="170" w:line="240" w:lineRule="atLeast"/>
      <w:ind w:left="227" w:hanging="227"/>
      <w:textAlignment w:val="center"/>
    </w:pPr>
    <w:rPr>
      <w:rFonts w:ascii="VIC Light" w:hAnsi="VIC Light" w:cs="VIC Light"/>
      <w:color w:val="000000"/>
      <w:sz w:val="18"/>
      <w:szCs w:val="18"/>
      <w:lang w:val="en-GB"/>
    </w:rPr>
  </w:style>
  <w:style w:type="paragraph" w:customStyle="1" w:styleId="TablebodycopyTable">
    <w:name w:val="Table body copy (Table)"/>
    <w:basedOn w:val="NoParagraphStyle"/>
    <w:uiPriority w:val="99"/>
    <w:rsid w:val="00876F77"/>
    <w:pPr>
      <w:suppressAutoHyphens/>
      <w:spacing w:after="113" w:line="220" w:lineRule="atLeast"/>
    </w:pPr>
    <w:rPr>
      <w:rFonts w:ascii="VIC Light" w:hAnsi="VIC Light" w:cs="VIC Light"/>
      <w:sz w:val="16"/>
      <w:szCs w:val="16"/>
    </w:rPr>
  </w:style>
  <w:style w:type="paragraph" w:customStyle="1" w:styleId="TableColumnHeaderTable">
    <w:name w:val="Table Column Header (Table)"/>
    <w:basedOn w:val="TablebodycopyTable"/>
    <w:uiPriority w:val="99"/>
    <w:rsid w:val="00876F77"/>
    <w:pPr>
      <w:jc w:val="right"/>
    </w:pPr>
    <w:rPr>
      <w:rFonts w:ascii="VIC Medium" w:hAnsi="VIC Medium" w:cs="VIC Medium"/>
    </w:rPr>
  </w:style>
  <w:style w:type="paragraph" w:customStyle="1" w:styleId="L2Bullets">
    <w:name w:val="L2 Bullets"/>
    <w:basedOn w:val="L1Bullets"/>
    <w:uiPriority w:val="99"/>
    <w:rsid w:val="00AC5BE3"/>
    <w:pPr>
      <w:numPr>
        <w:numId w:val="2"/>
      </w:numPr>
      <w:ind w:left="568" w:hanging="284"/>
    </w:pPr>
    <w:rPr>
      <w:spacing w:val="-1"/>
    </w:rPr>
  </w:style>
  <w:style w:type="paragraph" w:customStyle="1" w:styleId="L2BulletsLast-912VICLightBody">
    <w:name w:val="L2 Bullets Last - 9/12 VIC Light (Body)"/>
    <w:basedOn w:val="L2Bullets"/>
    <w:uiPriority w:val="99"/>
    <w:rsid w:val="00C4734E"/>
    <w:pPr>
      <w:spacing w:after="240"/>
    </w:pPr>
  </w:style>
  <w:style w:type="paragraph" w:styleId="TOCHeading">
    <w:name w:val="TOC Heading"/>
    <w:basedOn w:val="Heading1"/>
    <w:next w:val="Normal"/>
    <w:uiPriority w:val="39"/>
    <w:unhideWhenUsed/>
    <w:qFormat/>
    <w:rsid w:val="00677656"/>
    <w:pPr>
      <w:spacing w:line="259" w:lineRule="auto"/>
      <w:outlineLvl w:val="9"/>
    </w:pPr>
    <w:rPr>
      <w:lang w:val="en-US"/>
    </w:rPr>
  </w:style>
  <w:style w:type="paragraph" w:styleId="TOC2">
    <w:name w:val="toc 2"/>
    <w:basedOn w:val="Normal"/>
    <w:next w:val="Normal"/>
    <w:autoRedefine/>
    <w:uiPriority w:val="39"/>
    <w:unhideWhenUsed/>
    <w:rsid w:val="00F66E27"/>
    <w:pPr>
      <w:tabs>
        <w:tab w:val="right" w:leader="dot" w:pos="9628"/>
      </w:tabs>
      <w:spacing w:after="100" w:line="259" w:lineRule="auto"/>
      <w:ind w:left="220"/>
    </w:pPr>
    <w:rPr>
      <w:rFonts w:ascii="Arial" w:eastAsiaTheme="minorEastAsia" w:hAnsi="Arial" w:cs="Times New Roman"/>
      <w:lang w:val="en-US"/>
    </w:rPr>
  </w:style>
  <w:style w:type="paragraph" w:styleId="TOC1">
    <w:name w:val="toc 1"/>
    <w:basedOn w:val="Normal"/>
    <w:next w:val="Normal"/>
    <w:autoRedefine/>
    <w:uiPriority w:val="39"/>
    <w:unhideWhenUsed/>
    <w:rsid w:val="00F66E27"/>
    <w:pPr>
      <w:spacing w:before="200" w:after="100" w:line="259" w:lineRule="auto"/>
    </w:pPr>
    <w:rPr>
      <w:rFonts w:ascii="Arial" w:eastAsiaTheme="minorEastAsia" w:hAnsi="Arial" w:cs="Times New Roman"/>
      <w:lang w:val="en-US"/>
    </w:rPr>
  </w:style>
  <w:style w:type="paragraph" w:styleId="TOC3">
    <w:name w:val="toc 3"/>
    <w:basedOn w:val="Normal"/>
    <w:next w:val="Normal"/>
    <w:autoRedefine/>
    <w:uiPriority w:val="39"/>
    <w:unhideWhenUsed/>
    <w:rsid w:val="00677656"/>
    <w:pPr>
      <w:spacing w:after="100" w:line="259" w:lineRule="auto"/>
      <w:ind w:left="440"/>
    </w:pPr>
    <w:rPr>
      <w:rFonts w:eastAsiaTheme="minorEastAsia" w:cs="Times New Roman"/>
      <w:lang w:val="en-US"/>
    </w:rPr>
  </w:style>
  <w:style w:type="paragraph" w:customStyle="1" w:styleId="SectionTitle">
    <w:name w:val="Section Title"/>
    <w:basedOn w:val="Normal"/>
    <w:qFormat/>
    <w:rsid w:val="007267BE"/>
    <w:pPr>
      <w:jc w:val="center"/>
    </w:pPr>
    <w:rPr>
      <w:rFonts w:ascii="Arial" w:hAnsi="Arial" w:cs="Arial"/>
      <w:sz w:val="96"/>
      <w:szCs w:val="96"/>
    </w:rPr>
  </w:style>
  <w:style w:type="paragraph" w:customStyle="1" w:styleId="L1Bulletslast">
    <w:name w:val="L1 Bullets last"/>
    <w:basedOn w:val="L1Bullets"/>
    <w:qFormat/>
    <w:rsid w:val="007267BE"/>
    <w:pPr>
      <w:spacing w:after="240"/>
    </w:pPr>
  </w:style>
  <w:style w:type="paragraph" w:customStyle="1" w:styleId="SEC2NotesBoldSec2Specific">
    <w:name w:val="SEC2 Notes Bold (Sec 2 Specific)"/>
    <w:basedOn w:val="NoParagraphStyle"/>
    <w:uiPriority w:val="99"/>
    <w:rsid w:val="004F7FAD"/>
    <w:pPr>
      <w:keepNext/>
      <w:tabs>
        <w:tab w:val="right" w:pos="4620"/>
      </w:tabs>
      <w:suppressAutoHyphens/>
      <w:spacing w:after="85" w:line="240" w:lineRule="atLeast"/>
      <w:ind w:left="510" w:hanging="510"/>
    </w:pPr>
    <w:rPr>
      <w:rFonts w:ascii="Arial" w:eastAsiaTheme="minorEastAsia" w:hAnsi="Arial" w:cs="Arial"/>
      <w:b/>
      <w:bCs/>
      <w:sz w:val="22"/>
      <w:szCs w:val="22"/>
    </w:rPr>
  </w:style>
  <w:style w:type="paragraph" w:customStyle="1" w:styleId="SEC2NotesdescriptorSec2Specific">
    <w:name w:val="SEC2 Notes descriptor (Sec 2 Specific)"/>
    <w:basedOn w:val="Body-912ptVICLightBody"/>
    <w:uiPriority w:val="99"/>
    <w:rsid w:val="004F7FAD"/>
    <w:pPr>
      <w:ind w:left="380" w:right="454"/>
    </w:pPr>
    <w:rPr>
      <w:rFonts w:ascii="VIC-Regular" w:eastAsiaTheme="minorEastAsia" w:hAnsi="VIC-Regular" w:cs="VIC-Regular"/>
    </w:rPr>
  </w:style>
  <w:style w:type="paragraph" w:customStyle="1" w:styleId="SEC2NoteslightSec2Specific">
    <w:name w:val="SEC2 Notes light (Sec 2 Specific)"/>
    <w:basedOn w:val="Body-912ptVICLightBody"/>
    <w:uiPriority w:val="99"/>
    <w:rsid w:val="004F7FAD"/>
    <w:pPr>
      <w:tabs>
        <w:tab w:val="right" w:pos="860"/>
        <w:tab w:val="right" w:pos="4620"/>
      </w:tabs>
      <w:ind w:left="780" w:hanging="380"/>
    </w:pPr>
    <w:rPr>
      <w:rFonts w:ascii="VIC-Regular" w:eastAsiaTheme="minorEastAsia" w:hAnsi="VIC-Regular" w:cs="VIC-Regular"/>
    </w:rPr>
  </w:style>
  <w:style w:type="paragraph" w:customStyle="1" w:styleId="tablespaceTable">
    <w:name w:val="table space (Table)"/>
    <w:basedOn w:val="NoParagraphStyle"/>
    <w:uiPriority w:val="99"/>
    <w:rsid w:val="004F7FAD"/>
    <w:pPr>
      <w:suppressAutoHyphens/>
      <w:spacing w:before="227" w:after="170" w:line="240" w:lineRule="atLeast"/>
    </w:pPr>
    <w:rPr>
      <w:rFonts w:ascii="VIC-Regular" w:eastAsiaTheme="minorEastAsia" w:hAnsi="VIC-Regular" w:cs="VIC-Regular"/>
      <w:color w:val="005189"/>
      <w:sz w:val="22"/>
      <w:szCs w:val="22"/>
    </w:rPr>
  </w:style>
  <w:style w:type="paragraph" w:customStyle="1" w:styleId="IntroPara-1214VICLightBody">
    <w:name w:val="Intro Para - 12/14 VIC Light (Body)"/>
    <w:basedOn w:val="NoParagraphStyle"/>
    <w:uiPriority w:val="99"/>
    <w:rsid w:val="004F7FAD"/>
    <w:pPr>
      <w:suppressAutoHyphens/>
      <w:spacing w:after="170" w:line="280" w:lineRule="atLeast"/>
    </w:pPr>
    <w:rPr>
      <w:rFonts w:ascii="VIC-Light" w:eastAsiaTheme="minorEastAsia" w:hAnsi="VIC-Light" w:cs="VIC-Light"/>
      <w:spacing w:val="-2"/>
    </w:rPr>
  </w:style>
  <w:style w:type="paragraph" w:customStyle="1" w:styleId="L1Bullets-912VICLightBody">
    <w:name w:val="L1 Bullets - 9/12 VIC Light (Body)"/>
    <w:basedOn w:val="NoParagraphStyle"/>
    <w:uiPriority w:val="99"/>
    <w:rsid w:val="004F7FAD"/>
    <w:pPr>
      <w:suppressAutoHyphens/>
      <w:spacing w:after="57" w:line="240" w:lineRule="atLeast"/>
      <w:ind w:left="227" w:hanging="227"/>
    </w:pPr>
    <w:rPr>
      <w:rFonts w:ascii="VIC-Light" w:eastAsiaTheme="minorEastAsia" w:hAnsi="VIC-Light" w:cs="VIC-Light"/>
      <w:sz w:val="18"/>
      <w:szCs w:val="18"/>
    </w:rPr>
  </w:style>
  <w:style w:type="paragraph" w:customStyle="1" w:styleId="L1BulletSLast-912VICLightBody0">
    <w:name w:val="L1 BulletS Last - 9/12 VIC Light (Body)"/>
    <w:basedOn w:val="L1Bullets-912VICLightBody"/>
    <w:uiPriority w:val="99"/>
    <w:rsid w:val="004F7FAD"/>
    <w:pPr>
      <w:spacing w:after="170"/>
    </w:pPr>
  </w:style>
  <w:style w:type="paragraph" w:customStyle="1" w:styleId="5Header5-1012VICRegHeaders">
    <w:name w:val="5 Header 5 - 10/12 VIC Reg (Headers)"/>
    <w:basedOn w:val="NoParagraphStyle"/>
    <w:next w:val="NoParagraphStyle"/>
    <w:uiPriority w:val="99"/>
    <w:rsid w:val="004F7FAD"/>
    <w:pPr>
      <w:keepLines/>
      <w:suppressAutoHyphens/>
      <w:spacing w:before="170" w:after="57" w:line="240" w:lineRule="atLeast"/>
    </w:pPr>
    <w:rPr>
      <w:rFonts w:ascii="VIC-Regular" w:eastAsiaTheme="minorEastAsia" w:hAnsi="VIC-Regular" w:cs="VIC-Regular"/>
      <w:color w:val="005189"/>
      <w:sz w:val="20"/>
      <w:szCs w:val="20"/>
    </w:rPr>
  </w:style>
  <w:style w:type="paragraph" w:customStyle="1" w:styleId="4Header4-1214VICRegHeaders">
    <w:name w:val="4 Header 4 - 12/14 VIC Reg (Headers)"/>
    <w:basedOn w:val="NoParagraphStyle"/>
    <w:next w:val="NoParagraphStyle"/>
    <w:uiPriority w:val="99"/>
    <w:rsid w:val="004F7FAD"/>
    <w:pPr>
      <w:suppressAutoHyphens/>
      <w:spacing w:before="170" w:after="57" w:line="280" w:lineRule="atLeast"/>
    </w:pPr>
    <w:rPr>
      <w:rFonts w:ascii="VIC-Regular" w:eastAsiaTheme="minorEastAsia" w:hAnsi="VIC-Regular" w:cs="VIC-Regular"/>
      <w:color w:val="005189"/>
    </w:rPr>
  </w:style>
  <w:style w:type="paragraph" w:customStyle="1" w:styleId="L1AlphabulletsBody">
    <w:name w:val="L1 Alpha bullets  (Body)"/>
    <w:basedOn w:val="NoParagraphStyle"/>
    <w:uiPriority w:val="99"/>
    <w:rsid w:val="004F7FAD"/>
    <w:pPr>
      <w:numPr>
        <w:numId w:val="3"/>
      </w:numPr>
      <w:suppressAutoHyphens/>
      <w:spacing w:after="57" w:line="240" w:lineRule="atLeast"/>
    </w:pPr>
    <w:rPr>
      <w:rFonts w:ascii="Arial" w:eastAsiaTheme="minorEastAsia" w:hAnsi="Arial" w:cs="Arial"/>
      <w:sz w:val="22"/>
      <w:szCs w:val="22"/>
    </w:rPr>
  </w:style>
  <w:style w:type="paragraph" w:customStyle="1" w:styleId="TablespaceTable0">
    <w:name w:val="Table space (Table)"/>
    <w:basedOn w:val="L1BulletSLast-912VICLightBody0"/>
    <w:uiPriority w:val="99"/>
    <w:rsid w:val="004F7FAD"/>
    <w:pPr>
      <w:spacing w:before="113"/>
      <w:ind w:left="0" w:firstLine="0"/>
    </w:pPr>
    <w:rPr>
      <w:rFonts w:ascii="VIC-Regular" w:hAnsi="VIC-Regular" w:cs="VIC-Regular"/>
    </w:rPr>
  </w:style>
  <w:style w:type="paragraph" w:customStyle="1" w:styleId="6Header6912ptVICMedHeaders">
    <w:name w:val="6 Header 6 – 9/12pt VIC Med (Headers)"/>
    <w:basedOn w:val="Body-912ptVICLightBody"/>
    <w:uiPriority w:val="99"/>
    <w:rsid w:val="004F7FAD"/>
    <w:pPr>
      <w:keepNext/>
      <w:spacing w:after="57"/>
    </w:pPr>
    <w:rPr>
      <w:rFonts w:ascii="VIC-Medium" w:eastAsiaTheme="minorEastAsia" w:hAnsi="VIC-Medium" w:cs="VIC-Medium"/>
    </w:rPr>
  </w:style>
  <w:style w:type="paragraph" w:customStyle="1" w:styleId="L2BulletsabcBody">
    <w:name w:val="L2 Bullets (a) (b) (c) (Body)"/>
    <w:basedOn w:val="L1Bullets-912VICLightBody"/>
    <w:uiPriority w:val="99"/>
    <w:rsid w:val="004F7FAD"/>
    <w:pPr>
      <w:ind w:left="500" w:hanging="273"/>
    </w:pPr>
  </w:style>
  <w:style w:type="paragraph" w:customStyle="1" w:styleId="L2Bullets-912VICLightBody">
    <w:name w:val="L2 Bullets - 9/12 VIC Light (Body)"/>
    <w:basedOn w:val="L1Bullets-912VICLightBody"/>
    <w:uiPriority w:val="99"/>
    <w:rsid w:val="004F7FAD"/>
    <w:pPr>
      <w:ind w:left="454"/>
    </w:pPr>
  </w:style>
  <w:style w:type="paragraph" w:customStyle="1" w:styleId="TablecrossheadgreenTable">
    <w:name w:val="Table crosshead green (Table)"/>
    <w:basedOn w:val="NoParagraphStyle"/>
    <w:uiPriority w:val="99"/>
    <w:rsid w:val="004F7FAD"/>
    <w:pPr>
      <w:suppressAutoHyphens/>
      <w:spacing w:line="220" w:lineRule="atLeast"/>
    </w:pPr>
    <w:rPr>
      <w:rFonts w:ascii="VIC-Medium" w:eastAsiaTheme="minorEastAsia" w:hAnsi="VIC-Medium" w:cs="VIC-Medium"/>
      <w:color w:val="005189"/>
      <w:sz w:val="16"/>
      <w:szCs w:val="16"/>
    </w:rPr>
  </w:style>
  <w:style w:type="paragraph" w:customStyle="1" w:styleId="TablebodyboldtotalTable">
    <w:name w:val="Table body bold (total) (Table)"/>
    <w:basedOn w:val="TablebodycopyTable"/>
    <w:uiPriority w:val="99"/>
    <w:rsid w:val="004F7FAD"/>
    <w:rPr>
      <w:rFonts w:ascii="VIC-Medium" w:eastAsiaTheme="minorEastAsia" w:hAnsi="VIC-Medium" w:cs="VIC-Medium"/>
    </w:rPr>
  </w:style>
  <w:style w:type="paragraph" w:customStyle="1" w:styleId="TablenoteTable">
    <w:name w:val="*Table note (Table)"/>
    <w:basedOn w:val="NoParagraphStyle"/>
    <w:uiPriority w:val="99"/>
    <w:rsid w:val="004F7FAD"/>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ind w:left="227" w:hanging="227"/>
    </w:pPr>
    <w:rPr>
      <w:rFonts w:ascii="VIC-LightItalic" w:eastAsiaTheme="minorEastAsia" w:hAnsi="VIC-LightItalic" w:cs="VIC-LightItalic"/>
      <w:i/>
      <w:iCs/>
      <w:sz w:val="14"/>
      <w:szCs w:val="14"/>
    </w:rPr>
  </w:style>
  <w:style w:type="paragraph" w:customStyle="1" w:styleId="TablenoteSpaceAfterTable">
    <w:name w:val="*Table note – Space After (Table)"/>
    <w:basedOn w:val="TablenoteTable"/>
    <w:uiPriority w:val="99"/>
    <w:rsid w:val="004F7FAD"/>
    <w:pPr>
      <w:spacing w:after="113"/>
    </w:pPr>
  </w:style>
  <w:style w:type="paragraph" w:customStyle="1" w:styleId="TablenotesnotesheaderTable">
    <w:name w:val="*Table notes: notes header (Table)"/>
    <w:basedOn w:val="NoParagraphStyle"/>
    <w:uiPriority w:val="99"/>
    <w:rsid w:val="004F7FA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LightItalic" w:eastAsiaTheme="minorEastAsia" w:hAnsi="VIC-LightItalic" w:cs="VIC-LightItalic"/>
      <w:i/>
      <w:iCs/>
      <w:sz w:val="14"/>
      <w:szCs w:val="14"/>
    </w:rPr>
  </w:style>
  <w:style w:type="paragraph" w:customStyle="1" w:styleId="TSec2BodyMediumRightTable">
    <w:name w:val="T: Sec2 Body Medium Right (Table)"/>
    <w:basedOn w:val="NoParagraphStyle"/>
    <w:uiPriority w:val="99"/>
    <w:rsid w:val="004F7FAD"/>
    <w:pPr>
      <w:suppressAutoHyphens/>
      <w:spacing w:after="113" w:line="220" w:lineRule="atLeast"/>
      <w:jc w:val="right"/>
    </w:pPr>
    <w:rPr>
      <w:rFonts w:ascii="VIC-Medium" w:eastAsiaTheme="minorEastAsia" w:hAnsi="VIC-Medium" w:cs="VIC-Medium"/>
      <w:sz w:val="16"/>
      <w:szCs w:val="16"/>
    </w:rPr>
  </w:style>
  <w:style w:type="paragraph" w:customStyle="1" w:styleId="TSec2BodyMediumLeftTable">
    <w:name w:val="T: Sec2 Body Medium Left (Table)"/>
    <w:basedOn w:val="TSec2BodyMediumRightTable"/>
    <w:uiPriority w:val="99"/>
    <w:rsid w:val="004F7FAD"/>
    <w:pPr>
      <w:jc w:val="left"/>
    </w:pPr>
    <w:rPr>
      <w:rFonts w:ascii="VIC-Regular" w:hAnsi="VIC-Regular" w:cs="VIC-Regular"/>
    </w:rPr>
  </w:style>
  <w:style w:type="paragraph" w:customStyle="1" w:styleId="TSec2BodyLeftTable">
    <w:name w:val="T: Sec2 Body Left (Table)"/>
    <w:basedOn w:val="NoParagraphStyle"/>
    <w:uiPriority w:val="99"/>
    <w:rsid w:val="004F7FAD"/>
    <w:pPr>
      <w:suppressAutoHyphens/>
      <w:spacing w:after="113" w:line="220" w:lineRule="atLeast"/>
    </w:pPr>
    <w:rPr>
      <w:rFonts w:ascii="VIC-Light" w:eastAsiaTheme="minorEastAsia" w:hAnsi="VIC-Light" w:cs="VIC-Light"/>
      <w:sz w:val="16"/>
      <w:szCs w:val="16"/>
    </w:rPr>
  </w:style>
  <w:style w:type="paragraph" w:customStyle="1" w:styleId="TSec2BodyRightTable">
    <w:name w:val="T: Sec2 Body Right (Table)"/>
    <w:basedOn w:val="TSec2BodyLeftTable"/>
    <w:uiPriority w:val="99"/>
    <w:rsid w:val="004F7FAD"/>
    <w:pPr>
      <w:jc w:val="right"/>
    </w:pPr>
    <w:rPr>
      <w:rFonts w:ascii="VIC-Regular" w:hAnsi="VIC-Regular" w:cs="VIC-Regular"/>
    </w:rPr>
  </w:style>
  <w:style w:type="paragraph" w:customStyle="1" w:styleId="TableBCTable">
    <w:name w:val="*Table BC (Table)"/>
    <w:basedOn w:val="Body-912ptVICLightBody"/>
    <w:uiPriority w:val="99"/>
    <w:rsid w:val="004F7FAD"/>
    <w:pPr>
      <w:spacing w:after="113" w:line="220" w:lineRule="atLeast"/>
    </w:pPr>
    <w:rPr>
      <w:rFonts w:ascii="VIC-Regular" w:eastAsiaTheme="minorEastAsia" w:hAnsi="VIC-Regular" w:cs="VIC-Regular"/>
      <w:sz w:val="16"/>
      <w:szCs w:val="16"/>
    </w:rPr>
  </w:style>
  <w:style w:type="character" w:customStyle="1" w:styleId="tableBCboldExistingStyles2019">
    <w:name w:val="*table BC bold (Existing Styles 2019)"/>
    <w:uiPriority w:val="99"/>
    <w:rsid w:val="004F7FAD"/>
  </w:style>
  <w:style w:type="character" w:customStyle="1" w:styleId="BCMediumExistingStyles2019">
    <w:name w:val="*BC Medium (Existing Styles 2019)"/>
    <w:basedOn w:val="tableBCboldExistingStyles2019"/>
    <w:uiPriority w:val="99"/>
    <w:rsid w:val="004F7FAD"/>
    <w:rPr>
      <w:rFonts w:cs="Times New Roman"/>
    </w:rPr>
  </w:style>
  <w:style w:type="character" w:customStyle="1" w:styleId="BCboldExistingStyles2019">
    <w:name w:val="*BC bold (Existing Styles 2019)"/>
    <w:uiPriority w:val="99"/>
    <w:rsid w:val="004F7FAD"/>
    <w:rPr>
      <w:rFonts w:ascii="VIC-SemiBold" w:hAnsi="VIC-SemiBold"/>
      <w:b/>
    </w:rPr>
  </w:style>
  <w:style w:type="character" w:customStyle="1" w:styleId="TBodyItalicsExistingStyles2019">
    <w:name w:val="T: Body Italics (Existing Styles 2019)"/>
    <w:uiPriority w:val="99"/>
    <w:rsid w:val="004F7FAD"/>
    <w:rPr>
      <w:i/>
    </w:rPr>
  </w:style>
  <w:style w:type="character" w:customStyle="1" w:styleId="Footnotereferencessuperscript">
    <w:name w:val="Footnote references (superscript)"/>
    <w:uiPriority w:val="99"/>
    <w:rsid w:val="004F7FAD"/>
    <w:rPr>
      <w:vertAlign w:val="superscript"/>
    </w:rPr>
  </w:style>
  <w:style w:type="character" w:customStyle="1" w:styleId="TableBCMediumExistingStyles2019">
    <w:name w:val="Table BC Medium (Existing Styles 2019)"/>
    <w:uiPriority w:val="99"/>
    <w:rsid w:val="004F7FAD"/>
  </w:style>
  <w:style w:type="character" w:customStyle="1" w:styleId="TBCMediumGreenExistingStyles2019">
    <w:name w:val="T: BC Medium Green (Existing Styles 2019)"/>
    <w:basedOn w:val="TableBCMediumExistingStyles2019"/>
    <w:uiPriority w:val="99"/>
    <w:rsid w:val="004F7FAD"/>
    <w:rPr>
      <w:rFonts w:cs="Times New Roman"/>
      <w:color w:val="005189"/>
    </w:rPr>
  </w:style>
  <w:style w:type="paragraph" w:customStyle="1" w:styleId="Tabletextnospace">
    <w:name w:val="Table text no space"/>
    <w:basedOn w:val="Tabletext"/>
    <w:qFormat/>
    <w:rsid w:val="004F7FAD"/>
    <w:pPr>
      <w:spacing w:before="0" w:after="0"/>
    </w:pPr>
    <w:rPr>
      <w:rFonts w:eastAsiaTheme="minorEastAsia"/>
    </w:rPr>
  </w:style>
  <w:style w:type="paragraph" w:customStyle="1" w:styleId="Tablefootnote">
    <w:name w:val="Table footnote"/>
    <w:basedOn w:val="Tabletext"/>
    <w:qFormat/>
    <w:rsid w:val="004F7FAD"/>
    <w:pPr>
      <w:tabs>
        <w:tab w:val="left" w:pos="397"/>
      </w:tabs>
      <w:spacing w:before="0" w:after="40" w:line="240" w:lineRule="atLeast"/>
    </w:pPr>
    <w:rPr>
      <w:rFonts w:eastAsiaTheme="minorEastAsia"/>
      <w:sz w:val="18"/>
      <w:szCs w:val="14"/>
    </w:rPr>
  </w:style>
  <w:style w:type="paragraph" w:customStyle="1" w:styleId="Bodynospace">
    <w:name w:val="Body no space"/>
    <w:basedOn w:val="Body"/>
    <w:qFormat/>
    <w:rsid w:val="004F7FAD"/>
    <w:pPr>
      <w:spacing w:after="0"/>
    </w:pPr>
    <w:rPr>
      <w:rFonts w:eastAsiaTheme="minorEastAsia"/>
    </w:rPr>
  </w:style>
  <w:style w:type="character" w:styleId="CommentReference">
    <w:name w:val="annotation reference"/>
    <w:basedOn w:val="DefaultParagraphFont"/>
    <w:uiPriority w:val="99"/>
    <w:semiHidden/>
    <w:unhideWhenUsed/>
    <w:rsid w:val="00166267"/>
    <w:rPr>
      <w:sz w:val="16"/>
      <w:szCs w:val="16"/>
    </w:rPr>
  </w:style>
  <w:style w:type="paragraph" w:styleId="CommentText">
    <w:name w:val="annotation text"/>
    <w:basedOn w:val="Normal"/>
    <w:link w:val="CommentTextChar"/>
    <w:uiPriority w:val="99"/>
    <w:semiHidden/>
    <w:unhideWhenUsed/>
    <w:rsid w:val="00166267"/>
    <w:pPr>
      <w:spacing w:line="240" w:lineRule="auto"/>
    </w:pPr>
    <w:rPr>
      <w:sz w:val="20"/>
      <w:szCs w:val="20"/>
    </w:rPr>
  </w:style>
  <w:style w:type="character" w:customStyle="1" w:styleId="CommentTextChar">
    <w:name w:val="Comment Text Char"/>
    <w:basedOn w:val="DefaultParagraphFont"/>
    <w:link w:val="CommentText"/>
    <w:uiPriority w:val="99"/>
    <w:semiHidden/>
    <w:rsid w:val="00166267"/>
    <w:rPr>
      <w:sz w:val="20"/>
      <w:szCs w:val="20"/>
    </w:rPr>
  </w:style>
  <w:style w:type="paragraph" w:styleId="CommentSubject">
    <w:name w:val="annotation subject"/>
    <w:basedOn w:val="CommentText"/>
    <w:next w:val="CommentText"/>
    <w:link w:val="CommentSubjectChar"/>
    <w:uiPriority w:val="99"/>
    <w:semiHidden/>
    <w:unhideWhenUsed/>
    <w:rsid w:val="00166267"/>
    <w:rPr>
      <w:b/>
      <w:bCs/>
    </w:rPr>
  </w:style>
  <w:style w:type="character" w:customStyle="1" w:styleId="CommentSubjectChar">
    <w:name w:val="Comment Subject Char"/>
    <w:basedOn w:val="CommentTextChar"/>
    <w:link w:val="CommentSubject"/>
    <w:uiPriority w:val="99"/>
    <w:semiHidden/>
    <w:rsid w:val="00166267"/>
    <w:rPr>
      <w:b/>
      <w:bCs/>
      <w:sz w:val="20"/>
      <w:szCs w:val="20"/>
    </w:rPr>
  </w:style>
  <w:style w:type="paragraph" w:styleId="BalloonText">
    <w:name w:val="Balloon Text"/>
    <w:basedOn w:val="Normal"/>
    <w:link w:val="BalloonTextChar"/>
    <w:uiPriority w:val="99"/>
    <w:semiHidden/>
    <w:unhideWhenUsed/>
    <w:rsid w:val="00166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67"/>
    <w:rPr>
      <w:rFonts w:ascii="Segoe UI" w:hAnsi="Segoe UI" w:cs="Segoe UI"/>
      <w:sz w:val="18"/>
      <w:szCs w:val="18"/>
    </w:rPr>
  </w:style>
  <w:style w:type="paragraph" w:customStyle="1" w:styleId="2Header2-AppendixHeaders">
    <w:name w:val="2 Header 2 - Appendix (Headers)"/>
    <w:basedOn w:val="NoParagraphStyle"/>
    <w:uiPriority w:val="99"/>
    <w:rsid w:val="00950BDE"/>
    <w:pPr>
      <w:pageBreakBefore/>
      <w:suppressAutoHyphens/>
      <w:spacing w:before="170" w:after="170" w:line="400" w:lineRule="atLeast"/>
    </w:pPr>
    <w:rPr>
      <w:rFonts w:ascii="VIC Light" w:hAnsi="VIC Light" w:cs="VIC Light"/>
      <w:color w:val="005189"/>
      <w:sz w:val="36"/>
      <w:szCs w:val="36"/>
    </w:rPr>
  </w:style>
  <w:style w:type="paragraph" w:customStyle="1" w:styleId="3Header3-1416ptVICRegHeaders">
    <w:name w:val="3 Header 3 - 14/16pt VIC Reg (Headers)"/>
    <w:basedOn w:val="NoParagraphStyle"/>
    <w:uiPriority w:val="99"/>
    <w:rsid w:val="00950BDE"/>
    <w:pPr>
      <w:suppressAutoHyphens/>
      <w:spacing w:before="170" w:after="57" w:line="320" w:lineRule="atLeast"/>
    </w:pPr>
    <w:rPr>
      <w:rFonts w:ascii="VIC" w:hAnsi="VIC" w:cs="VIC"/>
      <w:color w:val="005189"/>
      <w:sz w:val="28"/>
      <w:szCs w:val="28"/>
    </w:rPr>
  </w:style>
  <w:style w:type="paragraph" w:customStyle="1" w:styleId="TablenotesHeaderspaceafterTable">
    <w:name w:val="*Table notes: Header (space after) (Table)"/>
    <w:basedOn w:val="NoParagraphStyle"/>
    <w:uiPriority w:val="99"/>
    <w:rsid w:val="00950BDE"/>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paragraph" w:customStyle="1" w:styleId="TablenotealphaTable">
    <w:name w:val="*Table note – alpha (Table)"/>
    <w:basedOn w:val="NoParagraphStyle"/>
    <w:uiPriority w:val="99"/>
    <w:rsid w:val="00950BDE"/>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character" w:customStyle="1" w:styleId="TableBCMedium-Blue">
    <w:name w:val="Table BC Medium - Blue"/>
    <w:uiPriority w:val="99"/>
    <w:rsid w:val="00950BDE"/>
    <w:rPr>
      <w:color w:val="005189"/>
    </w:rPr>
  </w:style>
  <w:style w:type="paragraph" w:customStyle="1" w:styleId="2Header2-1820ptVicLightHeaders">
    <w:name w:val="2 Header 2 - 18/20pt Vic Light (Headers)"/>
    <w:basedOn w:val="NoParagraphStyle"/>
    <w:uiPriority w:val="99"/>
    <w:rsid w:val="00EE56B0"/>
    <w:pPr>
      <w:suppressAutoHyphens/>
      <w:spacing w:before="170" w:after="170" w:line="400" w:lineRule="atLeast"/>
    </w:pPr>
    <w:rPr>
      <w:rFonts w:ascii="VIC Light" w:hAnsi="VIC Light" w:cs="VIC Light"/>
      <w:color w:val="005189"/>
      <w:sz w:val="36"/>
      <w:szCs w:val="36"/>
    </w:rPr>
  </w:style>
  <w:style w:type="paragraph" w:customStyle="1" w:styleId="TablenoteNormalTable">
    <w:name w:val="*Table note – Normal (Table)"/>
    <w:basedOn w:val="Normal"/>
    <w:uiPriority w:val="99"/>
    <w:rsid w:val="00EE56B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textAlignment w:val="center"/>
    </w:pPr>
    <w:rPr>
      <w:rFonts w:ascii="VIC Light Italic" w:hAnsi="VIC Light Italic" w:cs="VIC Light Italic"/>
      <w:i/>
      <w:iCs/>
      <w:color w:val="000000"/>
      <w:sz w:val="14"/>
      <w:szCs w:val="14"/>
      <w:lang w:val="en-GB"/>
    </w:rPr>
  </w:style>
  <w:style w:type="paragraph" w:customStyle="1" w:styleId="L1NoList-912VICLightBody">
    <w:name w:val="L1 No. List - 9/12 VIC Light (Body)"/>
    <w:basedOn w:val="Normal"/>
    <w:rsid w:val="00D16F6A"/>
    <w:pPr>
      <w:numPr>
        <w:numId w:val="11"/>
      </w:numPr>
      <w:suppressAutoHyphens/>
      <w:autoSpaceDE w:val="0"/>
      <w:autoSpaceDN w:val="0"/>
      <w:adjustRightInd w:val="0"/>
      <w:spacing w:after="120" w:line="240" w:lineRule="atLeast"/>
      <w:textAlignment w:val="center"/>
    </w:pPr>
    <w:rPr>
      <w:rFonts w:ascii="Arial" w:hAnsi="Arial" w:cs="Arial"/>
      <w:color w:val="000000"/>
      <w:lang w:val="en-GB"/>
    </w:rPr>
  </w:style>
  <w:style w:type="paragraph" w:customStyle="1" w:styleId="TablecrossheadblueTable">
    <w:name w:val="Table crosshead blue (Table)"/>
    <w:basedOn w:val="NoParagraphStyle"/>
    <w:uiPriority w:val="99"/>
    <w:rsid w:val="008D7A67"/>
    <w:pPr>
      <w:suppressAutoHyphens/>
      <w:spacing w:line="220" w:lineRule="atLeast"/>
    </w:pPr>
    <w:rPr>
      <w:rFonts w:ascii="VIC Medium" w:hAnsi="VIC Medium" w:cs="VIC Medium"/>
      <w:color w:val="005189"/>
      <w:sz w:val="16"/>
      <w:szCs w:val="16"/>
    </w:rPr>
  </w:style>
  <w:style w:type="paragraph" w:customStyle="1" w:styleId="TablenotesHeaderTable">
    <w:name w:val="*Table notes: Header (Table)"/>
    <w:basedOn w:val="NoParagraphStyle"/>
    <w:uiPriority w:val="99"/>
    <w:rsid w:val="008D7A67"/>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 Light Italic" w:hAnsi="VIC Light Italic" w:cs="VIC Light Italic"/>
      <w:i/>
      <w:iCs/>
      <w:sz w:val="14"/>
      <w:szCs w:val="14"/>
    </w:rPr>
  </w:style>
  <w:style w:type="paragraph" w:customStyle="1" w:styleId="TablenoteRomanNumerialsTable">
    <w:name w:val="*Table note – Roman Numerials (Table)"/>
    <w:basedOn w:val="NoParagraphStyle"/>
    <w:uiPriority w:val="99"/>
    <w:rsid w:val="008D7A67"/>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character" w:customStyle="1" w:styleId="BCbold">
    <w:name w:val="*BC bold"/>
    <w:uiPriority w:val="99"/>
    <w:rsid w:val="001A5CB2"/>
    <w:rPr>
      <w:rFonts w:ascii="VIC SemiBold" w:hAnsi="VIC SemiBold" w:cs="VIC SemiBold"/>
      <w:b/>
      <w:bCs/>
    </w:rPr>
  </w:style>
  <w:style w:type="character" w:customStyle="1" w:styleId="H3Italics">
    <w:name w:val="H3 Italics"/>
    <w:uiPriority w:val="99"/>
    <w:rsid w:val="00D912E8"/>
    <w:rPr>
      <w:rFonts w:ascii="VIC Italic" w:hAnsi="VIC Italic" w:cs="VIC Italic"/>
      <w:i/>
      <w:iCs/>
    </w:rPr>
  </w:style>
  <w:style w:type="character" w:customStyle="1" w:styleId="TableBCMediumGrey">
    <w:name w:val="Table BC Medium – Grey"/>
    <w:uiPriority w:val="99"/>
    <w:rsid w:val="00083248"/>
  </w:style>
  <w:style w:type="character" w:styleId="UnresolvedMention">
    <w:name w:val="Unresolved Mention"/>
    <w:basedOn w:val="DefaultParagraphFont"/>
    <w:uiPriority w:val="99"/>
    <w:semiHidden/>
    <w:unhideWhenUsed/>
    <w:rsid w:val="00083248"/>
    <w:rPr>
      <w:color w:val="605E5C"/>
      <w:shd w:val="clear" w:color="auto" w:fill="E1DFDD"/>
    </w:rPr>
  </w:style>
  <w:style w:type="paragraph" w:customStyle="1" w:styleId="2Header2-Appendix">
    <w:name w:val="2 Header 2 - Appendix"/>
    <w:basedOn w:val="NoParagraphStyle"/>
    <w:uiPriority w:val="99"/>
    <w:rsid w:val="00EB73F9"/>
    <w:pPr>
      <w:pageBreakBefore/>
      <w:suppressAutoHyphens/>
      <w:spacing w:before="170" w:after="170" w:line="400" w:lineRule="atLeast"/>
    </w:pPr>
    <w:rPr>
      <w:rFonts w:ascii="VIC Light" w:hAnsi="VIC Light" w:cs="VIC Light"/>
      <w:color w:val="0035BC"/>
      <w:sz w:val="36"/>
      <w:szCs w:val="36"/>
    </w:rPr>
  </w:style>
  <w:style w:type="paragraph" w:customStyle="1" w:styleId="Tablespace">
    <w:name w:val="Table space"/>
    <w:basedOn w:val="Normal"/>
    <w:uiPriority w:val="99"/>
    <w:rsid w:val="00EB73F9"/>
    <w:pPr>
      <w:suppressAutoHyphens/>
      <w:autoSpaceDE w:val="0"/>
      <w:autoSpaceDN w:val="0"/>
      <w:adjustRightInd w:val="0"/>
      <w:spacing w:before="113" w:after="170" w:line="240" w:lineRule="atLeast"/>
      <w:textAlignment w:val="center"/>
    </w:pPr>
    <w:rPr>
      <w:rFonts w:ascii="VIC Light" w:hAnsi="VIC Light" w:cs="VIC Light"/>
      <w:color w:val="000000"/>
      <w:sz w:val="18"/>
      <w:szCs w:val="18"/>
      <w:lang w:val="en-GB"/>
    </w:rPr>
  </w:style>
  <w:style w:type="paragraph" w:customStyle="1" w:styleId="AppendixHeading">
    <w:name w:val="Appendix Heading"/>
    <w:basedOn w:val="Heading2"/>
    <w:qFormat/>
    <w:rsid w:val="00C12F8F"/>
  </w:style>
  <w:style w:type="table" w:customStyle="1" w:styleId="DJPRAnnualReport">
    <w:name w:val="DJPR Annual Report"/>
    <w:basedOn w:val="TableNormal"/>
    <w:uiPriority w:val="99"/>
    <w:rsid w:val="0021479B"/>
    <w:pPr>
      <w:spacing w:after="0" w:line="240" w:lineRule="auto"/>
    </w:pPr>
    <w:tblPr/>
  </w:style>
  <w:style w:type="table" w:styleId="TableGridLight">
    <w:name w:val="Grid Table Light"/>
    <w:basedOn w:val="TableNormal"/>
    <w:uiPriority w:val="40"/>
    <w:locked/>
    <w:rsid w:val="00AE4C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svg"/><Relationship Id="rId42" Type="http://schemas.openxmlformats.org/officeDocument/2006/relationships/image" Target="media/image32.png"/><Relationship Id="rId47" Type="http://schemas.openxmlformats.org/officeDocument/2006/relationships/image" Target="media/image37.svg"/><Relationship Id="rId63" Type="http://schemas.openxmlformats.org/officeDocument/2006/relationships/image" Target="media/image53.svg"/><Relationship Id="rId6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8.png"/><Relationship Id="rId29" Type="http://schemas.openxmlformats.org/officeDocument/2006/relationships/image" Target="media/image20.png"/><Relationship Id="rId11" Type="http://schemas.openxmlformats.org/officeDocument/2006/relationships/image" Target="media/image3.svg"/><Relationship Id="rId24" Type="http://schemas.openxmlformats.org/officeDocument/2006/relationships/image" Target="media/image16.png"/><Relationship Id="rId32" Type="http://schemas.openxmlformats.org/officeDocument/2006/relationships/image" Target="media/image23.svg"/><Relationship Id="rId37" Type="http://schemas.openxmlformats.org/officeDocument/2006/relationships/image" Target="media/image27.svg"/><Relationship Id="rId40" Type="http://schemas.openxmlformats.org/officeDocument/2006/relationships/image" Target="media/image30.png"/><Relationship Id="rId45" Type="http://schemas.openxmlformats.org/officeDocument/2006/relationships/image" Target="media/image35.svg"/><Relationship Id="rId53" Type="http://schemas.openxmlformats.org/officeDocument/2006/relationships/image" Target="media/image43.sv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image" Target="media/image51.svg"/><Relationship Id="rId19" Type="http://schemas.openxmlformats.org/officeDocument/2006/relationships/image" Target="media/image11.sv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svg"/><Relationship Id="rId30" Type="http://schemas.openxmlformats.org/officeDocument/2006/relationships/image" Target="media/image21.svg"/><Relationship Id="rId35" Type="http://schemas.openxmlformats.org/officeDocument/2006/relationships/image" Target="media/image25.svg"/><Relationship Id="rId43" Type="http://schemas.openxmlformats.org/officeDocument/2006/relationships/image" Target="media/image33.sv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1.svg"/><Relationship Id="rId72" Type="http://schemas.openxmlformats.org/officeDocument/2006/relationships/customXml" Target="../customXml/item2.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image" Target="media/image17.svg"/><Relationship Id="rId33" Type="http://schemas.openxmlformats.org/officeDocument/2006/relationships/hyperlink" Target="https://urldefense.proofpoint.com/v2/url?u=https-3A__djprstaff-2Dinternalcommsonly.cmail20.com_t_r-2Dl-2Djklknlt-2Duudjltoud-2Dj_&amp;d=DwMFaQ&amp;c=JnBkUqWXzx2bz-3a05d47Q&amp;r=tEsn4l4v_Wr2XqflehzFpVB1m_DFb5-ixW8eCjcf1mvsIolaFOPnocFka0WXVf2L&amp;m=v3yJf4ZSJAax1kexzbG8uP8cfkNssGBim6r5y8stam4&amp;s=RJ_yZZAwZfST6v_1cAGjnUO-b43fdDbqphfn2_PYuHM&amp;e=" TargetMode="External"/><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svg"/><Relationship Id="rId67" Type="http://schemas.openxmlformats.org/officeDocument/2006/relationships/image" Target="media/image57.svg"/><Relationship Id="rId20" Type="http://schemas.openxmlformats.org/officeDocument/2006/relationships/image" Target="media/image12.png"/><Relationship Id="rId41" Type="http://schemas.openxmlformats.org/officeDocument/2006/relationships/image" Target="media/image31.sv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5.svg"/><Relationship Id="rId28" Type="http://schemas.openxmlformats.org/officeDocument/2006/relationships/hyperlink" Target="https://www.slv.vic.gov.au/via" TargetMode="External"/><Relationship Id="rId36" Type="http://schemas.openxmlformats.org/officeDocument/2006/relationships/image" Target="media/image26.png"/><Relationship Id="rId49" Type="http://schemas.openxmlformats.org/officeDocument/2006/relationships/image" Target="media/image39.svg"/><Relationship Id="rId57" Type="http://schemas.openxmlformats.org/officeDocument/2006/relationships/image" Target="media/image47.svg"/><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svg"/><Relationship Id="rId73"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5.svg"/><Relationship Id="rId18" Type="http://schemas.openxmlformats.org/officeDocument/2006/relationships/image" Target="media/image10.png"/><Relationship Id="rId39" Type="http://schemas.openxmlformats.org/officeDocument/2006/relationships/image" Target="media/image29.sv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svg"/><Relationship Id="rId7" Type="http://schemas.openxmlformats.org/officeDocument/2006/relationships/footnotes" Target="footnotes.xml"/><Relationship Id="rId7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927547CA65747862A0EFBB872ADA8" ma:contentTypeVersion="12" ma:contentTypeDescription="Create a new document." ma:contentTypeScope="" ma:versionID="e696afe57436c5b0f5d2e1707ae4ed35">
  <xsd:schema xmlns:xsd="http://www.w3.org/2001/XMLSchema" xmlns:xs="http://www.w3.org/2001/XMLSchema" xmlns:p="http://schemas.microsoft.com/office/2006/metadata/properties" xmlns:ns2="7e2f955a-a49d-492d-bfb0-d68889b789c0" xmlns:ns3="940c15d3-075c-4d38-96df-9b897bf27e7c" targetNamespace="http://schemas.microsoft.com/office/2006/metadata/properties" ma:root="true" ma:fieldsID="5ae494b151186935d57d5bfd53efd8f3" ns2:_="" ns3:_="">
    <xsd:import namespace="7e2f955a-a49d-492d-bfb0-d68889b789c0"/>
    <xsd:import namespace="940c15d3-075c-4d38-96df-9b897bf27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955a-a49d-492d-bfb0-d68889b78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c15d3-075c-4d38-96df-9b897bf27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13BA4-5E63-480B-8F7E-64D4FB7F62F2}">
  <ds:schemaRefs>
    <ds:schemaRef ds:uri="http://schemas.openxmlformats.org/officeDocument/2006/bibliography"/>
  </ds:schemaRefs>
</ds:datastoreItem>
</file>

<file path=customXml/itemProps2.xml><?xml version="1.0" encoding="utf-8"?>
<ds:datastoreItem xmlns:ds="http://schemas.openxmlformats.org/officeDocument/2006/customXml" ds:itemID="{080F97AC-39D8-4FC4-BEE1-E4672D413E3B}"/>
</file>

<file path=customXml/itemProps3.xml><?xml version="1.0" encoding="utf-8"?>
<ds:datastoreItem xmlns:ds="http://schemas.openxmlformats.org/officeDocument/2006/customXml" ds:itemID="{1FD57026-1723-4321-BE33-4E4DA15C1D83}"/>
</file>

<file path=customXml/itemProps4.xml><?xml version="1.0" encoding="utf-8"?>
<ds:datastoreItem xmlns:ds="http://schemas.openxmlformats.org/officeDocument/2006/customXml" ds:itemID="{FE0389C7-FEBE-4489-A96D-70D933409E24}"/>
</file>

<file path=docProps/app.xml><?xml version="1.0" encoding="utf-8"?>
<Properties xmlns="http://schemas.openxmlformats.org/officeDocument/2006/extended-properties" xmlns:vt="http://schemas.openxmlformats.org/officeDocument/2006/docPropsVTypes">
  <Template>Normal.dotm</Template>
  <TotalTime>4</TotalTime>
  <Pages>48</Pages>
  <Words>16474</Words>
  <Characters>93905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Samaa Kirby</cp:lastModifiedBy>
  <cp:revision>3</cp:revision>
  <dcterms:created xsi:type="dcterms:W3CDTF">2020-12-01T05:31:00Z</dcterms:created>
  <dcterms:modified xsi:type="dcterms:W3CDTF">2020-12-01T06:07:00Z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0x010100BB8927547CA65747862A0EFBB872ADA8</vt:lpwstr>
  </property>
</Properties>
</file>