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E570" w14:textId="2F2CD16C" w:rsidR="007C2199" w:rsidRPr="0048728F" w:rsidRDefault="007C2199" w:rsidP="007C2199">
      <w:pPr>
        <w:pStyle w:val="Subtitle"/>
        <w:rPr>
          <w:lang w:val="en-GB"/>
        </w:rPr>
      </w:pPr>
      <w:r w:rsidRPr="0048728F">
        <w:rPr>
          <w:lang w:val="en-GB"/>
        </w:rPr>
        <w:t>Section:</w:t>
      </w:r>
      <w:r>
        <w:rPr>
          <w:lang w:val="en-GB"/>
        </w:rPr>
        <w:t xml:space="preserve"> 03</w:t>
      </w:r>
    </w:p>
    <w:p w14:paraId="673EB780" w14:textId="0E606F7E" w:rsidR="007C2199" w:rsidRPr="0048728F" w:rsidRDefault="007C2199" w:rsidP="004B51F4">
      <w:pPr>
        <w:pStyle w:val="Title"/>
        <w:spacing w:after="720"/>
      </w:pPr>
      <w:r>
        <w:t>Non-financial performance</w:t>
      </w:r>
    </w:p>
    <w:p w14:paraId="1A9CA4B1" w14:textId="77777777" w:rsidR="004B51F4" w:rsidRDefault="004B51F4" w:rsidP="004B51F4">
      <w:pPr>
        <w:pStyle w:val="TOCHeading"/>
      </w:pPr>
      <w:r>
        <w:t>Contents</w:t>
      </w:r>
    </w:p>
    <w:p w14:paraId="0666D25A" w14:textId="77777777" w:rsidR="004B51F4" w:rsidRPr="006D7B49" w:rsidRDefault="004B51F4" w:rsidP="004B51F4">
      <w:pPr>
        <w:pStyle w:val="Normalbeforebullets"/>
        <w:rPr>
          <w:b/>
          <w:bCs/>
        </w:rPr>
      </w:pPr>
      <w:r w:rsidRPr="006D7B49">
        <w:rPr>
          <w:b/>
          <w:bCs/>
        </w:rPr>
        <w:t>Financial</w:t>
      </w:r>
      <w:r>
        <w:rPr>
          <w:b/>
          <w:bCs/>
        </w:rPr>
        <w:t xml:space="preserve"> </w:t>
      </w:r>
      <w:r w:rsidRPr="006D7B49">
        <w:rPr>
          <w:b/>
          <w:bCs/>
        </w:rPr>
        <w:t>statements</w:t>
      </w:r>
    </w:p>
    <w:p w14:paraId="39BF46C6" w14:textId="1997A29D" w:rsidR="003A78CF" w:rsidRDefault="004B51F4">
      <w:pPr>
        <w:pStyle w:val="TOC1"/>
        <w:tabs>
          <w:tab w:val="right" w:leader="dot" w:pos="9628"/>
        </w:tabs>
        <w:rPr>
          <w:rFonts w:asciiTheme="minorHAnsi" w:eastAsiaTheme="minorEastAsia" w:hAnsiTheme="minorHAnsi" w:cstheme="minorBidi"/>
          <w:b w:val="0"/>
          <w:noProof/>
          <w:sz w:val="22"/>
          <w:szCs w:val="22"/>
          <w:lang w:eastAsia="en-AU"/>
        </w:rPr>
      </w:pPr>
      <w:r>
        <w:rPr>
          <w:szCs w:val="22"/>
        </w:rPr>
        <w:fldChar w:fldCharType="begin"/>
      </w:r>
      <w:r>
        <w:instrText xml:space="preserve"> TOC \o "1-1" \h \z \t "Heading 2,2,Heading 2 numbered,2" </w:instrText>
      </w:r>
      <w:r>
        <w:rPr>
          <w:szCs w:val="22"/>
        </w:rPr>
        <w:fldChar w:fldCharType="separate"/>
      </w:r>
      <w:hyperlink w:anchor="_Toc152067208" w:history="1">
        <w:r w:rsidR="003A78CF" w:rsidRPr="007874F7">
          <w:rPr>
            <w:rStyle w:val="Hyperlink"/>
            <w:noProof/>
          </w:rPr>
          <w:t>Portfolio performance reporting – non</w:t>
        </w:r>
        <w:r w:rsidR="003A78CF" w:rsidRPr="007874F7">
          <w:rPr>
            <w:rStyle w:val="Hyperlink"/>
            <w:noProof/>
          </w:rPr>
          <w:noBreakHyphen/>
          <w:t>financial</w:t>
        </w:r>
        <w:r w:rsidR="003A78CF">
          <w:rPr>
            <w:noProof/>
            <w:webHidden/>
          </w:rPr>
          <w:tab/>
        </w:r>
        <w:r w:rsidR="003A78CF">
          <w:rPr>
            <w:noProof/>
            <w:webHidden/>
          </w:rPr>
          <w:fldChar w:fldCharType="begin"/>
        </w:r>
        <w:r w:rsidR="003A78CF">
          <w:rPr>
            <w:noProof/>
            <w:webHidden/>
          </w:rPr>
          <w:instrText xml:space="preserve"> PAGEREF _Toc152067208 \h </w:instrText>
        </w:r>
        <w:r w:rsidR="003A78CF">
          <w:rPr>
            <w:noProof/>
            <w:webHidden/>
          </w:rPr>
        </w:r>
        <w:r w:rsidR="003A78CF">
          <w:rPr>
            <w:noProof/>
            <w:webHidden/>
          </w:rPr>
          <w:fldChar w:fldCharType="separate"/>
        </w:r>
        <w:r w:rsidR="003A78CF">
          <w:rPr>
            <w:noProof/>
            <w:webHidden/>
          </w:rPr>
          <w:t>3</w:t>
        </w:r>
        <w:r w:rsidR="003A78CF">
          <w:rPr>
            <w:noProof/>
            <w:webHidden/>
          </w:rPr>
          <w:fldChar w:fldCharType="end"/>
        </w:r>
      </w:hyperlink>
    </w:p>
    <w:p w14:paraId="7A0AFD95" w14:textId="0A007C72"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09" w:history="1">
        <w:r w:rsidR="003A78CF" w:rsidRPr="007874F7">
          <w:rPr>
            <w:rStyle w:val="Hyperlink"/>
            <w:noProof/>
          </w:rPr>
          <w:t>Objective 1: Create and maintain jobs</w:t>
        </w:r>
        <w:r w:rsidR="003A78CF">
          <w:rPr>
            <w:noProof/>
            <w:webHidden/>
          </w:rPr>
          <w:tab/>
        </w:r>
        <w:r w:rsidR="003A78CF">
          <w:rPr>
            <w:noProof/>
            <w:webHidden/>
          </w:rPr>
          <w:fldChar w:fldCharType="begin"/>
        </w:r>
        <w:r w:rsidR="003A78CF">
          <w:rPr>
            <w:noProof/>
            <w:webHidden/>
          </w:rPr>
          <w:instrText xml:space="preserve"> PAGEREF _Toc152067209 \h </w:instrText>
        </w:r>
        <w:r w:rsidR="003A78CF">
          <w:rPr>
            <w:noProof/>
            <w:webHidden/>
          </w:rPr>
        </w:r>
        <w:r w:rsidR="003A78CF">
          <w:rPr>
            <w:noProof/>
            <w:webHidden/>
          </w:rPr>
          <w:fldChar w:fldCharType="separate"/>
        </w:r>
        <w:r w:rsidR="003A78CF">
          <w:rPr>
            <w:noProof/>
            <w:webHidden/>
          </w:rPr>
          <w:t>3</w:t>
        </w:r>
        <w:r w:rsidR="003A78CF">
          <w:rPr>
            <w:noProof/>
            <w:webHidden/>
          </w:rPr>
          <w:fldChar w:fldCharType="end"/>
        </w:r>
      </w:hyperlink>
    </w:p>
    <w:p w14:paraId="12AF2D4D" w14:textId="4D843292"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0" w:history="1">
        <w:r w:rsidR="003A78CF" w:rsidRPr="007874F7">
          <w:rPr>
            <w:rStyle w:val="Hyperlink"/>
            <w:noProof/>
          </w:rPr>
          <w:t>Indicator: People employed in Victoria</w:t>
        </w:r>
        <w:r w:rsidR="003A78CF">
          <w:rPr>
            <w:noProof/>
            <w:webHidden/>
          </w:rPr>
          <w:tab/>
        </w:r>
        <w:r w:rsidR="003A78CF">
          <w:rPr>
            <w:noProof/>
            <w:webHidden/>
          </w:rPr>
          <w:fldChar w:fldCharType="begin"/>
        </w:r>
        <w:r w:rsidR="003A78CF">
          <w:rPr>
            <w:noProof/>
            <w:webHidden/>
          </w:rPr>
          <w:instrText xml:space="preserve"> PAGEREF _Toc152067210 \h </w:instrText>
        </w:r>
        <w:r w:rsidR="003A78CF">
          <w:rPr>
            <w:noProof/>
            <w:webHidden/>
          </w:rPr>
        </w:r>
        <w:r w:rsidR="003A78CF">
          <w:rPr>
            <w:noProof/>
            <w:webHidden/>
          </w:rPr>
          <w:fldChar w:fldCharType="separate"/>
        </w:r>
        <w:r w:rsidR="003A78CF">
          <w:rPr>
            <w:noProof/>
            <w:webHidden/>
          </w:rPr>
          <w:t>3</w:t>
        </w:r>
        <w:r w:rsidR="003A78CF">
          <w:rPr>
            <w:noProof/>
            <w:webHidden/>
          </w:rPr>
          <w:fldChar w:fldCharType="end"/>
        </w:r>
      </w:hyperlink>
    </w:p>
    <w:p w14:paraId="6569934D" w14:textId="677A58E3"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1" w:history="1">
        <w:r w:rsidR="003A78CF" w:rsidRPr="007874F7">
          <w:rPr>
            <w:rStyle w:val="Hyperlink"/>
            <w:noProof/>
          </w:rPr>
          <w:t>Performance against output performance measures</w:t>
        </w:r>
        <w:r w:rsidR="003A78CF">
          <w:rPr>
            <w:noProof/>
            <w:webHidden/>
          </w:rPr>
          <w:tab/>
        </w:r>
        <w:r w:rsidR="003A78CF">
          <w:rPr>
            <w:noProof/>
            <w:webHidden/>
          </w:rPr>
          <w:fldChar w:fldCharType="begin"/>
        </w:r>
        <w:r w:rsidR="003A78CF">
          <w:rPr>
            <w:noProof/>
            <w:webHidden/>
          </w:rPr>
          <w:instrText xml:space="preserve"> PAGEREF _Toc152067211 \h </w:instrText>
        </w:r>
        <w:r w:rsidR="003A78CF">
          <w:rPr>
            <w:noProof/>
            <w:webHidden/>
          </w:rPr>
        </w:r>
        <w:r w:rsidR="003A78CF">
          <w:rPr>
            <w:noProof/>
            <w:webHidden/>
          </w:rPr>
          <w:fldChar w:fldCharType="separate"/>
        </w:r>
        <w:r w:rsidR="003A78CF">
          <w:rPr>
            <w:noProof/>
            <w:webHidden/>
          </w:rPr>
          <w:t>5</w:t>
        </w:r>
        <w:r w:rsidR="003A78CF">
          <w:rPr>
            <w:noProof/>
            <w:webHidden/>
          </w:rPr>
          <w:fldChar w:fldCharType="end"/>
        </w:r>
      </w:hyperlink>
    </w:p>
    <w:p w14:paraId="1E44D0E2" w14:textId="60C09768"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2" w:history="1">
        <w:r w:rsidR="003A78CF" w:rsidRPr="007874F7">
          <w:rPr>
            <w:rStyle w:val="Hyperlink"/>
            <w:noProof/>
          </w:rPr>
          <w:t>Objective 2: Foster a competitive business environment</w:t>
        </w:r>
        <w:r w:rsidR="003A78CF">
          <w:rPr>
            <w:noProof/>
            <w:webHidden/>
          </w:rPr>
          <w:tab/>
        </w:r>
        <w:r w:rsidR="003A78CF">
          <w:rPr>
            <w:noProof/>
            <w:webHidden/>
          </w:rPr>
          <w:fldChar w:fldCharType="begin"/>
        </w:r>
        <w:r w:rsidR="003A78CF">
          <w:rPr>
            <w:noProof/>
            <w:webHidden/>
          </w:rPr>
          <w:instrText xml:space="preserve"> PAGEREF _Toc152067212 \h </w:instrText>
        </w:r>
        <w:r w:rsidR="003A78CF">
          <w:rPr>
            <w:noProof/>
            <w:webHidden/>
          </w:rPr>
        </w:r>
        <w:r w:rsidR="003A78CF">
          <w:rPr>
            <w:noProof/>
            <w:webHidden/>
          </w:rPr>
          <w:fldChar w:fldCharType="separate"/>
        </w:r>
        <w:r w:rsidR="003A78CF">
          <w:rPr>
            <w:noProof/>
            <w:webHidden/>
          </w:rPr>
          <w:t>9</w:t>
        </w:r>
        <w:r w:rsidR="003A78CF">
          <w:rPr>
            <w:noProof/>
            <w:webHidden/>
          </w:rPr>
          <w:fldChar w:fldCharType="end"/>
        </w:r>
      </w:hyperlink>
    </w:p>
    <w:p w14:paraId="510E34C2" w14:textId="322D44B3"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3" w:history="1">
        <w:r w:rsidR="003A78CF" w:rsidRPr="007874F7">
          <w:rPr>
            <w:rStyle w:val="Hyperlink"/>
            <w:noProof/>
          </w:rPr>
          <w:t>Indicator: Change in Victoria’s real gross state product</w:t>
        </w:r>
        <w:r w:rsidR="003A78CF">
          <w:rPr>
            <w:noProof/>
            <w:webHidden/>
          </w:rPr>
          <w:tab/>
        </w:r>
        <w:r w:rsidR="003A78CF">
          <w:rPr>
            <w:noProof/>
            <w:webHidden/>
          </w:rPr>
          <w:fldChar w:fldCharType="begin"/>
        </w:r>
        <w:r w:rsidR="003A78CF">
          <w:rPr>
            <w:noProof/>
            <w:webHidden/>
          </w:rPr>
          <w:instrText xml:space="preserve"> PAGEREF _Toc152067213 \h </w:instrText>
        </w:r>
        <w:r w:rsidR="003A78CF">
          <w:rPr>
            <w:noProof/>
            <w:webHidden/>
          </w:rPr>
        </w:r>
        <w:r w:rsidR="003A78CF">
          <w:rPr>
            <w:noProof/>
            <w:webHidden/>
          </w:rPr>
          <w:fldChar w:fldCharType="separate"/>
        </w:r>
        <w:r w:rsidR="003A78CF">
          <w:rPr>
            <w:noProof/>
            <w:webHidden/>
          </w:rPr>
          <w:t>10</w:t>
        </w:r>
        <w:r w:rsidR="003A78CF">
          <w:rPr>
            <w:noProof/>
            <w:webHidden/>
          </w:rPr>
          <w:fldChar w:fldCharType="end"/>
        </w:r>
      </w:hyperlink>
    </w:p>
    <w:p w14:paraId="290ADB55" w14:textId="6524C0AC"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4" w:history="1">
        <w:r w:rsidR="003A78CF" w:rsidRPr="007874F7">
          <w:rPr>
            <w:rStyle w:val="Hyperlink"/>
            <w:noProof/>
          </w:rPr>
          <w:t>Indicator: Engagement with businesses</w:t>
        </w:r>
        <w:r w:rsidR="003A78CF">
          <w:rPr>
            <w:noProof/>
            <w:webHidden/>
          </w:rPr>
          <w:tab/>
        </w:r>
        <w:r w:rsidR="003A78CF">
          <w:rPr>
            <w:noProof/>
            <w:webHidden/>
          </w:rPr>
          <w:fldChar w:fldCharType="begin"/>
        </w:r>
        <w:r w:rsidR="003A78CF">
          <w:rPr>
            <w:noProof/>
            <w:webHidden/>
          </w:rPr>
          <w:instrText xml:space="preserve"> PAGEREF _Toc152067214 \h </w:instrText>
        </w:r>
        <w:r w:rsidR="003A78CF">
          <w:rPr>
            <w:noProof/>
            <w:webHidden/>
          </w:rPr>
        </w:r>
        <w:r w:rsidR="003A78CF">
          <w:rPr>
            <w:noProof/>
            <w:webHidden/>
          </w:rPr>
          <w:fldChar w:fldCharType="separate"/>
        </w:r>
        <w:r w:rsidR="003A78CF">
          <w:rPr>
            <w:noProof/>
            <w:webHidden/>
          </w:rPr>
          <w:t>11</w:t>
        </w:r>
        <w:r w:rsidR="003A78CF">
          <w:rPr>
            <w:noProof/>
            <w:webHidden/>
          </w:rPr>
          <w:fldChar w:fldCharType="end"/>
        </w:r>
      </w:hyperlink>
    </w:p>
    <w:p w14:paraId="208D1217" w14:textId="51E36739"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5" w:history="1">
        <w:r w:rsidR="003A78CF" w:rsidRPr="007874F7">
          <w:rPr>
            <w:rStyle w:val="Hyperlink"/>
            <w:noProof/>
          </w:rPr>
          <w:t>Performance against output performance measures</w:t>
        </w:r>
        <w:r w:rsidR="003A78CF">
          <w:rPr>
            <w:noProof/>
            <w:webHidden/>
          </w:rPr>
          <w:tab/>
        </w:r>
        <w:r w:rsidR="003A78CF">
          <w:rPr>
            <w:noProof/>
            <w:webHidden/>
          </w:rPr>
          <w:fldChar w:fldCharType="begin"/>
        </w:r>
        <w:r w:rsidR="003A78CF">
          <w:rPr>
            <w:noProof/>
            <w:webHidden/>
          </w:rPr>
          <w:instrText xml:space="preserve"> PAGEREF _Toc152067215 \h </w:instrText>
        </w:r>
        <w:r w:rsidR="003A78CF">
          <w:rPr>
            <w:noProof/>
            <w:webHidden/>
          </w:rPr>
        </w:r>
        <w:r w:rsidR="003A78CF">
          <w:rPr>
            <w:noProof/>
            <w:webHidden/>
          </w:rPr>
          <w:fldChar w:fldCharType="separate"/>
        </w:r>
        <w:r w:rsidR="003A78CF">
          <w:rPr>
            <w:noProof/>
            <w:webHidden/>
          </w:rPr>
          <w:t>13</w:t>
        </w:r>
        <w:r w:rsidR="003A78CF">
          <w:rPr>
            <w:noProof/>
            <w:webHidden/>
          </w:rPr>
          <w:fldChar w:fldCharType="end"/>
        </w:r>
      </w:hyperlink>
    </w:p>
    <w:p w14:paraId="5EFBB766" w14:textId="78D83165"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6" w:history="1">
        <w:r w:rsidR="003A78CF" w:rsidRPr="007874F7">
          <w:rPr>
            <w:rStyle w:val="Hyperlink"/>
            <w:noProof/>
          </w:rPr>
          <w:t>Objective 3: Be a globally connected economy</w:t>
        </w:r>
        <w:r w:rsidR="003A78CF">
          <w:rPr>
            <w:noProof/>
            <w:webHidden/>
          </w:rPr>
          <w:tab/>
        </w:r>
        <w:r w:rsidR="003A78CF">
          <w:rPr>
            <w:noProof/>
            <w:webHidden/>
          </w:rPr>
          <w:fldChar w:fldCharType="begin"/>
        </w:r>
        <w:r w:rsidR="003A78CF">
          <w:rPr>
            <w:noProof/>
            <w:webHidden/>
          </w:rPr>
          <w:instrText xml:space="preserve"> PAGEREF _Toc152067216 \h </w:instrText>
        </w:r>
        <w:r w:rsidR="003A78CF">
          <w:rPr>
            <w:noProof/>
            <w:webHidden/>
          </w:rPr>
        </w:r>
        <w:r w:rsidR="003A78CF">
          <w:rPr>
            <w:noProof/>
            <w:webHidden/>
          </w:rPr>
          <w:fldChar w:fldCharType="separate"/>
        </w:r>
        <w:r w:rsidR="003A78CF">
          <w:rPr>
            <w:noProof/>
            <w:webHidden/>
          </w:rPr>
          <w:t>16</w:t>
        </w:r>
        <w:r w:rsidR="003A78CF">
          <w:rPr>
            <w:noProof/>
            <w:webHidden/>
          </w:rPr>
          <w:fldChar w:fldCharType="end"/>
        </w:r>
      </w:hyperlink>
    </w:p>
    <w:p w14:paraId="79B7A2FC" w14:textId="6FF8CCB6"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7" w:history="1">
        <w:r w:rsidR="003A78CF" w:rsidRPr="007874F7">
          <w:rPr>
            <w:rStyle w:val="Hyperlink"/>
            <w:noProof/>
          </w:rPr>
          <w:t>Indicator: Export sales generated from government programs</w:t>
        </w:r>
        <w:r w:rsidR="003A78CF">
          <w:rPr>
            <w:noProof/>
            <w:webHidden/>
          </w:rPr>
          <w:tab/>
        </w:r>
        <w:r w:rsidR="003A78CF">
          <w:rPr>
            <w:noProof/>
            <w:webHidden/>
          </w:rPr>
          <w:fldChar w:fldCharType="begin"/>
        </w:r>
        <w:r w:rsidR="003A78CF">
          <w:rPr>
            <w:noProof/>
            <w:webHidden/>
          </w:rPr>
          <w:instrText xml:space="preserve"> PAGEREF _Toc152067217 \h </w:instrText>
        </w:r>
        <w:r w:rsidR="003A78CF">
          <w:rPr>
            <w:noProof/>
            <w:webHidden/>
          </w:rPr>
        </w:r>
        <w:r w:rsidR="003A78CF">
          <w:rPr>
            <w:noProof/>
            <w:webHidden/>
          </w:rPr>
          <w:fldChar w:fldCharType="separate"/>
        </w:r>
        <w:r w:rsidR="003A78CF">
          <w:rPr>
            <w:noProof/>
            <w:webHidden/>
          </w:rPr>
          <w:t>17</w:t>
        </w:r>
        <w:r w:rsidR="003A78CF">
          <w:rPr>
            <w:noProof/>
            <w:webHidden/>
          </w:rPr>
          <w:fldChar w:fldCharType="end"/>
        </w:r>
      </w:hyperlink>
    </w:p>
    <w:p w14:paraId="14F4A312" w14:textId="1F9DD0E8"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8" w:history="1">
        <w:r w:rsidR="003A78CF" w:rsidRPr="007874F7">
          <w:rPr>
            <w:rStyle w:val="Hyperlink"/>
            <w:noProof/>
          </w:rPr>
          <w:t>Indicator: International students attracted to Victoria</w:t>
        </w:r>
        <w:r w:rsidR="003A78CF">
          <w:rPr>
            <w:noProof/>
            <w:webHidden/>
          </w:rPr>
          <w:tab/>
        </w:r>
        <w:r w:rsidR="003A78CF">
          <w:rPr>
            <w:noProof/>
            <w:webHidden/>
          </w:rPr>
          <w:fldChar w:fldCharType="begin"/>
        </w:r>
        <w:r w:rsidR="003A78CF">
          <w:rPr>
            <w:noProof/>
            <w:webHidden/>
          </w:rPr>
          <w:instrText xml:space="preserve"> PAGEREF _Toc152067218 \h </w:instrText>
        </w:r>
        <w:r w:rsidR="003A78CF">
          <w:rPr>
            <w:noProof/>
            <w:webHidden/>
          </w:rPr>
        </w:r>
        <w:r w:rsidR="003A78CF">
          <w:rPr>
            <w:noProof/>
            <w:webHidden/>
          </w:rPr>
          <w:fldChar w:fldCharType="separate"/>
        </w:r>
        <w:r w:rsidR="003A78CF">
          <w:rPr>
            <w:noProof/>
            <w:webHidden/>
          </w:rPr>
          <w:t>18</w:t>
        </w:r>
        <w:r w:rsidR="003A78CF">
          <w:rPr>
            <w:noProof/>
            <w:webHidden/>
          </w:rPr>
          <w:fldChar w:fldCharType="end"/>
        </w:r>
      </w:hyperlink>
    </w:p>
    <w:p w14:paraId="0820B765" w14:textId="077F58D8"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19" w:history="1">
        <w:r w:rsidR="003A78CF" w:rsidRPr="007874F7">
          <w:rPr>
            <w:rStyle w:val="Hyperlink"/>
            <w:noProof/>
          </w:rPr>
          <w:t>Indicator: Jobs, wages and innovation expenditure generated from international investment secured through Government facilitation services and assistance.</w:t>
        </w:r>
        <w:r w:rsidR="003A78CF">
          <w:rPr>
            <w:noProof/>
            <w:webHidden/>
          </w:rPr>
          <w:tab/>
        </w:r>
        <w:r w:rsidR="003A78CF">
          <w:rPr>
            <w:noProof/>
            <w:webHidden/>
          </w:rPr>
          <w:fldChar w:fldCharType="begin"/>
        </w:r>
        <w:r w:rsidR="003A78CF">
          <w:rPr>
            <w:noProof/>
            <w:webHidden/>
          </w:rPr>
          <w:instrText xml:space="preserve"> PAGEREF _Toc152067219 \h </w:instrText>
        </w:r>
        <w:r w:rsidR="003A78CF">
          <w:rPr>
            <w:noProof/>
            <w:webHidden/>
          </w:rPr>
        </w:r>
        <w:r w:rsidR="003A78CF">
          <w:rPr>
            <w:noProof/>
            <w:webHidden/>
          </w:rPr>
          <w:fldChar w:fldCharType="separate"/>
        </w:r>
        <w:r w:rsidR="003A78CF">
          <w:rPr>
            <w:noProof/>
            <w:webHidden/>
          </w:rPr>
          <w:t>20</w:t>
        </w:r>
        <w:r w:rsidR="003A78CF">
          <w:rPr>
            <w:noProof/>
            <w:webHidden/>
          </w:rPr>
          <w:fldChar w:fldCharType="end"/>
        </w:r>
      </w:hyperlink>
    </w:p>
    <w:p w14:paraId="6A28469A" w14:textId="2ABF416C"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0" w:history="1">
        <w:r w:rsidR="003A78CF" w:rsidRPr="007874F7">
          <w:rPr>
            <w:rStyle w:val="Hyperlink"/>
            <w:noProof/>
          </w:rPr>
          <w:t>Performance against output performance measures</w:t>
        </w:r>
        <w:r w:rsidR="003A78CF">
          <w:rPr>
            <w:noProof/>
            <w:webHidden/>
          </w:rPr>
          <w:tab/>
        </w:r>
        <w:r w:rsidR="003A78CF">
          <w:rPr>
            <w:noProof/>
            <w:webHidden/>
          </w:rPr>
          <w:fldChar w:fldCharType="begin"/>
        </w:r>
        <w:r w:rsidR="003A78CF">
          <w:rPr>
            <w:noProof/>
            <w:webHidden/>
          </w:rPr>
          <w:instrText xml:space="preserve"> PAGEREF _Toc152067220 \h </w:instrText>
        </w:r>
        <w:r w:rsidR="003A78CF">
          <w:rPr>
            <w:noProof/>
            <w:webHidden/>
          </w:rPr>
        </w:r>
        <w:r w:rsidR="003A78CF">
          <w:rPr>
            <w:noProof/>
            <w:webHidden/>
          </w:rPr>
          <w:fldChar w:fldCharType="separate"/>
        </w:r>
        <w:r w:rsidR="003A78CF">
          <w:rPr>
            <w:noProof/>
            <w:webHidden/>
          </w:rPr>
          <w:t>23</w:t>
        </w:r>
        <w:r w:rsidR="003A78CF">
          <w:rPr>
            <w:noProof/>
            <w:webHidden/>
          </w:rPr>
          <w:fldChar w:fldCharType="end"/>
        </w:r>
      </w:hyperlink>
    </w:p>
    <w:p w14:paraId="26296288" w14:textId="263E67D4"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1" w:history="1">
        <w:r w:rsidR="003A78CF" w:rsidRPr="007874F7">
          <w:rPr>
            <w:rStyle w:val="Hyperlink"/>
            <w:noProof/>
          </w:rPr>
          <w:t xml:space="preserve">Objective 4: Build prosperous and liveable suburbs and regions, and promote </w:t>
        </w:r>
        <w:r w:rsidR="003A78CF">
          <w:rPr>
            <w:rStyle w:val="Hyperlink"/>
            <w:noProof/>
          </w:rPr>
          <w:br/>
        </w:r>
        <w:r w:rsidR="003A78CF" w:rsidRPr="007874F7">
          <w:rPr>
            <w:rStyle w:val="Hyperlink"/>
            <w:noProof/>
          </w:rPr>
          <w:t>outdoor recreation</w:t>
        </w:r>
        <w:r w:rsidR="003A78CF">
          <w:rPr>
            <w:noProof/>
            <w:webHidden/>
          </w:rPr>
          <w:tab/>
        </w:r>
        <w:r w:rsidR="003A78CF">
          <w:rPr>
            <w:noProof/>
            <w:webHidden/>
          </w:rPr>
          <w:fldChar w:fldCharType="begin"/>
        </w:r>
        <w:r w:rsidR="003A78CF">
          <w:rPr>
            <w:noProof/>
            <w:webHidden/>
          </w:rPr>
          <w:instrText xml:space="preserve"> PAGEREF _Toc152067221 \h </w:instrText>
        </w:r>
        <w:r w:rsidR="003A78CF">
          <w:rPr>
            <w:noProof/>
            <w:webHidden/>
          </w:rPr>
        </w:r>
        <w:r w:rsidR="003A78CF">
          <w:rPr>
            <w:noProof/>
            <w:webHidden/>
          </w:rPr>
          <w:fldChar w:fldCharType="separate"/>
        </w:r>
        <w:r w:rsidR="003A78CF">
          <w:rPr>
            <w:noProof/>
            <w:webHidden/>
          </w:rPr>
          <w:t>27</w:t>
        </w:r>
        <w:r w:rsidR="003A78CF">
          <w:rPr>
            <w:noProof/>
            <w:webHidden/>
          </w:rPr>
          <w:fldChar w:fldCharType="end"/>
        </w:r>
      </w:hyperlink>
    </w:p>
    <w:p w14:paraId="1CB5B40E" w14:textId="4321F9E5"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2" w:history="1">
        <w:r w:rsidR="003A78CF" w:rsidRPr="007874F7">
          <w:rPr>
            <w:rStyle w:val="Hyperlink"/>
            <w:noProof/>
          </w:rPr>
          <w:t xml:space="preserve">Indicator: Jobs and investment secured through Government facilitation services </w:t>
        </w:r>
        <w:r w:rsidR="003A78CF">
          <w:rPr>
            <w:rStyle w:val="Hyperlink"/>
            <w:noProof/>
          </w:rPr>
          <w:br/>
        </w:r>
        <w:r w:rsidR="003A78CF" w:rsidRPr="007874F7">
          <w:rPr>
            <w:rStyle w:val="Hyperlink"/>
            <w:noProof/>
          </w:rPr>
          <w:t>and assistance</w:t>
        </w:r>
        <w:r w:rsidR="003A78CF">
          <w:rPr>
            <w:noProof/>
            <w:webHidden/>
          </w:rPr>
          <w:tab/>
        </w:r>
        <w:r w:rsidR="003A78CF">
          <w:rPr>
            <w:noProof/>
            <w:webHidden/>
          </w:rPr>
          <w:fldChar w:fldCharType="begin"/>
        </w:r>
        <w:r w:rsidR="003A78CF">
          <w:rPr>
            <w:noProof/>
            <w:webHidden/>
          </w:rPr>
          <w:instrText xml:space="preserve"> PAGEREF _Toc152067222 \h </w:instrText>
        </w:r>
        <w:r w:rsidR="003A78CF">
          <w:rPr>
            <w:noProof/>
            <w:webHidden/>
          </w:rPr>
        </w:r>
        <w:r w:rsidR="003A78CF">
          <w:rPr>
            <w:noProof/>
            <w:webHidden/>
          </w:rPr>
          <w:fldChar w:fldCharType="separate"/>
        </w:r>
        <w:r w:rsidR="003A78CF">
          <w:rPr>
            <w:noProof/>
            <w:webHidden/>
          </w:rPr>
          <w:t>27</w:t>
        </w:r>
        <w:r w:rsidR="003A78CF">
          <w:rPr>
            <w:noProof/>
            <w:webHidden/>
          </w:rPr>
          <w:fldChar w:fldCharType="end"/>
        </w:r>
      </w:hyperlink>
    </w:p>
    <w:p w14:paraId="01C93CDB" w14:textId="14A41BC2"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3" w:history="1">
        <w:r w:rsidR="003A78CF" w:rsidRPr="007874F7">
          <w:rPr>
            <w:rStyle w:val="Hyperlink"/>
            <w:noProof/>
          </w:rPr>
          <w:t>Indicator: Projects and activities delivered to support economic and community outcomes</w:t>
        </w:r>
        <w:r w:rsidR="003A78CF">
          <w:rPr>
            <w:noProof/>
            <w:webHidden/>
          </w:rPr>
          <w:tab/>
        </w:r>
        <w:r w:rsidR="003A78CF">
          <w:rPr>
            <w:noProof/>
            <w:webHidden/>
          </w:rPr>
          <w:fldChar w:fldCharType="begin"/>
        </w:r>
        <w:r w:rsidR="003A78CF">
          <w:rPr>
            <w:noProof/>
            <w:webHidden/>
          </w:rPr>
          <w:instrText xml:space="preserve"> PAGEREF _Toc152067223 \h </w:instrText>
        </w:r>
        <w:r w:rsidR="003A78CF">
          <w:rPr>
            <w:noProof/>
            <w:webHidden/>
          </w:rPr>
        </w:r>
        <w:r w:rsidR="003A78CF">
          <w:rPr>
            <w:noProof/>
            <w:webHidden/>
          </w:rPr>
          <w:fldChar w:fldCharType="separate"/>
        </w:r>
        <w:r w:rsidR="003A78CF">
          <w:rPr>
            <w:noProof/>
            <w:webHidden/>
          </w:rPr>
          <w:t>29</w:t>
        </w:r>
        <w:r w:rsidR="003A78CF">
          <w:rPr>
            <w:noProof/>
            <w:webHidden/>
          </w:rPr>
          <w:fldChar w:fldCharType="end"/>
        </w:r>
      </w:hyperlink>
    </w:p>
    <w:p w14:paraId="203040C7" w14:textId="740DC8C8"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4" w:history="1">
        <w:r w:rsidR="003A78CF" w:rsidRPr="007874F7">
          <w:rPr>
            <w:rStyle w:val="Hyperlink"/>
            <w:noProof/>
          </w:rPr>
          <w:t>Indicator: Compliance activities to protect fish and game resources</w:t>
        </w:r>
        <w:r w:rsidR="003A78CF">
          <w:rPr>
            <w:noProof/>
            <w:webHidden/>
          </w:rPr>
          <w:tab/>
        </w:r>
        <w:r w:rsidR="003A78CF">
          <w:rPr>
            <w:noProof/>
            <w:webHidden/>
          </w:rPr>
          <w:fldChar w:fldCharType="begin"/>
        </w:r>
        <w:r w:rsidR="003A78CF">
          <w:rPr>
            <w:noProof/>
            <w:webHidden/>
          </w:rPr>
          <w:instrText xml:space="preserve"> PAGEREF _Toc152067224 \h </w:instrText>
        </w:r>
        <w:r w:rsidR="003A78CF">
          <w:rPr>
            <w:noProof/>
            <w:webHidden/>
          </w:rPr>
        </w:r>
        <w:r w:rsidR="003A78CF">
          <w:rPr>
            <w:noProof/>
            <w:webHidden/>
          </w:rPr>
          <w:fldChar w:fldCharType="separate"/>
        </w:r>
        <w:r w:rsidR="003A78CF">
          <w:rPr>
            <w:noProof/>
            <w:webHidden/>
          </w:rPr>
          <w:t>32</w:t>
        </w:r>
        <w:r w:rsidR="003A78CF">
          <w:rPr>
            <w:noProof/>
            <w:webHidden/>
          </w:rPr>
          <w:fldChar w:fldCharType="end"/>
        </w:r>
      </w:hyperlink>
    </w:p>
    <w:p w14:paraId="7631D401" w14:textId="64BC6A1F"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5" w:history="1">
        <w:r w:rsidR="003A78CF" w:rsidRPr="007874F7">
          <w:rPr>
            <w:rStyle w:val="Hyperlink"/>
            <w:noProof/>
          </w:rPr>
          <w:t>Indicator: Improved recreational fishing and boating services and facilities</w:t>
        </w:r>
        <w:r w:rsidR="003A78CF">
          <w:rPr>
            <w:noProof/>
            <w:webHidden/>
          </w:rPr>
          <w:tab/>
        </w:r>
        <w:r w:rsidR="003A78CF">
          <w:rPr>
            <w:noProof/>
            <w:webHidden/>
          </w:rPr>
          <w:fldChar w:fldCharType="begin"/>
        </w:r>
        <w:r w:rsidR="003A78CF">
          <w:rPr>
            <w:noProof/>
            <w:webHidden/>
          </w:rPr>
          <w:instrText xml:space="preserve"> PAGEREF _Toc152067225 \h </w:instrText>
        </w:r>
        <w:r w:rsidR="003A78CF">
          <w:rPr>
            <w:noProof/>
            <w:webHidden/>
          </w:rPr>
        </w:r>
        <w:r w:rsidR="003A78CF">
          <w:rPr>
            <w:noProof/>
            <w:webHidden/>
          </w:rPr>
          <w:fldChar w:fldCharType="separate"/>
        </w:r>
        <w:r w:rsidR="003A78CF">
          <w:rPr>
            <w:noProof/>
            <w:webHidden/>
          </w:rPr>
          <w:t>32</w:t>
        </w:r>
        <w:r w:rsidR="003A78CF">
          <w:rPr>
            <w:noProof/>
            <w:webHidden/>
          </w:rPr>
          <w:fldChar w:fldCharType="end"/>
        </w:r>
      </w:hyperlink>
    </w:p>
    <w:p w14:paraId="709F26AB" w14:textId="787C8289"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6" w:history="1">
        <w:r w:rsidR="003A78CF" w:rsidRPr="007874F7">
          <w:rPr>
            <w:rStyle w:val="Hyperlink"/>
            <w:noProof/>
          </w:rPr>
          <w:t>Performance against output performance measures</w:t>
        </w:r>
        <w:r w:rsidR="003A78CF">
          <w:rPr>
            <w:noProof/>
            <w:webHidden/>
          </w:rPr>
          <w:tab/>
        </w:r>
        <w:r w:rsidR="003A78CF">
          <w:rPr>
            <w:noProof/>
            <w:webHidden/>
          </w:rPr>
          <w:fldChar w:fldCharType="begin"/>
        </w:r>
        <w:r w:rsidR="003A78CF">
          <w:rPr>
            <w:noProof/>
            <w:webHidden/>
          </w:rPr>
          <w:instrText xml:space="preserve"> PAGEREF _Toc152067226 \h </w:instrText>
        </w:r>
        <w:r w:rsidR="003A78CF">
          <w:rPr>
            <w:noProof/>
            <w:webHidden/>
          </w:rPr>
        </w:r>
        <w:r w:rsidR="003A78CF">
          <w:rPr>
            <w:noProof/>
            <w:webHidden/>
          </w:rPr>
          <w:fldChar w:fldCharType="separate"/>
        </w:r>
        <w:r w:rsidR="003A78CF">
          <w:rPr>
            <w:noProof/>
            <w:webHidden/>
          </w:rPr>
          <w:t>33</w:t>
        </w:r>
        <w:r w:rsidR="003A78CF">
          <w:rPr>
            <w:noProof/>
            <w:webHidden/>
          </w:rPr>
          <w:fldChar w:fldCharType="end"/>
        </w:r>
      </w:hyperlink>
    </w:p>
    <w:p w14:paraId="249B5526" w14:textId="7435CCF1"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7" w:history="1">
        <w:r w:rsidR="003A78CF" w:rsidRPr="007874F7">
          <w:rPr>
            <w:rStyle w:val="Hyperlink"/>
            <w:noProof/>
          </w:rPr>
          <w:t>Objective 5: Grow vibrant, active and creative communities</w:t>
        </w:r>
        <w:r w:rsidR="003A78CF">
          <w:rPr>
            <w:noProof/>
            <w:webHidden/>
          </w:rPr>
          <w:tab/>
        </w:r>
        <w:r w:rsidR="003A78CF">
          <w:rPr>
            <w:noProof/>
            <w:webHidden/>
          </w:rPr>
          <w:fldChar w:fldCharType="begin"/>
        </w:r>
        <w:r w:rsidR="003A78CF">
          <w:rPr>
            <w:noProof/>
            <w:webHidden/>
          </w:rPr>
          <w:instrText xml:space="preserve"> PAGEREF _Toc152067227 \h </w:instrText>
        </w:r>
        <w:r w:rsidR="003A78CF">
          <w:rPr>
            <w:noProof/>
            <w:webHidden/>
          </w:rPr>
        </w:r>
        <w:r w:rsidR="003A78CF">
          <w:rPr>
            <w:noProof/>
            <w:webHidden/>
          </w:rPr>
          <w:fldChar w:fldCharType="separate"/>
        </w:r>
        <w:r w:rsidR="003A78CF">
          <w:rPr>
            <w:noProof/>
            <w:webHidden/>
          </w:rPr>
          <w:t>39</w:t>
        </w:r>
        <w:r w:rsidR="003A78CF">
          <w:rPr>
            <w:noProof/>
            <w:webHidden/>
          </w:rPr>
          <w:fldChar w:fldCharType="end"/>
        </w:r>
      </w:hyperlink>
    </w:p>
    <w:p w14:paraId="761E635A" w14:textId="4E2245E5"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8" w:history="1">
        <w:r w:rsidR="003A78CF" w:rsidRPr="007874F7">
          <w:rPr>
            <w:rStyle w:val="Hyperlink"/>
            <w:noProof/>
          </w:rPr>
          <w:t xml:space="preserve">Indicator: Attendances at Creative Industries agencies and funded major performing </w:t>
        </w:r>
        <w:r w:rsidR="003A78CF">
          <w:rPr>
            <w:rStyle w:val="Hyperlink"/>
            <w:noProof/>
          </w:rPr>
          <w:br/>
        </w:r>
        <w:r w:rsidR="003A78CF" w:rsidRPr="007874F7">
          <w:rPr>
            <w:rStyle w:val="Hyperlink"/>
            <w:noProof/>
          </w:rPr>
          <w:t>arts organisations</w:t>
        </w:r>
        <w:r w:rsidR="003A78CF">
          <w:rPr>
            <w:noProof/>
            <w:webHidden/>
          </w:rPr>
          <w:tab/>
        </w:r>
        <w:r w:rsidR="003A78CF">
          <w:rPr>
            <w:noProof/>
            <w:webHidden/>
          </w:rPr>
          <w:fldChar w:fldCharType="begin"/>
        </w:r>
        <w:r w:rsidR="003A78CF">
          <w:rPr>
            <w:noProof/>
            <w:webHidden/>
          </w:rPr>
          <w:instrText xml:space="preserve"> PAGEREF _Toc152067228 \h </w:instrText>
        </w:r>
        <w:r w:rsidR="003A78CF">
          <w:rPr>
            <w:noProof/>
            <w:webHidden/>
          </w:rPr>
        </w:r>
        <w:r w:rsidR="003A78CF">
          <w:rPr>
            <w:noProof/>
            <w:webHidden/>
          </w:rPr>
          <w:fldChar w:fldCharType="separate"/>
        </w:r>
        <w:r w:rsidR="003A78CF">
          <w:rPr>
            <w:noProof/>
            <w:webHidden/>
          </w:rPr>
          <w:t>40</w:t>
        </w:r>
        <w:r w:rsidR="003A78CF">
          <w:rPr>
            <w:noProof/>
            <w:webHidden/>
          </w:rPr>
          <w:fldChar w:fldCharType="end"/>
        </w:r>
      </w:hyperlink>
    </w:p>
    <w:p w14:paraId="06D657A7" w14:textId="5EF2CB0B"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29" w:history="1">
        <w:r w:rsidR="003A78CF" w:rsidRPr="007874F7">
          <w:rPr>
            <w:rStyle w:val="Hyperlink"/>
            <w:noProof/>
          </w:rPr>
          <w:t>Indicator: Employment in the Creative Industries sector</w:t>
        </w:r>
        <w:r w:rsidR="003A78CF">
          <w:rPr>
            <w:noProof/>
            <w:webHidden/>
          </w:rPr>
          <w:tab/>
        </w:r>
        <w:r w:rsidR="003A78CF">
          <w:rPr>
            <w:noProof/>
            <w:webHidden/>
          </w:rPr>
          <w:fldChar w:fldCharType="begin"/>
        </w:r>
        <w:r w:rsidR="003A78CF">
          <w:rPr>
            <w:noProof/>
            <w:webHidden/>
          </w:rPr>
          <w:instrText xml:space="preserve"> PAGEREF _Toc152067229 \h </w:instrText>
        </w:r>
        <w:r w:rsidR="003A78CF">
          <w:rPr>
            <w:noProof/>
            <w:webHidden/>
          </w:rPr>
        </w:r>
        <w:r w:rsidR="003A78CF">
          <w:rPr>
            <w:noProof/>
            <w:webHidden/>
          </w:rPr>
          <w:fldChar w:fldCharType="separate"/>
        </w:r>
        <w:r w:rsidR="003A78CF">
          <w:rPr>
            <w:noProof/>
            <w:webHidden/>
          </w:rPr>
          <w:t>43</w:t>
        </w:r>
        <w:r w:rsidR="003A78CF">
          <w:rPr>
            <w:noProof/>
            <w:webHidden/>
          </w:rPr>
          <w:fldChar w:fldCharType="end"/>
        </w:r>
      </w:hyperlink>
    </w:p>
    <w:p w14:paraId="67ED6121" w14:textId="0B843903"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0" w:history="1">
        <w:r w:rsidR="003A78CF" w:rsidRPr="007874F7">
          <w:rPr>
            <w:rStyle w:val="Hyperlink"/>
            <w:noProof/>
          </w:rPr>
          <w:t>Indicator: Employment in the Visitor Economy</w:t>
        </w:r>
        <w:r w:rsidR="003A78CF">
          <w:rPr>
            <w:noProof/>
            <w:webHidden/>
          </w:rPr>
          <w:tab/>
        </w:r>
        <w:r w:rsidR="003A78CF">
          <w:rPr>
            <w:noProof/>
            <w:webHidden/>
          </w:rPr>
          <w:fldChar w:fldCharType="begin"/>
        </w:r>
        <w:r w:rsidR="003A78CF">
          <w:rPr>
            <w:noProof/>
            <w:webHidden/>
          </w:rPr>
          <w:instrText xml:space="preserve"> PAGEREF _Toc152067230 \h </w:instrText>
        </w:r>
        <w:r w:rsidR="003A78CF">
          <w:rPr>
            <w:noProof/>
            <w:webHidden/>
          </w:rPr>
        </w:r>
        <w:r w:rsidR="003A78CF">
          <w:rPr>
            <w:noProof/>
            <w:webHidden/>
          </w:rPr>
          <w:fldChar w:fldCharType="separate"/>
        </w:r>
        <w:r w:rsidR="003A78CF">
          <w:rPr>
            <w:noProof/>
            <w:webHidden/>
          </w:rPr>
          <w:t>44</w:t>
        </w:r>
        <w:r w:rsidR="003A78CF">
          <w:rPr>
            <w:noProof/>
            <w:webHidden/>
          </w:rPr>
          <w:fldChar w:fldCharType="end"/>
        </w:r>
      </w:hyperlink>
    </w:p>
    <w:p w14:paraId="18B4296D" w14:textId="7C819154"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1" w:history="1">
        <w:r w:rsidR="003A78CF" w:rsidRPr="007874F7">
          <w:rPr>
            <w:rStyle w:val="Hyperlink"/>
            <w:noProof/>
          </w:rPr>
          <w:t>Indicator: Tourists attracted to Victoria</w:t>
        </w:r>
        <w:r w:rsidR="003A78CF">
          <w:rPr>
            <w:noProof/>
            <w:webHidden/>
          </w:rPr>
          <w:tab/>
        </w:r>
        <w:r w:rsidR="003A78CF">
          <w:rPr>
            <w:noProof/>
            <w:webHidden/>
          </w:rPr>
          <w:fldChar w:fldCharType="begin"/>
        </w:r>
        <w:r w:rsidR="003A78CF">
          <w:rPr>
            <w:noProof/>
            <w:webHidden/>
          </w:rPr>
          <w:instrText xml:space="preserve"> PAGEREF _Toc152067231 \h </w:instrText>
        </w:r>
        <w:r w:rsidR="003A78CF">
          <w:rPr>
            <w:noProof/>
            <w:webHidden/>
          </w:rPr>
        </w:r>
        <w:r w:rsidR="003A78CF">
          <w:rPr>
            <w:noProof/>
            <w:webHidden/>
          </w:rPr>
          <w:fldChar w:fldCharType="separate"/>
        </w:r>
        <w:r w:rsidR="003A78CF">
          <w:rPr>
            <w:noProof/>
            <w:webHidden/>
          </w:rPr>
          <w:t>46</w:t>
        </w:r>
        <w:r w:rsidR="003A78CF">
          <w:rPr>
            <w:noProof/>
            <w:webHidden/>
          </w:rPr>
          <w:fldChar w:fldCharType="end"/>
        </w:r>
      </w:hyperlink>
    </w:p>
    <w:p w14:paraId="52A5E66E" w14:textId="0DA3DE1D"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2" w:history="1">
        <w:r w:rsidR="003A78CF" w:rsidRPr="007874F7">
          <w:rPr>
            <w:rStyle w:val="Hyperlink"/>
            <w:noProof/>
          </w:rPr>
          <w:t xml:space="preserve">Indicator: Increase rates of community engagement, including through participation </w:t>
        </w:r>
        <w:r w:rsidR="003A78CF">
          <w:rPr>
            <w:rStyle w:val="Hyperlink"/>
            <w:noProof/>
          </w:rPr>
          <w:br/>
        </w:r>
        <w:r w:rsidR="003A78CF" w:rsidRPr="007874F7">
          <w:rPr>
            <w:rStyle w:val="Hyperlink"/>
            <w:noProof/>
          </w:rPr>
          <w:t>in sport and recreation</w:t>
        </w:r>
        <w:r w:rsidR="003A78CF">
          <w:rPr>
            <w:noProof/>
            <w:webHidden/>
          </w:rPr>
          <w:tab/>
        </w:r>
        <w:r w:rsidR="003A78CF">
          <w:rPr>
            <w:noProof/>
            <w:webHidden/>
          </w:rPr>
          <w:fldChar w:fldCharType="begin"/>
        </w:r>
        <w:r w:rsidR="003A78CF">
          <w:rPr>
            <w:noProof/>
            <w:webHidden/>
          </w:rPr>
          <w:instrText xml:space="preserve"> PAGEREF _Toc152067232 \h </w:instrText>
        </w:r>
        <w:r w:rsidR="003A78CF">
          <w:rPr>
            <w:noProof/>
            <w:webHidden/>
          </w:rPr>
        </w:r>
        <w:r w:rsidR="003A78CF">
          <w:rPr>
            <w:noProof/>
            <w:webHidden/>
          </w:rPr>
          <w:fldChar w:fldCharType="separate"/>
        </w:r>
        <w:r w:rsidR="003A78CF">
          <w:rPr>
            <w:noProof/>
            <w:webHidden/>
          </w:rPr>
          <w:t>49</w:t>
        </w:r>
        <w:r w:rsidR="003A78CF">
          <w:rPr>
            <w:noProof/>
            <w:webHidden/>
          </w:rPr>
          <w:fldChar w:fldCharType="end"/>
        </w:r>
      </w:hyperlink>
    </w:p>
    <w:p w14:paraId="4185EDC4" w14:textId="2999CF30"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3" w:history="1">
        <w:r w:rsidR="003A78CF" w:rsidRPr="007874F7">
          <w:rPr>
            <w:rStyle w:val="Hyperlink"/>
            <w:noProof/>
          </w:rPr>
          <w:t>Performance against output performance measures</w:t>
        </w:r>
        <w:r w:rsidR="003A78CF">
          <w:rPr>
            <w:noProof/>
            <w:webHidden/>
          </w:rPr>
          <w:tab/>
        </w:r>
        <w:r w:rsidR="003A78CF">
          <w:rPr>
            <w:noProof/>
            <w:webHidden/>
          </w:rPr>
          <w:fldChar w:fldCharType="begin"/>
        </w:r>
        <w:r w:rsidR="003A78CF">
          <w:rPr>
            <w:noProof/>
            <w:webHidden/>
          </w:rPr>
          <w:instrText xml:space="preserve"> PAGEREF _Toc152067233 \h </w:instrText>
        </w:r>
        <w:r w:rsidR="003A78CF">
          <w:rPr>
            <w:noProof/>
            <w:webHidden/>
          </w:rPr>
        </w:r>
        <w:r w:rsidR="003A78CF">
          <w:rPr>
            <w:noProof/>
            <w:webHidden/>
          </w:rPr>
          <w:fldChar w:fldCharType="separate"/>
        </w:r>
        <w:r w:rsidR="003A78CF">
          <w:rPr>
            <w:noProof/>
            <w:webHidden/>
          </w:rPr>
          <w:t>51</w:t>
        </w:r>
        <w:r w:rsidR="003A78CF">
          <w:rPr>
            <w:noProof/>
            <w:webHidden/>
          </w:rPr>
          <w:fldChar w:fldCharType="end"/>
        </w:r>
      </w:hyperlink>
    </w:p>
    <w:p w14:paraId="49FF4FF2" w14:textId="13E03DAF"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4" w:history="1">
        <w:r w:rsidR="003A78CF" w:rsidRPr="007874F7">
          <w:rPr>
            <w:rStyle w:val="Hyperlink"/>
            <w:noProof/>
          </w:rPr>
          <w:t xml:space="preserve">Objective 6: Deliver high-quality training and skills to meet industry needs and jobs </w:t>
        </w:r>
        <w:r w:rsidR="003A78CF">
          <w:rPr>
            <w:rStyle w:val="Hyperlink"/>
            <w:noProof/>
          </w:rPr>
          <w:br/>
        </w:r>
        <w:r w:rsidR="003A78CF" w:rsidRPr="007874F7">
          <w:rPr>
            <w:rStyle w:val="Hyperlink"/>
            <w:noProof/>
          </w:rPr>
          <w:t>for a growing economy</w:t>
        </w:r>
        <w:r w:rsidR="003A78CF">
          <w:rPr>
            <w:noProof/>
            <w:webHidden/>
          </w:rPr>
          <w:tab/>
        </w:r>
        <w:r w:rsidR="003A78CF">
          <w:rPr>
            <w:noProof/>
            <w:webHidden/>
          </w:rPr>
          <w:fldChar w:fldCharType="begin"/>
        </w:r>
        <w:r w:rsidR="003A78CF">
          <w:rPr>
            <w:noProof/>
            <w:webHidden/>
          </w:rPr>
          <w:instrText xml:space="preserve"> PAGEREF _Toc152067234 \h </w:instrText>
        </w:r>
        <w:r w:rsidR="003A78CF">
          <w:rPr>
            <w:noProof/>
            <w:webHidden/>
          </w:rPr>
        </w:r>
        <w:r w:rsidR="003A78CF">
          <w:rPr>
            <w:noProof/>
            <w:webHidden/>
          </w:rPr>
          <w:fldChar w:fldCharType="separate"/>
        </w:r>
        <w:r w:rsidR="003A78CF">
          <w:rPr>
            <w:noProof/>
            <w:webHidden/>
          </w:rPr>
          <w:t>63</w:t>
        </w:r>
        <w:r w:rsidR="003A78CF">
          <w:rPr>
            <w:noProof/>
            <w:webHidden/>
          </w:rPr>
          <w:fldChar w:fldCharType="end"/>
        </w:r>
      </w:hyperlink>
    </w:p>
    <w:p w14:paraId="62AAC54A" w14:textId="039E05CF"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5" w:history="1">
        <w:r w:rsidR="003A78CF" w:rsidRPr="007874F7">
          <w:rPr>
            <w:rStyle w:val="Hyperlink"/>
            <w:noProof/>
          </w:rPr>
          <w:t>Indicator: Proportion of VET students satisfied with training</w:t>
        </w:r>
        <w:r w:rsidR="003A78CF">
          <w:rPr>
            <w:noProof/>
            <w:webHidden/>
          </w:rPr>
          <w:tab/>
        </w:r>
        <w:r w:rsidR="003A78CF">
          <w:rPr>
            <w:noProof/>
            <w:webHidden/>
          </w:rPr>
          <w:fldChar w:fldCharType="begin"/>
        </w:r>
        <w:r w:rsidR="003A78CF">
          <w:rPr>
            <w:noProof/>
            <w:webHidden/>
          </w:rPr>
          <w:instrText xml:space="preserve"> PAGEREF _Toc152067235 \h </w:instrText>
        </w:r>
        <w:r w:rsidR="003A78CF">
          <w:rPr>
            <w:noProof/>
            <w:webHidden/>
          </w:rPr>
        </w:r>
        <w:r w:rsidR="003A78CF">
          <w:rPr>
            <w:noProof/>
            <w:webHidden/>
          </w:rPr>
          <w:fldChar w:fldCharType="separate"/>
        </w:r>
        <w:r w:rsidR="003A78CF">
          <w:rPr>
            <w:noProof/>
            <w:webHidden/>
          </w:rPr>
          <w:t>64</w:t>
        </w:r>
        <w:r w:rsidR="003A78CF">
          <w:rPr>
            <w:noProof/>
            <w:webHidden/>
          </w:rPr>
          <w:fldChar w:fldCharType="end"/>
        </w:r>
      </w:hyperlink>
    </w:p>
    <w:p w14:paraId="4C5F8192" w14:textId="1CAB0DBC"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6" w:history="1">
        <w:r w:rsidR="003A78CF" w:rsidRPr="007874F7">
          <w:rPr>
            <w:rStyle w:val="Hyperlink"/>
            <w:noProof/>
          </w:rPr>
          <w:t xml:space="preserve">Indicator: Proportion of VET students with an improved employment status </w:t>
        </w:r>
        <w:r w:rsidR="003A78CF">
          <w:rPr>
            <w:rStyle w:val="Hyperlink"/>
            <w:noProof/>
          </w:rPr>
          <w:br/>
        </w:r>
        <w:r w:rsidR="003A78CF" w:rsidRPr="007874F7">
          <w:rPr>
            <w:rStyle w:val="Hyperlink"/>
            <w:noProof/>
          </w:rPr>
          <w:t>after training</w:t>
        </w:r>
        <w:r w:rsidR="003A78CF">
          <w:rPr>
            <w:noProof/>
            <w:webHidden/>
          </w:rPr>
          <w:tab/>
        </w:r>
        <w:r w:rsidR="003A78CF">
          <w:rPr>
            <w:noProof/>
            <w:webHidden/>
          </w:rPr>
          <w:fldChar w:fldCharType="begin"/>
        </w:r>
        <w:r w:rsidR="003A78CF">
          <w:rPr>
            <w:noProof/>
            <w:webHidden/>
          </w:rPr>
          <w:instrText xml:space="preserve"> PAGEREF _Toc152067236 \h </w:instrText>
        </w:r>
        <w:r w:rsidR="003A78CF">
          <w:rPr>
            <w:noProof/>
            <w:webHidden/>
          </w:rPr>
        </w:r>
        <w:r w:rsidR="003A78CF">
          <w:rPr>
            <w:noProof/>
            <w:webHidden/>
          </w:rPr>
          <w:fldChar w:fldCharType="separate"/>
        </w:r>
        <w:r w:rsidR="003A78CF">
          <w:rPr>
            <w:noProof/>
            <w:webHidden/>
          </w:rPr>
          <w:t>65</w:t>
        </w:r>
        <w:r w:rsidR="003A78CF">
          <w:rPr>
            <w:noProof/>
            <w:webHidden/>
          </w:rPr>
          <w:fldChar w:fldCharType="end"/>
        </w:r>
      </w:hyperlink>
    </w:p>
    <w:p w14:paraId="06FAA824" w14:textId="1B9E9D63"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7" w:history="1">
        <w:r w:rsidR="003A78CF" w:rsidRPr="007874F7">
          <w:rPr>
            <w:rStyle w:val="Hyperlink"/>
            <w:noProof/>
          </w:rPr>
          <w:t>Indicator: Proportion of VET students who achieved their main reason for training</w:t>
        </w:r>
        <w:r w:rsidR="003A78CF">
          <w:rPr>
            <w:noProof/>
            <w:webHidden/>
          </w:rPr>
          <w:tab/>
        </w:r>
        <w:r w:rsidR="003A78CF">
          <w:rPr>
            <w:noProof/>
            <w:webHidden/>
          </w:rPr>
          <w:fldChar w:fldCharType="begin"/>
        </w:r>
        <w:r w:rsidR="003A78CF">
          <w:rPr>
            <w:noProof/>
            <w:webHidden/>
          </w:rPr>
          <w:instrText xml:space="preserve"> PAGEREF _Toc152067237 \h </w:instrText>
        </w:r>
        <w:r w:rsidR="003A78CF">
          <w:rPr>
            <w:noProof/>
            <w:webHidden/>
          </w:rPr>
        </w:r>
        <w:r w:rsidR="003A78CF">
          <w:rPr>
            <w:noProof/>
            <w:webHidden/>
          </w:rPr>
          <w:fldChar w:fldCharType="separate"/>
        </w:r>
        <w:r w:rsidR="003A78CF">
          <w:rPr>
            <w:noProof/>
            <w:webHidden/>
          </w:rPr>
          <w:t>66</w:t>
        </w:r>
        <w:r w:rsidR="003A78CF">
          <w:rPr>
            <w:noProof/>
            <w:webHidden/>
          </w:rPr>
          <w:fldChar w:fldCharType="end"/>
        </w:r>
      </w:hyperlink>
    </w:p>
    <w:p w14:paraId="59112858" w14:textId="7731AA3F" w:rsidR="003A78CF" w:rsidRDefault="00A757EA">
      <w:pPr>
        <w:pStyle w:val="TOC2"/>
        <w:tabs>
          <w:tab w:val="right" w:leader="dot" w:pos="9628"/>
        </w:tabs>
        <w:rPr>
          <w:rFonts w:asciiTheme="minorHAnsi" w:eastAsiaTheme="minorEastAsia" w:hAnsiTheme="minorHAnsi" w:cstheme="minorBidi"/>
          <w:noProof/>
          <w:sz w:val="22"/>
          <w:lang w:eastAsia="en-AU"/>
        </w:rPr>
      </w:pPr>
      <w:hyperlink w:anchor="_Toc152067238" w:history="1">
        <w:r w:rsidR="003A78CF" w:rsidRPr="007874F7">
          <w:rPr>
            <w:rStyle w:val="Hyperlink"/>
            <w:noProof/>
          </w:rPr>
          <w:t>Performance against output performance measures</w:t>
        </w:r>
        <w:r w:rsidR="003A78CF">
          <w:rPr>
            <w:noProof/>
            <w:webHidden/>
          </w:rPr>
          <w:tab/>
        </w:r>
        <w:r w:rsidR="003A78CF">
          <w:rPr>
            <w:noProof/>
            <w:webHidden/>
          </w:rPr>
          <w:fldChar w:fldCharType="begin"/>
        </w:r>
        <w:r w:rsidR="003A78CF">
          <w:rPr>
            <w:noProof/>
            <w:webHidden/>
          </w:rPr>
          <w:instrText xml:space="preserve"> PAGEREF _Toc152067238 \h </w:instrText>
        </w:r>
        <w:r w:rsidR="003A78CF">
          <w:rPr>
            <w:noProof/>
            <w:webHidden/>
          </w:rPr>
        </w:r>
        <w:r w:rsidR="003A78CF">
          <w:rPr>
            <w:noProof/>
            <w:webHidden/>
          </w:rPr>
          <w:fldChar w:fldCharType="separate"/>
        </w:r>
        <w:r w:rsidR="003A78CF">
          <w:rPr>
            <w:noProof/>
            <w:webHidden/>
          </w:rPr>
          <w:t>66</w:t>
        </w:r>
        <w:r w:rsidR="003A78CF">
          <w:rPr>
            <w:noProof/>
            <w:webHidden/>
          </w:rPr>
          <w:fldChar w:fldCharType="end"/>
        </w:r>
      </w:hyperlink>
    </w:p>
    <w:p w14:paraId="7C8345D5" w14:textId="0245ABD0" w:rsidR="00CA3C5B" w:rsidRDefault="004B51F4" w:rsidP="004B51F4">
      <w:pPr>
        <w:pStyle w:val="Heading1"/>
      </w:pPr>
      <w:r>
        <w:lastRenderedPageBreak/>
        <w:fldChar w:fldCharType="end"/>
      </w:r>
      <w:bookmarkStart w:id="0" w:name="_Toc152067208"/>
      <w:r w:rsidR="00260033">
        <w:t>Portfolio</w:t>
      </w:r>
      <w:r w:rsidR="00932420">
        <w:t xml:space="preserve"> </w:t>
      </w:r>
      <w:r w:rsidR="00260033">
        <w:t>performance</w:t>
      </w:r>
      <w:r w:rsidR="00932420">
        <w:t xml:space="preserve"> </w:t>
      </w:r>
      <w:r w:rsidR="00260033">
        <w:t>reporting</w:t>
      </w:r>
      <w:r w:rsidR="00932420">
        <w:t xml:space="preserve"> </w:t>
      </w:r>
      <w:r w:rsidR="00260033">
        <w:t>–</w:t>
      </w:r>
      <w:r w:rsidR="00932420">
        <w:t xml:space="preserve"> </w:t>
      </w:r>
      <w:r w:rsidR="00260033">
        <w:t>non</w:t>
      </w:r>
      <w:r w:rsidR="00260033">
        <w:noBreakHyphen/>
        <w:t>financial</w:t>
      </w:r>
      <w:bookmarkEnd w:id="0"/>
    </w:p>
    <w:p w14:paraId="531AE581" w14:textId="3EB7B670" w:rsidR="00CA3C5B" w:rsidRDefault="00260033" w:rsidP="004B51F4">
      <w:r>
        <w:t>As</w:t>
      </w:r>
      <w:r w:rsidR="00932420">
        <w:t xml:space="preserve"> </w:t>
      </w:r>
      <w:proofErr w:type="gramStart"/>
      <w:r>
        <w:t>at</w:t>
      </w:r>
      <w:proofErr w:type="gramEnd"/>
      <w:r w:rsidR="00932420">
        <w:t xml:space="preserve"> </w:t>
      </w:r>
      <w:r>
        <w:t>30</w:t>
      </w:r>
      <w:r w:rsidR="00932420">
        <w:t xml:space="preserve"> </w:t>
      </w:r>
      <w:r>
        <w:t>June</w:t>
      </w:r>
      <w:r w:rsidR="00932420">
        <w:t xml:space="preserve"> </w:t>
      </w:r>
      <w:r>
        <w:t>2023,</w:t>
      </w:r>
      <w:r w:rsidR="00932420">
        <w:t xml:space="preserve"> </w:t>
      </w:r>
      <w:r>
        <w:t>DJSIR</w:t>
      </w:r>
      <w:r w:rsidR="00932420">
        <w:t xml:space="preserve"> </w:t>
      </w:r>
      <w:r>
        <w:t>had</w:t>
      </w:r>
      <w:r w:rsidR="00932420">
        <w:t xml:space="preserve"> </w:t>
      </w:r>
      <w:r>
        <w:t>156</w:t>
      </w:r>
      <w:r w:rsidR="00932420">
        <w:t xml:space="preserve"> </w:t>
      </w:r>
      <w:r>
        <w:t>non-cost</w:t>
      </w:r>
      <w:r w:rsidR="00932420">
        <w:t xml:space="preserve"> </w:t>
      </w:r>
      <w:r>
        <w:t>output</w:t>
      </w:r>
      <w:r w:rsidR="00932420">
        <w:t xml:space="preserve"> </w:t>
      </w:r>
      <w:r>
        <w:t>performance</w:t>
      </w:r>
      <w:r w:rsidR="00932420">
        <w:t xml:space="preserve"> </w:t>
      </w:r>
      <w:r>
        <w:t>measures,</w:t>
      </w:r>
      <w:r w:rsidR="00932420">
        <w:t xml:space="preserve"> </w:t>
      </w:r>
      <w:r>
        <w:t>published</w:t>
      </w:r>
      <w:r w:rsidR="00932420">
        <w:t xml:space="preserve"> </w:t>
      </w:r>
      <w:r>
        <w:t>in</w:t>
      </w:r>
      <w:r w:rsidR="00932420">
        <w:t xml:space="preserve"> </w:t>
      </w:r>
      <w:r>
        <w:t>the</w:t>
      </w:r>
      <w:r w:rsidR="00932420">
        <w:t xml:space="preserve"> </w:t>
      </w:r>
      <w:r>
        <w:t>2022–23</w:t>
      </w:r>
      <w:r w:rsidR="00932420">
        <w:t xml:space="preserve"> </w:t>
      </w:r>
      <w:r>
        <w:t>Budget</w:t>
      </w:r>
      <w:r w:rsidR="00932420">
        <w:t xml:space="preserve"> </w:t>
      </w:r>
      <w:r>
        <w:t>Papers.</w:t>
      </w:r>
    </w:p>
    <w:p w14:paraId="49E359B5" w14:textId="4E89A1F9" w:rsidR="00CA3C5B" w:rsidRDefault="00260033" w:rsidP="004B51F4">
      <w:r>
        <w:rPr>
          <w:spacing w:val="-2"/>
        </w:rPr>
        <w:t>The</w:t>
      </w:r>
      <w:r w:rsidR="00932420">
        <w:rPr>
          <w:spacing w:val="-2"/>
        </w:rPr>
        <w:t xml:space="preserve"> </w:t>
      </w:r>
      <w:r>
        <w:rPr>
          <w:spacing w:val="-2"/>
        </w:rPr>
        <w:t>department</w:t>
      </w:r>
      <w:r w:rsidR="00932420">
        <w:rPr>
          <w:spacing w:val="-2"/>
        </w:rPr>
        <w:t xml:space="preserve"> </w:t>
      </w:r>
      <w:r>
        <w:rPr>
          <w:spacing w:val="-2"/>
        </w:rPr>
        <w:t>met</w:t>
      </w:r>
      <w:r w:rsidR="00932420">
        <w:rPr>
          <w:spacing w:val="-2"/>
        </w:rPr>
        <w:t xml:space="preserve"> </w:t>
      </w:r>
      <w:r>
        <w:rPr>
          <w:spacing w:val="-2"/>
        </w:rPr>
        <w:t>or</w:t>
      </w:r>
      <w:r w:rsidR="00932420">
        <w:rPr>
          <w:spacing w:val="-2"/>
        </w:rPr>
        <w:t xml:space="preserve"> </w:t>
      </w:r>
      <w:r>
        <w:rPr>
          <w:spacing w:val="-2"/>
        </w:rPr>
        <w:t>exceeded</w:t>
      </w:r>
      <w:r w:rsidR="00932420">
        <w:rPr>
          <w:spacing w:val="-2"/>
        </w:rPr>
        <w:t xml:space="preserve"> </w:t>
      </w:r>
      <w:r>
        <w:rPr>
          <w:spacing w:val="-2"/>
        </w:rPr>
        <w:t>85%</w:t>
      </w:r>
      <w:r w:rsidR="00932420">
        <w:rPr>
          <w:spacing w:val="-2"/>
        </w:rPr>
        <w:t xml:space="preserve"> </w:t>
      </w:r>
      <w:r>
        <w:rPr>
          <w:spacing w:val="-2"/>
        </w:rPr>
        <w:t>(132</w:t>
      </w:r>
      <w:r w:rsidR="00932420">
        <w:rPr>
          <w:spacing w:val="-2"/>
        </w:rPr>
        <w:t xml:space="preserve"> </w:t>
      </w:r>
      <w:r>
        <w:rPr>
          <w:spacing w:val="-2"/>
        </w:rPr>
        <w:t>measures)</w:t>
      </w:r>
      <w:r w:rsidR="00932420">
        <w:t xml:space="preserve"> </w:t>
      </w:r>
      <w:r>
        <w:t>of</w:t>
      </w:r>
      <w:r w:rsidR="00932420">
        <w:t xml:space="preserve"> </w:t>
      </w:r>
      <w:r>
        <w:t>the</w:t>
      </w:r>
      <w:r w:rsidR="00932420">
        <w:t xml:space="preserve"> </w:t>
      </w:r>
      <w:r>
        <w:t>2022–23</w:t>
      </w:r>
      <w:r w:rsidR="00932420">
        <w:t xml:space="preserve"> </w:t>
      </w:r>
      <w:r>
        <w:t>output</w:t>
      </w:r>
      <w:r w:rsidR="00932420">
        <w:t xml:space="preserve"> </w:t>
      </w:r>
      <w:r>
        <w:t>performance</w:t>
      </w:r>
      <w:r w:rsidR="00932420">
        <w:t xml:space="preserve"> </w:t>
      </w:r>
      <w:r>
        <w:t>measure</w:t>
      </w:r>
      <w:r w:rsidR="00932420">
        <w:t xml:space="preserve"> </w:t>
      </w:r>
      <w:r>
        <w:t>targets.</w:t>
      </w:r>
      <w:r w:rsidR="00932420">
        <w:t xml:space="preserve"> </w:t>
      </w:r>
      <w:r>
        <w:t>Predominantly</w:t>
      </w:r>
      <w:r w:rsidR="00932420">
        <w:t xml:space="preserve"> </w:t>
      </w:r>
      <w:r>
        <w:t>due</w:t>
      </w:r>
      <w:r w:rsidR="00932420">
        <w:t xml:space="preserve"> </w:t>
      </w:r>
      <w:r>
        <w:t>to</w:t>
      </w:r>
      <w:r w:rsidR="00932420">
        <w:t xml:space="preserve"> </w:t>
      </w:r>
      <w:r>
        <w:t>the</w:t>
      </w:r>
      <w:r w:rsidR="00932420">
        <w:t xml:space="preserve"> </w:t>
      </w:r>
      <w:r>
        <w:t>lingering</w:t>
      </w:r>
      <w:r w:rsidR="00932420">
        <w:t xml:space="preserve"> </w:t>
      </w:r>
      <w:r>
        <w:t>impacts</w:t>
      </w:r>
      <w:r w:rsidR="00932420">
        <w:t xml:space="preserve"> </w:t>
      </w:r>
      <w:r>
        <w:t>of</w:t>
      </w:r>
      <w:r w:rsidR="00932420">
        <w:t xml:space="preserve"> </w:t>
      </w:r>
      <w:r>
        <w:t>COVID-19,</w:t>
      </w:r>
      <w:r w:rsidR="00932420">
        <w:t xml:space="preserve"> </w:t>
      </w:r>
      <w:r>
        <w:t>15%</w:t>
      </w:r>
      <w:r w:rsidR="00932420">
        <w:t xml:space="preserve"> </w:t>
      </w:r>
      <w:r>
        <w:t>(24</w:t>
      </w:r>
      <w:r w:rsidR="00932420">
        <w:t xml:space="preserve"> </w:t>
      </w:r>
      <w:r>
        <w:t>measures)</w:t>
      </w:r>
      <w:r w:rsidR="00932420">
        <w:t xml:space="preserve"> </w:t>
      </w:r>
      <w:r>
        <w:t>of</w:t>
      </w:r>
      <w:r w:rsidR="00932420">
        <w:t xml:space="preserve"> </w:t>
      </w:r>
      <w:r>
        <w:t>performance</w:t>
      </w:r>
      <w:r w:rsidR="00932420">
        <w:t xml:space="preserve"> </w:t>
      </w:r>
      <w:r>
        <w:t>measures</w:t>
      </w:r>
      <w:r w:rsidR="00932420">
        <w:t xml:space="preserve"> </w:t>
      </w:r>
      <w:r>
        <w:t>did</w:t>
      </w:r>
      <w:r w:rsidR="00932420">
        <w:t xml:space="preserve"> </w:t>
      </w:r>
      <w:r>
        <w:t>not</w:t>
      </w:r>
      <w:r w:rsidR="00932420">
        <w:t xml:space="preserve"> </w:t>
      </w:r>
      <w:r>
        <w:t>meet</w:t>
      </w:r>
      <w:r w:rsidR="00932420">
        <w:t xml:space="preserve"> </w:t>
      </w:r>
      <w:r>
        <w:t>their</w:t>
      </w:r>
      <w:r w:rsidR="00932420">
        <w:t xml:space="preserve"> </w:t>
      </w:r>
      <w:r>
        <w:t>targets.</w:t>
      </w:r>
    </w:p>
    <w:p w14:paraId="31F55869" w14:textId="1B375102" w:rsidR="00CA3C5B" w:rsidRDefault="00260033" w:rsidP="004B51F4">
      <w:pPr>
        <w:pStyle w:val="Normalbeforebullets"/>
      </w:pPr>
      <w:r>
        <w:t>The</w:t>
      </w:r>
      <w:r w:rsidR="00932420">
        <w:t xml:space="preserve"> </w:t>
      </w:r>
      <w:r>
        <w:t>portfolio</w:t>
      </w:r>
      <w:r w:rsidR="00932420">
        <w:t xml:space="preserve"> </w:t>
      </w:r>
      <w:r>
        <w:t>performance</w:t>
      </w:r>
      <w:r w:rsidR="00932420">
        <w:t xml:space="preserve"> </w:t>
      </w:r>
      <w:r>
        <w:t>reporting</w:t>
      </w:r>
      <w:r w:rsidR="00932420">
        <w:t xml:space="preserve"> </w:t>
      </w:r>
      <w:r>
        <w:t>–</w:t>
      </w:r>
      <w:r w:rsidR="00932420">
        <w:t xml:space="preserve"> </w:t>
      </w:r>
      <w:r>
        <w:t>non-financial</w:t>
      </w:r>
      <w:r w:rsidR="00932420">
        <w:t xml:space="preserve"> </w:t>
      </w:r>
      <w:r>
        <w:t>section</w:t>
      </w:r>
      <w:r w:rsidR="00932420">
        <w:t xml:space="preserve"> </w:t>
      </w:r>
      <w:r>
        <w:t>includes</w:t>
      </w:r>
      <w:r w:rsidR="00932420">
        <w:t xml:space="preserve"> </w:t>
      </w:r>
      <w:r>
        <w:t>the:</w:t>
      </w:r>
    </w:p>
    <w:p w14:paraId="2C4D7DF3" w14:textId="6AD1D180" w:rsidR="00CA3C5B" w:rsidRDefault="00260033" w:rsidP="004B51F4">
      <w:pPr>
        <w:pStyle w:val="Bullet"/>
      </w:pPr>
      <w:r>
        <w:t>Report</w:t>
      </w:r>
      <w:r w:rsidR="00932420">
        <w:t xml:space="preserve"> </w:t>
      </w:r>
      <w:r>
        <w:t>on</w:t>
      </w:r>
      <w:r w:rsidR="00932420">
        <w:t xml:space="preserve"> </w:t>
      </w:r>
      <w:r>
        <w:t>progress</w:t>
      </w:r>
      <w:r w:rsidR="00932420">
        <w:t xml:space="preserve"> </w:t>
      </w:r>
      <w:r>
        <w:t>towards</w:t>
      </w:r>
      <w:r w:rsidR="00932420">
        <w:t xml:space="preserve"> </w:t>
      </w:r>
      <w:r>
        <w:t>achieving</w:t>
      </w:r>
      <w:r w:rsidR="00932420">
        <w:t xml:space="preserve"> </w:t>
      </w:r>
      <w:r>
        <w:t>objectives,</w:t>
      </w:r>
      <w:r w:rsidR="00932420">
        <w:t xml:space="preserve"> </w:t>
      </w:r>
      <w:r>
        <w:t>incorporating</w:t>
      </w:r>
      <w:r w:rsidR="00932420">
        <w:t xml:space="preserve"> </w:t>
      </w:r>
      <w:r>
        <w:t>key</w:t>
      </w:r>
      <w:r w:rsidR="00932420">
        <w:t xml:space="preserve"> </w:t>
      </w:r>
      <w:r>
        <w:t>initiatives</w:t>
      </w:r>
      <w:r w:rsidR="00932420">
        <w:t xml:space="preserve"> </w:t>
      </w:r>
      <w:r>
        <w:t>and</w:t>
      </w:r>
      <w:r w:rsidR="00932420">
        <w:t xml:space="preserve"> </w:t>
      </w:r>
      <w:r>
        <w:t>projects</w:t>
      </w:r>
    </w:p>
    <w:p w14:paraId="33E5A9E5" w14:textId="6A717A8B" w:rsidR="00CA3C5B" w:rsidRDefault="00260033" w:rsidP="004B51F4">
      <w:pPr>
        <w:pStyle w:val="Bulletlast"/>
      </w:pPr>
      <w:r>
        <w:t>Report</w:t>
      </w:r>
      <w:r w:rsidR="00932420">
        <w:t xml:space="preserve"> </w:t>
      </w:r>
      <w:r>
        <w:t>on</w:t>
      </w:r>
      <w:r w:rsidR="00932420">
        <w:t xml:space="preserve"> </w:t>
      </w:r>
      <w:r>
        <w:t>performance</w:t>
      </w:r>
      <w:r w:rsidR="00932420">
        <w:t xml:space="preserve"> </w:t>
      </w:r>
      <w:r>
        <w:t>against</w:t>
      </w:r>
      <w:r w:rsidR="00932420">
        <w:t xml:space="preserve"> </w:t>
      </w:r>
      <w:r>
        <w:t>output</w:t>
      </w:r>
      <w:r w:rsidR="00932420">
        <w:t xml:space="preserve"> </w:t>
      </w:r>
      <w:r>
        <w:t>performance</w:t>
      </w:r>
      <w:r w:rsidR="00932420">
        <w:t xml:space="preserve"> </w:t>
      </w:r>
      <w:r>
        <w:t>measures.</w:t>
      </w:r>
    </w:p>
    <w:p w14:paraId="0CB38F22" w14:textId="0B7428D5" w:rsidR="00CA3C5B" w:rsidRDefault="00260033" w:rsidP="004B51F4">
      <w:pPr>
        <w:pStyle w:val="Heading2"/>
      </w:pPr>
      <w:bookmarkStart w:id="1" w:name="_Toc152067209"/>
      <w:r>
        <w:t>Objective</w:t>
      </w:r>
      <w:r w:rsidR="00932420">
        <w:t xml:space="preserve"> </w:t>
      </w:r>
      <w:r>
        <w:t>1:</w:t>
      </w:r>
      <w:r w:rsidR="00932420">
        <w:t xml:space="preserve"> </w:t>
      </w:r>
      <w:r>
        <w:t>Create</w:t>
      </w:r>
      <w:r w:rsidR="00932420">
        <w:t xml:space="preserve"> </w:t>
      </w:r>
      <w:r>
        <w:t>and</w:t>
      </w:r>
      <w:r w:rsidR="00932420">
        <w:t xml:space="preserve"> </w:t>
      </w:r>
      <w:r>
        <w:t>maintain</w:t>
      </w:r>
      <w:r w:rsidR="00932420">
        <w:t xml:space="preserve"> </w:t>
      </w:r>
      <w:r>
        <w:t>jobs</w:t>
      </w:r>
      <w:bookmarkEnd w:id="1"/>
    </w:p>
    <w:p w14:paraId="5F86D621" w14:textId="75C5A02A" w:rsidR="00CA3C5B" w:rsidRDefault="00260033" w:rsidP="004B51F4">
      <w:r>
        <w:t>This</w:t>
      </w:r>
      <w:r w:rsidR="00932420">
        <w:t xml:space="preserve"> </w:t>
      </w:r>
      <w:r>
        <w:t>objective</w:t>
      </w:r>
      <w:r w:rsidR="00932420">
        <w:t xml:space="preserve"> </w:t>
      </w:r>
      <w:r>
        <w:t>seeks</w:t>
      </w:r>
      <w:r w:rsidR="00932420">
        <w:t xml:space="preserve"> </w:t>
      </w:r>
      <w:r>
        <w:t>to</w:t>
      </w:r>
      <w:r w:rsidR="00932420">
        <w:t xml:space="preserve"> </w:t>
      </w:r>
      <w:r>
        <w:t>secure</w:t>
      </w:r>
      <w:r w:rsidR="00932420">
        <w:t xml:space="preserve"> </w:t>
      </w:r>
      <w:r>
        <w:t>a</w:t>
      </w:r>
      <w:r w:rsidR="00932420">
        <w:t xml:space="preserve"> </w:t>
      </w:r>
      <w:r>
        <w:t>growing,</w:t>
      </w:r>
      <w:r w:rsidR="00932420">
        <w:t xml:space="preserve"> </w:t>
      </w:r>
      <w:proofErr w:type="gramStart"/>
      <w:r>
        <w:t>sustainable</w:t>
      </w:r>
      <w:proofErr w:type="gramEnd"/>
      <w:r w:rsidR="00932420">
        <w:t xml:space="preserve"> </w:t>
      </w:r>
      <w:r>
        <w:t>and</w:t>
      </w:r>
      <w:r w:rsidR="00932420">
        <w:t xml:space="preserve"> </w:t>
      </w:r>
      <w:r>
        <w:t>equitable</w:t>
      </w:r>
      <w:r w:rsidR="00932420">
        <w:t xml:space="preserve"> </w:t>
      </w:r>
      <w:r>
        <w:t>jobs</w:t>
      </w:r>
      <w:r w:rsidR="00932420">
        <w:t xml:space="preserve"> </w:t>
      </w:r>
      <w:r>
        <w:t>market</w:t>
      </w:r>
      <w:r w:rsidR="00932420">
        <w:t xml:space="preserve"> </w:t>
      </w:r>
      <w:r>
        <w:t>for</w:t>
      </w:r>
      <w:r w:rsidR="00932420">
        <w:t xml:space="preserve"> </w:t>
      </w:r>
      <w:r>
        <w:t>all</w:t>
      </w:r>
      <w:r w:rsidR="00932420">
        <w:t xml:space="preserve"> </w:t>
      </w:r>
      <w:r>
        <w:t>Victorians</w:t>
      </w:r>
      <w:r w:rsidR="00932420">
        <w:t xml:space="preserve"> </w:t>
      </w:r>
      <w:r>
        <w:t>by</w:t>
      </w:r>
      <w:r w:rsidR="00932420">
        <w:t xml:space="preserve"> </w:t>
      </w:r>
      <w:r>
        <w:t>working</w:t>
      </w:r>
      <w:r w:rsidR="00932420">
        <w:t xml:space="preserve"> </w:t>
      </w:r>
      <w:r>
        <w:t>with</w:t>
      </w:r>
      <w:r w:rsidR="00932420">
        <w:t xml:space="preserve"> </w:t>
      </w:r>
      <w:r>
        <w:t>businesses</w:t>
      </w:r>
      <w:r w:rsidR="00932420">
        <w:t xml:space="preserve"> </w:t>
      </w:r>
      <w:r>
        <w:t>to</w:t>
      </w:r>
      <w:r w:rsidR="00932420">
        <w:t xml:space="preserve"> </w:t>
      </w:r>
      <w:r>
        <w:t>increase</w:t>
      </w:r>
      <w:r w:rsidR="00932420">
        <w:t xml:space="preserve"> </w:t>
      </w:r>
      <w:r>
        <w:t>job</w:t>
      </w:r>
      <w:r w:rsidR="00932420">
        <w:t xml:space="preserve"> </w:t>
      </w:r>
      <w:r>
        <w:t>opportunities,</w:t>
      </w:r>
      <w:r w:rsidR="00932420">
        <w:t xml:space="preserve"> </w:t>
      </w:r>
      <w:r>
        <w:t>support</w:t>
      </w:r>
      <w:r w:rsidR="00932420">
        <w:t xml:space="preserve"> </w:t>
      </w:r>
      <w:r>
        <w:t>people</w:t>
      </w:r>
      <w:r w:rsidR="00932420">
        <w:t xml:space="preserve"> </w:t>
      </w:r>
      <w:r>
        <w:t>into</w:t>
      </w:r>
      <w:r w:rsidR="00932420">
        <w:t xml:space="preserve"> </w:t>
      </w:r>
      <w:r>
        <w:t>meaningful</w:t>
      </w:r>
      <w:r w:rsidR="00932420">
        <w:t xml:space="preserve"> </w:t>
      </w:r>
      <w:r>
        <w:t>and</w:t>
      </w:r>
      <w:r w:rsidR="00932420">
        <w:t xml:space="preserve"> </w:t>
      </w:r>
      <w:r>
        <w:t>secure</w:t>
      </w:r>
      <w:r w:rsidR="00932420">
        <w:t xml:space="preserve"> </w:t>
      </w:r>
      <w:r>
        <w:t>employment,</w:t>
      </w:r>
      <w:r w:rsidR="00932420">
        <w:t xml:space="preserve"> </w:t>
      </w:r>
      <w:r>
        <w:t>and</w:t>
      </w:r>
      <w:r w:rsidR="00932420">
        <w:t xml:space="preserve"> </w:t>
      </w:r>
      <w:r>
        <w:t>attract</w:t>
      </w:r>
      <w:r w:rsidR="00932420">
        <w:t xml:space="preserve"> </w:t>
      </w:r>
      <w:r>
        <w:t>the</w:t>
      </w:r>
      <w:r w:rsidR="00932420">
        <w:t xml:space="preserve"> </w:t>
      </w:r>
      <w:r>
        <w:t>investment</w:t>
      </w:r>
      <w:r w:rsidR="00932420">
        <w:t xml:space="preserve"> </w:t>
      </w:r>
      <w:r>
        <w:t>and</w:t>
      </w:r>
      <w:r w:rsidR="00932420">
        <w:t xml:space="preserve"> </w:t>
      </w:r>
      <w:r>
        <w:t>talent</w:t>
      </w:r>
      <w:r w:rsidR="00932420">
        <w:t xml:space="preserve"> </w:t>
      </w:r>
      <w:r>
        <w:t>needed</w:t>
      </w:r>
      <w:r w:rsidR="00932420">
        <w:t xml:space="preserve"> </w:t>
      </w:r>
      <w:r>
        <w:t>to</w:t>
      </w:r>
      <w:r w:rsidR="00932420">
        <w:t xml:space="preserve"> </w:t>
      </w:r>
      <w:r>
        <w:t>foster</w:t>
      </w:r>
      <w:r w:rsidR="00932420">
        <w:t xml:space="preserve"> </w:t>
      </w:r>
      <w:r>
        <w:t>job</w:t>
      </w:r>
      <w:r w:rsidR="00932420">
        <w:t xml:space="preserve"> </w:t>
      </w:r>
      <w:r>
        <w:t>growth.</w:t>
      </w:r>
    </w:p>
    <w:p w14:paraId="52D19477" w14:textId="1A3707C7" w:rsidR="00CA3C5B" w:rsidRDefault="00260033" w:rsidP="004B51F4">
      <w:pPr>
        <w:pStyle w:val="Heading3"/>
      </w:pPr>
      <w:r>
        <w:t>Progress</w:t>
      </w:r>
      <w:r w:rsidR="00932420">
        <w:t xml:space="preserve"> </w:t>
      </w:r>
      <w:r>
        <w:t>towards</w:t>
      </w:r>
      <w:r w:rsidR="00932420">
        <w:t xml:space="preserve"> </w:t>
      </w:r>
      <w:r>
        <w:t>achieving</w:t>
      </w:r>
      <w:r w:rsidR="00932420">
        <w:t xml:space="preserve"> </w:t>
      </w:r>
      <w:r>
        <w:t>this</w:t>
      </w:r>
      <w:r w:rsidR="00932420">
        <w:t xml:space="preserve"> </w:t>
      </w:r>
      <w:r>
        <w:t>objective</w:t>
      </w:r>
    </w:p>
    <w:p w14:paraId="4D398953" w14:textId="1AB088BF" w:rsidR="00CA3C5B" w:rsidRDefault="00260033" w:rsidP="004B51F4">
      <w:pPr>
        <w:pStyle w:val="Normalbeforebullets"/>
      </w:pPr>
      <w:r>
        <w:t>In</w:t>
      </w:r>
      <w:r w:rsidR="00932420">
        <w:t xml:space="preserve"> </w:t>
      </w:r>
      <w:r>
        <w:t>2022–23,</w:t>
      </w:r>
      <w:r w:rsidR="00932420">
        <w:t xml:space="preserve"> </w:t>
      </w:r>
      <w:r>
        <w:t>the</w:t>
      </w:r>
      <w:r w:rsidR="00932420">
        <w:t xml:space="preserve"> </w:t>
      </w:r>
      <w:r>
        <w:t>department</w:t>
      </w:r>
      <w:r w:rsidR="00932420">
        <w:t xml:space="preserve"> </w:t>
      </w:r>
      <w:r>
        <w:t>reported</w:t>
      </w:r>
      <w:r w:rsidR="00932420">
        <w:t xml:space="preserve"> </w:t>
      </w:r>
      <w:r>
        <w:t>progress</w:t>
      </w:r>
      <w:r w:rsidR="00932420">
        <w:t xml:space="preserve"> </w:t>
      </w:r>
      <w:r>
        <w:t>against</w:t>
      </w:r>
      <w:r w:rsidR="00932420">
        <w:t xml:space="preserve"> </w:t>
      </w:r>
      <w:r>
        <w:t>this</w:t>
      </w:r>
      <w:r w:rsidR="00932420">
        <w:t xml:space="preserve"> </w:t>
      </w:r>
      <w:r>
        <w:t>objective</w:t>
      </w:r>
      <w:r w:rsidR="00932420">
        <w:t xml:space="preserve"> </w:t>
      </w:r>
      <w:r>
        <w:t>using</w:t>
      </w:r>
      <w:r w:rsidR="00932420">
        <w:t xml:space="preserve"> </w:t>
      </w:r>
      <w:r>
        <w:t>the</w:t>
      </w:r>
      <w:r w:rsidR="00932420">
        <w:t xml:space="preserve"> </w:t>
      </w:r>
      <w:r>
        <w:t>following</w:t>
      </w:r>
      <w:r w:rsidR="00932420">
        <w:t xml:space="preserve"> </w:t>
      </w:r>
      <w:r>
        <w:t>objective</w:t>
      </w:r>
      <w:r w:rsidR="00932420">
        <w:t xml:space="preserve"> </w:t>
      </w:r>
      <w:r>
        <w:t>indicators</w:t>
      </w:r>
      <w:r w:rsidR="00932420">
        <w:t xml:space="preserve"> </w:t>
      </w:r>
      <w:r>
        <w:t>and</w:t>
      </w:r>
      <w:r w:rsidR="00932420">
        <w:t xml:space="preserve"> </w:t>
      </w:r>
      <w:r>
        <w:t>outputs:</w:t>
      </w:r>
    </w:p>
    <w:p w14:paraId="335604CD" w14:textId="5E25AD86" w:rsidR="00CA3C5B" w:rsidRPr="004B51F4" w:rsidRDefault="00260033" w:rsidP="004B51F4">
      <w:pPr>
        <w:pStyle w:val="Normalbeforebullets"/>
        <w:rPr>
          <w:b/>
          <w:bCs/>
        </w:rPr>
      </w:pPr>
      <w:r w:rsidRPr="004B51F4">
        <w:rPr>
          <w:b/>
          <w:bCs/>
        </w:rPr>
        <w:t>Objective</w:t>
      </w:r>
      <w:r w:rsidR="00932420" w:rsidRPr="004B51F4">
        <w:rPr>
          <w:b/>
          <w:bCs/>
        </w:rPr>
        <w:t xml:space="preserve"> </w:t>
      </w:r>
      <w:r w:rsidRPr="004B51F4">
        <w:rPr>
          <w:b/>
          <w:bCs/>
        </w:rPr>
        <w:t>Indicators</w:t>
      </w:r>
    </w:p>
    <w:p w14:paraId="0603098A" w14:textId="75F925D7" w:rsidR="00CA3C5B" w:rsidRDefault="00260033" w:rsidP="004B51F4">
      <w:pPr>
        <w:pStyle w:val="Bulletlast"/>
      </w:pPr>
      <w:r>
        <w:t>People</w:t>
      </w:r>
      <w:r w:rsidR="00932420">
        <w:t xml:space="preserve"> </w:t>
      </w:r>
      <w:r>
        <w:t>employed</w:t>
      </w:r>
      <w:r w:rsidR="00932420">
        <w:t xml:space="preserve"> </w:t>
      </w:r>
      <w:r>
        <w:t>in</w:t>
      </w:r>
      <w:r w:rsidR="00932420">
        <w:t xml:space="preserve"> </w:t>
      </w:r>
      <w:r>
        <w:t>Victoria</w:t>
      </w:r>
    </w:p>
    <w:p w14:paraId="3D91972C" w14:textId="77777777" w:rsidR="00CA3C5B" w:rsidRPr="004B51F4" w:rsidRDefault="00260033" w:rsidP="004B51F4">
      <w:pPr>
        <w:pStyle w:val="Normalbeforebullets"/>
        <w:rPr>
          <w:b/>
          <w:bCs/>
        </w:rPr>
      </w:pPr>
      <w:r w:rsidRPr="004B51F4">
        <w:rPr>
          <w:b/>
          <w:bCs/>
        </w:rPr>
        <w:t>Outputs</w:t>
      </w:r>
    </w:p>
    <w:p w14:paraId="15615AFD" w14:textId="77777777" w:rsidR="00CA3C5B" w:rsidRDefault="00260033" w:rsidP="004B51F4">
      <w:pPr>
        <w:pStyle w:val="Bulletlast"/>
      </w:pPr>
      <w:r>
        <w:t>Jobs</w:t>
      </w:r>
    </w:p>
    <w:p w14:paraId="52EC53E1" w14:textId="48AB1C45" w:rsidR="00CA3C5B" w:rsidRDefault="00260033" w:rsidP="004B51F4">
      <w:pPr>
        <w:pStyle w:val="Heading2"/>
      </w:pPr>
      <w:bookmarkStart w:id="2" w:name="_Toc152067210"/>
      <w:r>
        <w:t>Indicator:</w:t>
      </w:r>
      <w:r w:rsidR="00932420">
        <w:t xml:space="preserve"> </w:t>
      </w:r>
      <w:r>
        <w:t>People</w:t>
      </w:r>
      <w:r w:rsidR="00932420">
        <w:t xml:space="preserve"> </w:t>
      </w:r>
      <w:r>
        <w:t>employed</w:t>
      </w:r>
      <w:r w:rsidR="00932420">
        <w:t xml:space="preserve"> </w:t>
      </w:r>
      <w:r>
        <w:t>in</w:t>
      </w:r>
      <w:r w:rsidR="00932420">
        <w:t xml:space="preserve"> </w:t>
      </w:r>
      <w:r>
        <w:t>Victoria</w:t>
      </w:r>
      <w:bookmarkEnd w:id="2"/>
    </w:p>
    <w:p w14:paraId="4F5AD2E0" w14:textId="570F6B3B" w:rsidR="00CA3C5B" w:rsidRDefault="00260033" w:rsidP="004B51F4">
      <w:pPr>
        <w:pStyle w:val="TableHeading"/>
      </w:pPr>
      <w:r>
        <w:t>Table</w:t>
      </w:r>
      <w:r w:rsidR="00932420">
        <w:t xml:space="preserve"> </w:t>
      </w:r>
      <w:r>
        <w:t>1:</w:t>
      </w:r>
      <w:r w:rsidR="00932420">
        <w:t xml:space="preserve"> </w:t>
      </w:r>
      <w:r>
        <w:t>People</w:t>
      </w:r>
      <w:r w:rsidR="00932420">
        <w:t xml:space="preserve"> </w:t>
      </w:r>
      <w:r>
        <w:t>employed</w:t>
      </w:r>
      <w:r w:rsidR="00932420">
        <w:t xml:space="preserve"> </w:t>
      </w:r>
      <w:r>
        <w:t>in</w:t>
      </w:r>
      <w:r w:rsidR="00932420">
        <w:t xml:space="preserve"> </w:t>
      </w:r>
      <w:r>
        <w:t>Victoria</w:t>
      </w:r>
    </w:p>
    <w:tbl>
      <w:tblPr>
        <w:tblStyle w:val="TableGrid"/>
        <w:tblW w:w="9638" w:type="dxa"/>
        <w:tblLayout w:type="fixed"/>
        <w:tblLook w:val="0020" w:firstRow="1" w:lastRow="0" w:firstColumn="0" w:lastColumn="0" w:noHBand="0" w:noVBand="0"/>
      </w:tblPr>
      <w:tblGrid>
        <w:gridCol w:w="4531"/>
        <w:gridCol w:w="1276"/>
        <w:gridCol w:w="1277"/>
        <w:gridCol w:w="1277"/>
        <w:gridCol w:w="1277"/>
      </w:tblGrid>
      <w:tr w:rsidR="00CA3C5B" w14:paraId="26452ECE" w14:textId="77777777" w:rsidTr="004B51F4">
        <w:trPr>
          <w:trHeight w:val="333"/>
        </w:trPr>
        <w:tc>
          <w:tcPr>
            <w:tcW w:w="4531" w:type="dxa"/>
          </w:tcPr>
          <w:p w14:paraId="6A58CA0B" w14:textId="33DD90E1" w:rsidR="00CA3C5B" w:rsidRDefault="00260033" w:rsidP="004B51F4">
            <w:pPr>
              <w:pStyle w:val="TableColumnHeading"/>
            </w:pPr>
            <w:bookmarkStart w:id="3" w:name="ColumnTitle"/>
            <w:bookmarkEnd w:id="3"/>
            <w:r>
              <w:t>Measure</w:t>
            </w:r>
            <w:r w:rsidR="00932420">
              <w:t xml:space="preserve"> </w:t>
            </w:r>
            <w:r>
              <w:t>(unit</w:t>
            </w:r>
            <w:r w:rsidR="00932420">
              <w:t xml:space="preserve"> </w:t>
            </w:r>
            <w:r>
              <w:t>of</w:t>
            </w:r>
            <w:r w:rsidR="00932420">
              <w:t xml:space="preserve"> </w:t>
            </w:r>
            <w:r>
              <w:t>measure)</w:t>
            </w:r>
          </w:p>
        </w:tc>
        <w:tc>
          <w:tcPr>
            <w:tcW w:w="1276" w:type="dxa"/>
          </w:tcPr>
          <w:p w14:paraId="6B4BECB3" w14:textId="77777777" w:rsidR="00CA3C5B" w:rsidRDefault="00260033" w:rsidP="004B51F4">
            <w:pPr>
              <w:pStyle w:val="TableColumnHeading"/>
              <w:jc w:val="right"/>
            </w:pPr>
            <w:r>
              <w:t>2019–20</w:t>
            </w:r>
          </w:p>
        </w:tc>
        <w:tc>
          <w:tcPr>
            <w:tcW w:w="1277" w:type="dxa"/>
          </w:tcPr>
          <w:p w14:paraId="5AC46DA9" w14:textId="77777777" w:rsidR="00CA3C5B" w:rsidRDefault="00260033" w:rsidP="004B51F4">
            <w:pPr>
              <w:pStyle w:val="TableColumnHeading"/>
              <w:jc w:val="right"/>
            </w:pPr>
            <w:r>
              <w:t>2020–21</w:t>
            </w:r>
          </w:p>
        </w:tc>
        <w:tc>
          <w:tcPr>
            <w:tcW w:w="1277" w:type="dxa"/>
          </w:tcPr>
          <w:p w14:paraId="3CAFD61E" w14:textId="77777777" w:rsidR="00CA3C5B" w:rsidRDefault="00260033" w:rsidP="004B51F4">
            <w:pPr>
              <w:pStyle w:val="TableColumnHeading"/>
              <w:jc w:val="right"/>
            </w:pPr>
            <w:r>
              <w:t>2021–22</w:t>
            </w:r>
          </w:p>
        </w:tc>
        <w:tc>
          <w:tcPr>
            <w:tcW w:w="1277" w:type="dxa"/>
          </w:tcPr>
          <w:p w14:paraId="40B6220D" w14:textId="77777777" w:rsidR="00CA3C5B" w:rsidRDefault="00260033" w:rsidP="004B51F4">
            <w:pPr>
              <w:pStyle w:val="TableColumnHeading"/>
              <w:jc w:val="right"/>
            </w:pPr>
            <w:r>
              <w:t>2022–23</w:t>
            </w:r>
          </w:p>
        </w:tc>
      </w:tr>
      <w:tr w:rsidR="00CA3C5B" w14:paraId="43A35D4C" w14:textId="77777777" w:rsidTr="004B51F4">
        <w:trPr>
          <w:trHeight w:val="333"/>
        </w:trPr>
        <w:tc>
          <w:tcPr>
            <w:tcW w:w="4531" w:type="dxa"/>
          </w:tcPr>
          <w:p w14:paraId="472165C2" w14:textId="765D342B" w:rsidR="00CA3C5B" w:rsidRDefault="00260033" w:rsidP="004B51F4">
            <w:pPr>
              <w:pStyle w:val="TableCopy"/>
            </w:pPr>
            <w:r>
              <w:t>Number</w:t>
            </w:r>
            <w:r w:rsidR="00932420">
              <w:t xml:space="preserve"> </w:t>
            </w:r>
            <w:r>
              <w:t>of</w:t>
            </w:r>
            <w:r w:rsidR="00932420">
              <w:t xml:space="preserve"> </w:t>
            </w:r>
            <w:r>
              <w:t>people</w:t>
            </w:r>
            <w:r w:rsidR="00932420">
              <w:t xml:space="preserve"> </w:t>
            </w:r>
            <w:r>
              <w:t>employed</w:t>
            </w:r>
            <w:r w:rsidR="00932420">
              <w:t xml:space="preserve"> </w:t>
            </w:r>
            <w:r>
              <w:t>in</w:t>
            </w:r>
            <w:r w:rsidR="00932420">
              <w:t xml:space="preserve"> </w:t>
            </w:r>
            <w:r>
              <w:t>Victoria*</w:t>
            </w:r>
            <w:r w:rsidR="00932420">
              <w:t xml:space="preserve"> </w:t>
            </w:r>
            <w:r>
              <w:t>(number)</w:t>
            </w:r>
          </w:p>
        </w:tc>
        <w:tc>
          <w:tcPr>
            <w:tcW w:w="1276" w:type="dxa"/>
          </w:tcPr>
          <w:p w14:paraId="6749A3E8" w14:textId="77777777" w:rsidR="00CA3C5B" w:rsidRDefault="00260033" w:rsidP="004B51F4">
            <w:pPr>
              <w:pStyle w:val="TableCopy"/>
              <w:jc w:val="right"/>
            </w:pPr>
            <w:r>
              <w:t>3,391,600</w:t>
            </w:r>
          </w:p>
        </w:tc>
        <w:tc>
          <w:tcPr>
            <w:tcW w:w="1277" w:type="dxa"/>
          </w:tcPr>
          <w:p w14:paraId="0F21F2B8" w14:textId="77777777" w:rsidR="00CA3C5B" w:rsidRDefault="00260033" w:rsidP="004B51F4">
            <w:pPr>
              <w:pStyle w:val="TableCopy"/>
              <w:jc w:val="right"/>
            </w:pPr>
            <w:r>
              <w:t>3,354,600</w:t>
            </w:r>
          </w:p>
        </w:tc>
        <w:tc>
          <w:tcPr>
            <w:tcW w:w="1277" w:type="dxa"/>
          </w:tcPr>
          <w:p w14:paraId="246944DA" w14:textId="77777777" w:rsidR="00CA3C5B" w:rsidRDefault="00260033" w:rsidP="004B51F4">
            <w:pPr>
              <w:pStyle w:val="TableCopy"/>
              <w:jc w:val="right"/>
            </w:pPr>
            <w:r>
              <w:t>3,478,700</w:t>
            </w:r>
          </w:p>
        </w:tc>
        <w:tc>
          <w:tcPr>
            <w:tcW w:w="1277" w:type="dxa"/>
          </w:tcPr>
          <w:p w14:paraId="75832806" w14:textId="77777777" w:rsidR="00CA3C5B" w:rsidRDefault="00260033" w:rsidP="004B51F4">
            <w:pPr>
              <w:pStyle w:val="TableCopy"/>
              <w:jc w:val="right"/>
            </w:pPr>
            <w:r>
              <w:t>3,561,500</w:t>
            </w:r>
          </w:p>
        </w:tc>
      </w:tr>
    </w:tbl>
    <w:p w14:paraId="67AFEF52" w14:textId="7BDFF16C" w:rsidR="00CA3C5B" w:rsidRDefault="004B51F4" w:rsidP="004B51F4">
      <w:pPr>
        <w:pStyle w:val="FootnoteText"/>
        <w:spacing w:before="120" w:after="280"/>
        <w:rPr>
          <w:szCs w:val="20"/>
        </w:rPr>
      </w:pPr>
      <w:r>
        <w:t>*Source: FY 12-month average – ABS 6202 Victoria Employed Total Persons (Seasonally adjusted).</w:t>
      </w:r>
    </w:p>
    <w:p w14:paraId="637D1A84" w14:textId="0421BA41" w:rsidR="00CA3C5B" w:rsidRDefault="00260033" w:rsidP="004B51F4">
      <w:pPr>
        <w:pStyle w:val="FigureHeading"/>
      </w:pPr>
      <w:r>
        <w:lastRenderedPageBreak/>
        <w:t>Figure</w:t>
      </w:r>
      <w:r w:rsidR="00932420">
        <w:t xml:space="preserve"> </w:t>
      </w:r>
      <w:r>
        <w:t>1:</w:t>
      </w:r>
      <w:r w:rsidR="00932420">
        <w:t xml:space="preserve"> </w:t>
      </w:r>
      <w:r>
        <w:t>Number</w:t>
      </w:r>
      <w:r w:rsidR="00932420">
        <w:t xml:space="preserve"> </w:t>
      </w:r>
      <w:r>
        <w:t>of</w:t>
      </w:r>
      <w:r w:rsidR="00932420">
        <w:t xml:space="preserve"> </w:t>
      </w:r>
      <w:r>
        <w:t>people</w:t>
      </w:r>
      <w:r w:rsidR="00932420">
        <w:t xml:space="preserve"> </w:t>
      </w:r>
      <w:r>
        <w:t>employed</w:t>
      </w:r>
      <w:r w:rsidR="00932420">
        <w:t xml:space="preserve"> </w:t>
      </w:r>
      <w:r>
        <w:t>in</w:t>
      </w:r>
      <w:r w:rsidR="00932420">
        <w:t xml:space="preserve"> </w:t>
      </w:r>
      <w:r>
        <w:t>Victoria</w:t>
      </w:r>
    </w:p>
    <w:p w14:paraId="516F3236" w14:textId="1B857BA4" w:rsidR="00CA3C5B" w:rsidRDefault="00896C86" w:rsidP="004B51F4">
      <w:r>
        <w:rPr>
          <w:noProof/>
        </w:rPr>
        <w:drawing>
          <wp:inline distT="0" distB="0" distL="0" distR="0" wp14:anchorId="6AE4F3F4" wp14:editId="058F292E">
            <wp:extent cx="3235124" cy="2164423"/>
            <wp:effectExtent l="0" t="0" r="3810" b="7620"/>
            <wp:docPr id="1" name="Picture 1" descr="Figure 1: Number of people employed in Victoria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Number of people employed in Victoria graph. Data in table above."/>
                    <pic:cNvPicPr/>
                  </pic:nvPicPr>
                  <pic:blipFill>
                    <a:blip r:embed="rId10"/>
                    <a:stretch>
                      <a:fillRect/>
                    </a:stretch>
                  </pic:blipFill>
                  <pic:spPr>
                    <a:xfrm>
                      <a:off x="0" y="0"/>
                      <a:ext cx="3268284" cy="2186609"/>
                    </a:xfrm>
                    <a:prstGeom prst="rect">
                      <a:avLst/>
                    </a:prstGeom>
                  </pic:spPr>
                </pic:pic>
              </a:graphicData>
            </a:graphic>
          </wp:inline>
        </w:drawing>
      </w:r>
    </w:p>
    <w:p w14:paraId="31E62FEA" w14:textId="45A64CA5" w:rsidR="00CA3C5B" w:rsidRDefault="00260033" w:rsidP="00896C86">
      <w:r>
        <w:t>In</w:t>
      </w:r>
      <w:r w:rsidR="00932420">
        <w:t xml:space="preserve"> </w:t>
      </w:r>
      <w:r>
        <w:t>2022–23,</w:t>
      </w:r>
      <w:r w:rsidR="00932420">
        <w:t xml:space="preserve"> </w:t>
      </w:r>
      <w:r>
        <w:t>the</w:t>
      </w:r>
      <w:r w:rsidR="00932420">
        <w:t xml:space="preserve"> </w:t>
      </w:r>
      <w:r>
        <w:t>total</w:t>
      </w:r>
      <w:r w:rsidR="00932420">
        <w:t xml:space="preserve"> </w:t>
      </w:r>
      <w:r>
        <w:t>number</w:t>
      </w:r>
      <w:r w:rsidR="00932420">
        <w:t xml:space="preserve"> </w:t>
      </w:r>
      <w:r>
        <w:t>of</w:t>
      </w:r>
      <w:r w:rsidR="00932420">
        <w:t xml:space="preserve"> </w:t>
      </w:r>
      <w:r>
        <w:t>people</w:t>
      </w:r>
      <w:r w:rsidR="00932420">
        <w:t xml:space="preserve"> </w:t>
      </w:r>
      <w:r>
        <w:t>employed</w:t>
      </w:r>
      <w:r w:rsidR="00932420">
        <w:t xml:space="preserve"> </w:t>
      </w:r>
      <w:r>
        <w:t>in</w:t>
      </w:r>
      <w:r w:rsidR="00932420">
        <w:t xml:space="preserve"> </w:t>
      </w:r>
      <w:r>
        <w:t>Victoria</w:t>
      </w:r>
      <w:r w:rsidR="00932420">
        <w:t xml:space="preserve"> </w:t>
      </w:r>
      <w:r>
        <w:t>was</w:t>
      </w:r>
      <w:r w:rsidR="00932420">
        <w:t xml:space="preserve"> </w:t>
      </w:r>
      <w:r>
        <w:t>3,561,500,</w:t>
      </w:r>
      <w:r w:rsidR="00932420">
        <w:t xml:space="preserve"> </w:t>
      </w:r>
      <w:r>
        <w:t>an</w:t>
      </w:r>
      <w:r w:rsidR="00932420">
        <w:t xml:space="preserve"> </w:t>
      </w:r>
      <w:r>
        <w:t>increase</w:t>
      </w:r>
      <w:r w:rsidR="00932420">
        <w:t xml:space="preserve"> </w:t>
      </w:r>
      <w:r>
        <w:t>of</w:t>
      </w:r>
      <w:r w:rsidR="00932420">
        <w:t xml:space="preserve"> </w:t>
      </w:r>
      <w:r>
        <w:t>5%</w:t>
      </w:r>
      <w:r w:rsidR="00932420">
        <w:t xml:space="preserve"> </w:t>
      </w:r>
      <w:r>
        <w:t>over</w:t>
      </w:r>
      <w:r w:rsidR="00932420">
        <w:t xml:space="preserve"> </w:t>
      </w:r>
      <w:r>
        <w:t>the</w:t>
      </w:r>
      <w:r w:rsidR="00932420">
        <w:t xml:space="preserve"> </w:t>
      </w:r>
      <w:r>
        <w:t>2019–20</w:t>
      </w:r>
      <w:r w:rsidR="00932420">
        <w:t xml:space="preserve"> </w:t>
      </w:r>
      <w:r>
        <w:t>total</w:t>
      </w:r>
      <w:r w:rsidR="00932420">
        <w:t xml:space="preserve"> </w:t>
      </w:r>
      <w:r>
        <w:t>of</w:t>
      </w:r>
      <w:r w:rsidR="00932420">
        <w:t xml:space="preserve"> </w:t>
      </w:r>
      <w:r>
        <w:t>3,391,600.</w:t>
      </w:r>
      <w:r w:rsidR="00932420">
        <w:t xml:space="preserve"> </w:t>
      </w:r>
      <w:r>
        <w:t>The</w:t>
      </w:r>
      <w:r w:rsidR="00932420">
        <w:t xml:space="preserve"> </w:t>
      </w:r>
      <w:r>
        <w:t>department</w:t>
      </w:r>
      <w:r w:rsidR="00932420">
        <w:t xml:space="preserve"> </w:t>
      </w:r>
      <w:r>
        <w:t>nominated</w:t>
      </w:r>
      <w:r w:rsidR="00932420">
        <w:t xml:space="preserve"> </w:t>
      </w:r>
      <w:r>
        <w:t>14,900</w:t>
      </w:r>
      <w:r w:rsidR="00932420">
        <w:t xml:space="preserve"> </w:t>
      </w:r>
      <w:r>
        <w:t>skilled</w:t>
      </w:r>
      <w:r w:rsidR="00932420">
        <w:t xml:space="preserve"> </w:t>
      </w:r>
      <w:r>
        <w:t>migrants</w:t>
      </w:r>
      <w:r w:rsidR="00932420">
        <w:t xml:space="preserve"> </w:t>
      </w:r>
      <w:r>
        <w:t>to</w:t>
      </w:r>
      <w:r w:rsidR="00932420">
        <w:t xml:space="preserve"> </w:t>
      </w:r>
      <w:r>
        <w:t>live</w:t>
      </w:r>
      <w:r w:rsidR="00932420">
        <w:t xml:space="preserve"> </w:t>
      </w:r>
      <w:r>
        <w:t>and</w:t>
      </w:r>
      <w:r w:rsidR="00932420">
        <w:t xml:space="preserve"> </w:t>
      </w:r>
      <w:r>
        <w:t>work</w:t>
      </w:r>
      <w:r w:rsidR="00932420">
        <w:t xml:space="preserve"> </w:t>
      </w:r>
      <w:r>
        <w:t>in</w:t>
      </w:r>
      <w:r w:rsidR="00932420">
        <w:t xml:space="preserve"> </w:t>
      </w:r>
      <w:r>
        <w:t>Victoria,</w:t>
      </w:r>
      <w:r w:rsidR="00932420">
        <w:t xml:space="preserve"> </w:t>
      </w:r>
      <w:r>
        <w:t>including</w:t>
      </w:r>
      <w:r w:rsidR="00932420">
        <w:t xml:space="preserve"> </w:t>
      </w:r>
      <w:r>
        <w:t>those</w:t>
      </w:r>
      <w:r w:rsidR="00932420">
        <w:t xml:space="preserve"> </w:t>
      </w:r>
      <w:r>
        <w:t>with</w:t>
      </w:r>
      <w:r w:rsidR="00932420">
        <w:t xml:space="preserve"> </w:t>
      </w:r>
      <w:r>
        <w:t>skills</w:t>
      </w:r>
      <w:r w:rsidR="00932420">
        <w:t xml:space="preserve"> </w:t>
      </w:r>
      <w:r>
        <w:t>in</w:t>
      </w:r>
      <w:r w:rsidR="00932420">
        <w:t xml:space="preserve"> </w:t>
      </w:r>
      <w:r>
        <w:t>critical</w:t>
      </w:r>
      <w:r w:rsidR="00932420">
        <w:t xml:space="preserve"> </w:t>
      </w:r>
      <w:r>
        <w:t>Victorian</w:t>
      </w:r>
      <w:r w:rsidR="00932420">
        <w:t xml:space="preserve"> </w:t>
      </w:r>
      <w:r>
        <w:t>workforce</w:t>
      </w:r>
      <w:r w:rsidR="00932420">
        <w:t xml:space="preserve"> </w:t>
      </w:r>
      <w:r>
        <w:t>sectors.</w:t>
      </w:r>
      <w:r w:rsidR="00932420">
        <w:t xml:space="preserve"> </w:t>
      </w:r>
      <w:r>
        <w:t>This</w:t>
      </w:r>
      <w:r w:rsidR="00932420">
        <w:t xml:space="preserve"> </w:t>
      </w:r>
      <w:r>
        <w:t>included</w:t>
      </w:r>
      <w:r w:rsidR="00932420">
        <w:t xml:space="preserve"> </w:t>
      </w:r>
      <w:r>
        <w:t>providing</w:t>
      </w:r>
      <w:r w:rsidR="00932420">
        <w:t xml:space="preserve"> </w:t>
      </w:r>
      <w:r>
        <w:t>visa</w:t>
      </w:r>
      <w:r w:rsidR="00932420">
        <w:t xml:space="preserve"> </w:t>
      </w:r>
      <w:r>
        <w:t>nomination</w:t>
      </w:r>
      <w:r w:rsidR="00932420">
        <w:t xml:space="preserve"> </w:t>
      </w:r>
      <w:r>
        <w:t>to</w:t>
      </w:r>
      <w:r w:rsidR="00932420">
        <w:t xml:space="preserve"> </w:t>
      </w:r>
      <w:r>
        <w:t>4,251</w:t>
      </w:r>
      <w:r w:rsidR="00932420">
        <w:t xml:space="preserve"> </w:t>
      </w:r>
      <w:r>
        <w:t>skilled</w:t>
      </w:r>
      <w:r w:rsidR="00932420">
        <w:t xml:space="preserve"> </w:t>
      </w:r>
      <w:r>
        <w:t>migrants</w:t>
      </w:r>
      <w:r w:rsidR="00932420">
        <w:t xml:space="preserve"> </w:t>
      </w:r>
      <w:r>
        <w:t>in</w:t>
      </w:r>
      <w:r w:rsidR="00932420">
        <w:t xml:space="preserve"> </w:t>
      </w:r>
      <w:r>
        <w:t>health,</w:t>
      </w:r>
      <w:r w:rsidR="00932420">
        <w:t xml:space="preserve"> </w:t>
      </w:r>
      <w:r>
        <w:t>950</w:t>
      </w:r>
      <w:r w:rsidR="00932420">
        <w:t xml:space="preserve"> </w:t>
      </w:r>
      <w:r>
        <w:t>in</w:t>
      </w:r>
      <w:r w:rsidR="00932420">
        <w:t xml:space="preserve"> </w:t>
      </w:r>
      <w:r>
        <w:t>education,</w:t>
      </w:r>
      <w:r w:rsidR="00932420">
        <w:t xml:space="preserve"> </w:t>
      </w:r>
      <w:r>
        <w:t>398</w:t>
      </w:r>
      <w:r w:rsidR="00932420">
        <w:t xml:space="preserve"> </w:t>
      </w:r>
      <w:r>
        <w:t>in</w:t>
      </w:r>
      <w:r w:rsidR="00932420">
        <w:t xml:space="preserve"> </w:t>
      </w:r>
      <w:r>
        <w:t>social</w:t>
      </w:r>
      <w:r w:rsidR="00932420">
        <w:t xml:space="preserve"> </w:t>
      </w:r>
      <w:r>
        <w:t>services,</w:t>
      </w:r>
      <w:r w:rsidR="00932420">
        <w:t xml:space="preserve"> </w:t>
      </w:r>
      <w:r>
        <w:t>and</w:t>
      </w:r>
      <w:r w:rsidR="00932420">
        <w:t xml:space="preserve"> </w:t>
      </w:r>
      <w:r>
        <w:t>6,489</w:t>
      </w:r>
      <w:r w:rsidR="00932420">
        <w:t xml:space="preserve"> </w:t>
      </w:r>
      <w:r>
        <w:t>in</w:t>
      </w:r>
      <w:r w:rsidR="00932420">
        <w:t xml:space="preserve"> </w:t>
      </w:r>
      <w:r>
        <w:t>digital</w:t>
      </w:r>
      <w:r w:rsidR="00932420">
        <w:t xml:space="preserve"> </w:t>
      </w:r>
      <w:r>
        <w:t>and</w:t>
      </w:r>
      <w:r w:rsidR="00932420">
        <w:t xml:space="preserve"> </w:t>
      </w:r>
      <w:r>
        <w:t>advanced</w:t>
      </w:r>
      <w:r w:rsidR="00932420">
        <w:t xml:space="preserve"> </w:t>
      </w:r>
      <w:r>
        <w:t>manufacturing</w:t>
      </w:r>
      <w:r w:rsidR="00932420">
        <w:t xml:space="preserve"> </w:t>
      </w:r>
      <w:r>
        <w:t>sectors.</w:t>
      </w:r>
      <w:r w:rsidR="00932420">
        <w:t xml:space="preserve"> </w:t>
      </w:r>
      <w:r>
        <w:t>More</w:t>
      </w:r>
      <w:r w:rsidR="00932420">
        <w:t xml:space="preserve"> </w:t>
      </w:r>
      <w:r>
        <w:t>than</w:t>
      </w:r>
      <w:r w:rsidR="00932420">
        <w:t xml:space="preserve"> </w:t>
      </w:r>
      <w:r>
        <w:t>380</w:t>
      </w:r>
      <w:r w:rsidR="00932420">
        <w:t xml:space="preserve"> </w:t>
      </w:r>
      <w:proofErr w:type="gramStart"/>
      <w:r>
        <w:t>regionally-based</w:t>
      </w:r>
      <w:proofErr w:type="gramEnd"/>
      <w:r w:rsidR="00932420">
        <w:t xml:space="preserve"> </w:t>
      </w:r>
      <w:r>
        <w:t>skilled</w:t>
      </w:r>
      <w:r w:rsidR="00932420">
        <w:t xml:space="preserve"> </w:t>
      </w:r>
      <w:r>
        <w:t>migrants</w:t>
      </w:r>
      <w:r w:rsidR="00932420">
        <w:t xml:space="preserve"> </w:t>
      </w:r>
      <w:r>
        <w:t>were</w:t>
      </w:r>
      <w:r w:rsidR="00932420">
        <w:t xml:space="preserve"> </w:t>
      </w:r>
      <w:r>
        <w:t>nominated</w:t>
      </w:r>
      <w:r w:rsidR="00932420">
        <w:t xml:space="preserve"> </w:t>
      </w:r>
      <w:r>
        <w:t>in</w:t>
      </w:r>
      <w:r w:rsidR="00932420">
        <w:t xml:space="preserve"> </w:t>
      </w:r>
      <w:r>
        <w:t>the</w:t>
      </w:r>
      <w:r w:rsidR="00932420">
        <w:t xml:space="preserve"> </w:t>
      </w:r>
      <w:r>
        <w:t>hospitality</w:t>
      </w:r>
      <w:r w:rsidR="00932420">
        <w:t xml:space="preserve"> </w:t>
      </w:r>
      <w:r>
        <w:t>and</w:t>
      </w:r>
      <w:r w:rsidR="00932420">
        <w:t xml:space="preserve"> </w:t>
      </w:r>
      <w:r>
        <w:t>tourism</w:t>
      </w:r>
      <w:r w:rsidR="00932420">
        <w:t xml:space="preserve"> </w:t>
      </w:r>
      <w:r>
        <w:t>sectors</w:t>
      </w:r>
      <w:r w:rsidR="00932420">
        <w:t xml:space="preserve"> </w:t>
      </w:r>
      <w:r>
        <w:t>while</w:t>
      </w:r>
      <w:r w:rsidR="00932420">
        <w:t xml:space="preserve"> </w:t>
      </w:r>
      <w:r>
        <w:t>170</w:t>
      </w:r>
      <w:r w:rsidR="00932420">
        <w:t xml:space="preserve"> </w:t>
      </w:r>
      <w:r>
        <w:t>business</w:t>
      </w:r>
      <w:r w:rsidR="00932420">
        <w:t xml:space="preserve"> </w:t>
      </w:r>
      <w:r>
        <w:t>and</w:t>
      </w:r>
      <w:r w:rsidR="00932420">
        <w:t xml:space="preserve"> </w:t>
      </w:r>
      <w:r>
        <w:t>investor</w:t>
      </w:r>
      <w:r w:rsidR="00932420">
        <w:t xml:space="preserve"> </w:t>
      </w:r>
      <w:r>
        <w:t>migrants</w:t>
      </w:r>
      <w:r w:rsidR="00932420">
        <w:t xml:space="preserve"> </w:t>
      </w:r>
      <w:r>
        <w:t>were</w:t>
      </w:r>
      <w:r w:rsidR="00932420">
        <w:t xml:space="preserve"> </w:t>
      </w:r>
      <w:r>
        <w:t>nominated</w:t>
      </w:r>
      <w:r w:rsidR="00932420">
        <w:t xml:space="preserve"> </w:t>
      </w:r>
      <w:r>
        <w:t>to</w:t>
      </w:r>
      <w:r w:rsidR="00932420">
        <w:t xml:space="preserve"> </w:t>
      </w:r>
      <w:r>
        <w:t>start</w:t>
      </w:r>
      <w:r w:rsidR="00932420">
        <w:t xml:space="preserve"> </w:t>
      </w:r>
      <w:r>
        <w:t>job-creating</w:t>
      </w:r>
      <w:r w:rsidR="00932420">
        <w:t xml:space="preserve"> </w:t>
      </w:r>
      <w:r>
        <w:t>businesses</w:t>
      </w:r>
      <w:r w:rsidR="00932420">
        <w:t xml:space="preserve"> </w:t>
      </w:r>
      <w:r>
        <w:t>and</w:t>
      </w:r>
      <w:r w:rsidR="00932420">
        <w:t xml:space="preserve"> </w:t>
      </w:r>
      <w:r>
        <w:t>invest</w:t>
      </w:r>
      <w:r w:rsidR="00932420">
        <w:t xml:space="preserve"> </w:t>
      </w:r>
      <w:r>
        <w:t>in</w:t>
      </w:r>
      <w:r w:rsidR="00932420">
        <w:t xml:space="preserve"> </w:t>
      </w:r>
      <w:r>
        <w:t>Victoria.</w:t>
      </w:r>
      <w:r w:rsidR="00932420">
        <w:t xml:space="preserve"> </w:t>
      </w:r>
      <w:r>
        <w:t>The</w:t>
      </w:r>
      <w:r w:rsidR="00932420">
        <w:t xml:space="preserve"> </w:t>
      </w:r>
      <w:r>
        <w:t>department</w:t>
      </w:r>
      <w:r w:rsidR="00932420">
        <w:t xml:space="preserve"> </w:t>
      </w:r>
      <w:r>
        <w:t>also</w:t>
      </w:r>
      <w:r w:rsidR="00932420">
        <w:t xml:space="preserve"> </w:t>
      </w:r>
      <w:r>
        <w:t>assisted</w:t>
      </w:r>
      <w:r w:rsidR="00932420">
        <w:t xml:space="preserve"> </w:t>
      </w:r>
      <w:r>
        <w:t>overseas-qualified</w:t>
      </w:r>
      <w:r w:rsidR="00932420">
        <w:t xml:space="preserve"> </w:t>
      </w:r>
      <w:r>
        <w:t>professionals</w:t>
      </w:r>
      <w:r w:rsidR="00932420">
        <w:t xml:space="preserve"> </w:t>
      </w:r>
      <w:r>
        <w:t>to</w:t>
      </w:r>
      <w:r w:rsidR="00932420">
        <w:t xml:space="preserve"> </w:t>
      </w:r>
      <w:r>
        <w:t>gain</w:t>
      </w:r>
      <w:r w:rsidR="00932420">
        <w:t xml:space="preserve"> </w:t>
      </w:r>
      <w:r>
        <w:t>employment</w:t>
      </w:r>
      <w:r w:rsidR="00932420">
        <w:t xml:space="preserve"> </w:t>
      </w:r>
      <w:r>
        <w:t>by</w:t>
      </w:r>
      <w:r w:rsidR="00932420">
        <w:t xml:space="preserve"> </w:t>
      </w:r>
      <w:r>
        <w:t>assessing</w:t>
      </w:r>
      <w:r w:rsidR="00932420">
        <w:t xml:space="preserve"> </w:t>
      </w:r>
      <w:r>
        <w:t>qualifications</w:t>
      </w:r>
      <w:r w:rsidR="00932420">
        <w:t xml:space="preserve"> </w:t>
      </w:r>
      <w:r>
        <w:t>of</w:t>
      </w:r>
      <w:r w:rsidR="00932420">
        <w:t xml:space="preserve"> </w:t>
      </w:r>
      <w:r>
        <w:t>more</w:t>
      </w:r>
      <w:r w:rsidR="00932420">
        <w:t xml:space="preserve"> </w:t>
      </w:r>
      <w:r>
        <w:t>than</w:t>
      </w:r>
      <w:r w:rsidR="00932420">
        <w:t xml:space="preserve"> </w:t>
      </w:r>
      <w:r>
        <w:t>1,721</w:t>
      </w:r>
      <w:r w:rsidR="00932420">
        <w:t xml:space="preserve"> </w:t>
      </w:r>
      <w:r>
        <w:t>skilled</w:t>
      </w:r>
      <w:r w:rsidR="00932420">
        <w:t xml:space="preserve"> </w:t>
      </w:r>
      <w:r>
        <w:t>professionals.</w:t>
      </w:r>
      <w:r w:rsidR="00932420">
        <w:t xml:space="preserve"> </w:t>
      </w:r>
      <w:r>
        <w:t>The</w:t>
      </w:r>
      <w:r w:rsidR="00932420">
        <w:t xml:space="preserve"> </w:t>
      </w:r>
      <w:r>
        <w:t>assessment</w:t>
      </w:r>
      <w:r w:rsidR="00932420">
        <w:t xml:space="preserve"> </w:t>
      </w:r>
      <w:r>
        <w:t>of</w:t>
      </w:r>
      <w:r w:rsidR="00932420">
        <w:t xml:space="preserve"> </w:t>
      </w:r>
      <w:r>
        <w:t>these</w:t>
      </w:r>
      <w:r w:rsidR="00932420">
        <w:t xml:space="preserve"> </w:t>
      </w:r>
      <w:r>
        <w:t>professionals</w:t>
      </w:r>
      <w:r w:rsidR="00932420">
        <w:t xml:space="preserve"> </w:t>
      </w:r>
      <w:r>
        <w:t>helped</w:t>
      </w:r>
      <w:r w:rsidR="00932420">
        <w:t xml:space="preserve"> </w:t>
      </w:r>
      <w:r>
        <w:t>confirm</w:t>
      </w:r>
      <w:r w:rsidR="00932420">
        <w:t xml:space="preserve"> </w:t>
      </w:r>
      <w:r>
        <w:t>that</w:t>
      </w:r>
      <w:r w:rsidR="00932420">
        <w:t xml:space="preserve"> </w:t>
      </w:r>
      <w:r>
        <w:t>their</w:t>
      </w:r>
      <w:r w:rsidR="00932420">
        <w:t xml:space="preserve"> </w:t>
      </w:r>
      <w:r>
        <w:t>overseas</w:t>
      </w:r>
      <w:r w:rsidR="00932420">
        <w:t xml:space="preserve"> </w:t>
      </w:r>
      <w:r>
        <w:t>qualifications</w:t>
      </w:r>
      <w:r w:rsidR="00932420">
        <w:t xml:space="preserve"> </w:t>
      </w:r>
      <w:r>
        <w:t>would</w:t>
      </w:r>
      <w:r w:rsidR="00932420">
        <w:t xml:space="preserve"> </w:t>
      </w:r>
      <w:r>
        <w:t>be</w:t>
      </w:r>
      <w:r w:rsidR="00932420">
        <w:t xml:space="preserve"> </w:t>
      </w:r>
      <w:r>
        <w:t>recognised</w:t>
      </w:r>
      <w:r w:rsidR="00932420">
        <w:t xml:space="preserve"> </w:t>
      </w:r>
      <w:r>
        <w:t>in</w:t>
      </w:r>
      <w:r w:rsidR="00932420">
        <w:t xml:space="preserve"> </w:t>
      </w:r>
      <w:r>
        <w:t>Australia.</w:t>
      </w:r>
    </w:p>
    <w:p w14:paraId="66C8E5DE" w14:textId="43D53643" w:rsidR="00CA3C5B" w:rsidRDefault="00260033" w:rsidP="00896C86">
      <w:r>
        <w:t>The</w:t>
      </w:r>
      <w:r w:rsidR="00932420">
        <w:t xml:space="preserve"> </w:t>
      </w:r>
      <w:r>
        <w:t>Digital</w:t>
      </w:r>
      <w:r w:rsidR="00932420">
        <w:t xml:space="preserve"> </w:t>
      </w:r>
      <w:r>
        <w:t>Jobs</w:t>
      </w:r>
      <w:r w:rsidR="00932420">
        <w:t xml:space="preserve"> </w:t>
      </w:r>
      <w:r>
        <w:t>program</w:t>
      </w:r>
      <w:r w:rsidR="00932420">
        <w:t xml:space="preserve"> </w:t>
      </w:r>
      <w:r>
        <w:t>directly</w:t>
      </w:r>
      <w:r w:rsidR="00932420">
        <w:t xml:space="preserve"> </w:t>
      </w:r>
      <w:r>
        <w:t>contributed</w:t>
      </w:r>
      <w:r w:rsidR="00932420">
        <w:t xml:space="preserve"> </w:t>
      </w:r>
      <w:r>
        <w:t>to</w:t>
      </w:r>
      <w:r w:rsidR="00932420">
        <w:t xml:space="preserve"> </w:t>
      </w:r>
      <w:r>
        <w:t>job</w:t>
      </w:r>
      <w:r w:rsidR="00932420">
        <w:t xml:space="preserve"> </w:t>
      </w:r>
      <w:r>
        <w:t>creation</w:t>
      </w:r>
      <w:r w:rsidR="00932420">
        <w:t xml:space="preserve"> </w:t>
      </w:r>
      <w:r>
        <w:t>in</w:t>
      </w:r>
      <w:r w:rsidR="00932420">
        <w:t xml:space="preserve"> </w:t>
      </w:r>
      <w:r>
        <w:t>2022–23</w:t>
      </w:r>
      <w:r w:rsidR="00932420">
        <w:t xml:space="preserve"> </w:t>
      </w:r>
      <w:r>
        <w:t>by</w:t>
      </w:r>
      <w:r w:rsidR="00932420">
        <w:t xml:space="preserve"> </w:t>
      </w:r>
      <w:r>
        <w:t>providing</w:t>
      </w:r>
      <w:r w:rsidR="00932420">
        <w:t xml:space="preserve"> </w:t>
      </w:r>
      <w:r>
        <w:t>2,646</w:t>
      </w:r>
      <w:r w:rsidR="00932420">
        <w:t xml:space="preserve"> </w:t>
      </w:r>
      <w:r>
        <w:t>participants</w:t>
      </w:r>
      <w:r w:rsidR="00932420">
        <w:t xml:space="preserve"> </w:t>
      </w:r>
      <w:r>
        <w:t>with</w:t>
      </w:r>
      <w:r w:rsidR="00932420">
        <w:t xml:space="preserve"> </w:t>
      </w:r>
      <w:r>
        <w:t>technical</w:t>
      </w:r>
      <w:r w:rsidR="00932420">
        <w:t xml:space="preserve"> </w:t>
      </w:r>
      <w:r>
        <w:t>training,</w:t>
      </w:r>
      <w:r w:rsidR="00932420">
        <w:t xml:space="preserve"> </w:t>
      </w:r>
      <w:r>
        <w:t>career</w:t>
      </w:r>
      <w:r w:rsidR="00932420">
        <w:t xml:space="preserve"> </w:t>
      </w:r>
      <w:r>
        <w:t>guidance,</w:t>
      </w:r>
      <w:r w:rsidR="00932420">
        <w:t xml:space="preserve"> </w:t>
      </w:r>
      <w:r>
        <w:t>mentoring,</w:t>
      </w:r>
      <w:r w:rsidR="00932420">
        <w:t xml:space="preserve"> </w:t>
      </w:r>
      <w:r>
        <w:t>exposure</w:t>
      </w:r>
      <w:r w:rsidR="00932420">
        <w:t xml:space="preserve"> </w:t>
      </w:r>
      <w:r>
        <w:t>to</w:t>
      </w:r>
      <w:r w:rsidR="00932420">
        <w:t xml:space="preserve"> </w:t>
      </w:r>
      <w:r>
        <w:t>employers,</w:t>
      </w:r>
      <w:r w:rsidR="00932420">
        <w:t xml:space="preserve"> </w:t>
      </w:r>
      <w:r>
        <w:t>and</w:t>
      </w:r>
      <w:r w:rsidR="00932420">
        <w:t xml:space="preserve"> </w:t>
      </w:r>
      <w:r>
        <w:t>opportunities</w:t>
      </w:r>
      <w:r w:rsidR="00932420">
        <w:t xml:space="preserve"> </w:t>
      </w:r>
      <w:r>
        <w:t>to</w:t>
      </w:r>
      <w:r w:rsidR="00932420">
        <w:t xml:space="preserve"> </w:t>
      </w:r>
      <w:r>
        <w:t>apply</w:t>
      </w:r>
      <w:r w:rsidR="00932420">
        <w:t xml:space="preserve"> </w:t>
      </w:r>
      <w:r>
        <w:t>for</w:t>
      </w:r>
      <w:r w:rsidR="00932420">
        <w:t xml:space="preserve"> </w:t>
      </w:r>
      <w:r>
        <w:t>entry-level</w:t>
      </w:r>
      <w:r w:rsidR="00932420">
        <w:t xml:space="preserve"> </w:t>
      </w:r>
      <w:r>
        <w:t>and</w:t>
      </w:r>
      <w:r w:rsidR="00932420">
        <w:t xml:space="preserve"> </w:t>
      </w:r>
      <w:r>
        <w:t>digital-focused</w:t>
      </w:r>
      <w:r w:rsidR="00932420">
        <w:t xml:space="preserve"> </w:t>
      </w:r>
      <w:r>
        <w:t>jobs.</w:t>
      </w:r>
      <w:r w:rsidR="00932420">
        <w:t xml:space="preserve"> </w:t>
      </w:r>
      <w:r>
        <w:t>A</w:t>
      </w:r>
      <w:r w:rsidR="00932420">
        <w:t xml:space="preserve"> </w:t>
      </w:r>
      <w:r>
        <w:t>total</w:t>
      </w:r>
      <w:r w:rsidR="00932420">
        <w:t xml:space="preserve"> </w:t>
      </w:r>
      <w:r>
        <w:t>of</w:t>
      </w:r>
      <w:r w:rsidR="00932420">
        <w:t xml:space="preserve"> </w:t>
      </w:r>
      <w:r>
        <w:t>226</w:t>
      </w:r>
      <w:r w:rsidR="00932420">
        <w:t xml:space="preserve"> </w:t>
      </w:r>
      <w:r>
        <w:t>Victorian</w:t>
      </w:r>
      <w:r w:rsidR="00932420">
        <w:t xml:space="preserve"> </w:t>
      </w:r>
      <w:r>
        <w:t>manufacturing</w:t>
      </w:r>
      <w:r w:rsidR="00932420">
        <w:t xml:space="preserve"> </w:t>
      </w:r>
      <w:r>
        <w:t>businesses’</w:t>
      </w:r>
      <w:r w:rsidR="00932420">
        <w:t xml:space="preserve"> </w:t>
      </w:r>
      <w:r>
        <w:t>employees</w:t>
      </w:r>
      <w:r w:rsidR="00932420">
        <w:t xml:space="preserve"> </w:t>
      </w:r>
      <w:r>
        <w:t>were</w:t>
      </w:r>
      <w:r w:rsidR="00932420">
        <w:t xml:space="preserve"> </w:t>
      </w:r>
      <w:r>
        <w:t>funded</w:t>
      </w:r>
      <w:r w:rsidR="00932420">
        <w:t xml:space="preserve"> </w:t>
      </w:r>
      <w:r>
        <w:t>to</w:t>
      </w:r>
      <w:r w:rsidR="00932420">
        <w:t xml:space="preserve"> </w:t>
      </w:r>
      <w:r>
        <w:t>undertake</w:t>
      </w:r>
      <w:r w:rsidR="00932420">
        <w:t xml:space="preserve"> </w:t>
      </w:r>
      <w:r>
        <w:t>fully</w:t>
      </w:r>
      <w:r w:rsidR="00932420">
        <w:t xml:space="preserve"> </w:t>
      </w:r>
      <w:r>
        <w:t>subsidised</w:t>
      </w:r>
      <w:r w:rsidR="00932420">
        <w:t xml:space="preserve"> </w:t>
      </w:r>
      <w:r>
        <w:t>training</w:t>
      </w:r>
      <w:r w:rsidR="00932420">
        <w:t xml:space="preserve"> </w:t>
      </w:r>
      <w:r>
        <w:t>through</w:t>
      </w:r>
      <w:r w:rsidR="00932420">
        <w:t xml:space="preserve"> </w:t>
      </w:r>
      <w:r>
        <w:t>the</w:t>
      </w:r>
      <w:r w:rsidR="00932420">
        <w:t xml:space="preserve"> </w:t>
      </w:r>
      <w:r>
        <w:t>Digital</w:t>
      </w:r>
      <w:r w:rsidR="00932420">
        <w:t xml:space="preserve"> </w:t>
      </w:r>
      <w:r>
        <w:t>Jobs</w:t>
      </w:r>
      <w:r w:rsidR="00932420">
        <w:t xml:space="preserve"> </w:t>
      </w:r>
      <w:r>
        <w:t>for</w:t>
      </w:r>
      <w:r w:rsidR="00932420">
        <w:t xml:space="preserve"> </w:t>
      </w:r>
      <w:r>
        <w:t>Manufacturing</w:t>
      </w:r>
      <w:r w:rsidR="00932420">
        <w:t xml:space="preserve"> </w:t>
      </w:r>
      <w:r>
        <w:t>program</w:t>
      </w:r>
      <w:r w:rsidR="00932420">
        <w:t xml:space="preserve"> </w:t>
      </w:r>
      <w:r>
        <w:t>–</w:t>
      </w:r>
      <w:r w:rsidR="00932420">
        <w:t xml:space="preserve"> </w:t>
      </w:r>
      <w:r>
        <w:t>providing</w:t>
      </w:r>
      <w:r w:rsidR="00932420">
        <w:t xml:space="preserve"> </w:t>
      </w:r>
      <w:r>
        <w:t>individuals</w:t>
      </w:r>
      <w:r w:rsidR="00932420">
        <w:t xml:space="preserve"> </w:t>
      </w:r>
      <w:r>
        <w:t>with</w:t>
      </w:r>
      <w:r w:rsidR="00932420">
        <w:t xml:space="preserve"> </w:t>
      </w:r>
      <w:r>
        <w:t>opportunities</w:t>
      </w:r>
      <w:r w:rsidR="00932420">
        <w:t xml:space="preserve"> </w:t>
      </w:r>
      <w:r>
        <w:t>to</w:t>
      </w:r>
      <w:r w:rsidR="00932420">
        <w:t xml:space="preserve"> </w:t>
      </w:r>
      <w:r>
        <w:t>progress</w:t>
      </w:r>
      <w:r w:rsidR="00932420">
        <w:t xml:space="preserve"> </w:t>
      </w:r>
      <w:r>
        <w:t>into</w:t>
      </w:r>
      <w:r w:rsidR="00932420">
        <w:t xml:space="preserve"> </w:t>
      </w:r>
      <w:r>
        <w:t>more</w:t>
      </w:r>
      <w:r w:rsidR="00932420">
        <w:t xml:space="preserve"> </w:t>
      </w:r>
      <w:r>
        <w:t>technically</w:t>
      </w:r>
      <w:r w:rsidR="00932420">
        <w:t xml:space="preserve"> </w:t>
      </w:r>
      <w:r>
        <w:t>advanced</w:t>
      </w:r>
      <w:r w:rsidR="00932420">
        <w:t xml:space="preserve"> </w:t>
      </w:r>
      <w:r>
        <w:t>roles.</w:t>
      </w:r>
    </w:p>
    <w:p w14:paraId="442768E3" w14:textId="444A455E" w:rsidR="00CA3C5B" w:rsidRDefault="00260033" w:rsidP="00896C86">
      <w:r>
        <w:t>The</w:t>
      </w:r>
      <w:r w:rsidR="00932420">
        <w:t xml:space="preserve"> </w:t>
      </w:r>
      <w:r>
        <w:t>department’s</w:t>
      </w:r>
      <w:r w:rsidR="00932420">
        <w:t xml:space="preserve"> </w:t>
      </w:r>
      <w:r>
        <w:t>domestic</w:t>
      </w:r>
      <w:r w:rsidR="00932420">
        <w:t xml:space="preserve"> </w:t>
      </w:r>
      <w:r>
        <w:t>attraction</w:t>
      </w:r>
      <w:r w:rsidR="00932420">
        <w:t xml:space="preserve"> </w:t>
      </w:r>
      <w:r>
        <w:t>and</w:t>
      </w:r>
      <w:r w:rsidR="00932420">
        <w:t xml:space="preserve"> </w:t>
      </w:r>
      <w:r>
        <w:t>facilitation</w:t>
      </w:r>
      <w:r w:rsidR="00932420">
        <w:t xml:space="preserve"> </w:t>
      </w:r>
      <w:r>
        <w:t>activities</w:t>
      </w:r>
      <w:r w:rsidR="00932420">
        <w:t xml:space="preserve"> </w:t>
      </w:r>
      <w:r>
        <w:t>secured</w:t>
      </w:r>
      <w:r w:rsidR="00932420">
        <w:t xml:space="preserve"> </w:t>
      </w:r>
      <w:r>
        <w:t>several</w:t>
      </w:r>
      <w:r w:rsidR="00932420">
        <w:t xml:space="preserve"> </w:t>
      </w:r>
      <w:r>
        <w:t>investments</w:t>
      </w:r>
      <w:r w:rsidR="00932420">
        <w:t xml:space="preserve"> </w:t>
      </w:r>
      <w:r>
        <w:t>in</w:t>
      </w:r>
      <w:r w:rsidR="00932420">
        <w:t xml:space="preserve"> </w:t>
      </w:r>
      <w:r>
        <w:t>Victoria</w:t>
      </w:r>
      <w:r w:rsidR="00932420">
        <w:t xml:space="preserve"> </w:t>
      </w:r>
      <w:r>
        <w:t>by</w:t>
      </w:r>
      <w:r w:rsidR="00932420">
        <w:t xml:space="preserve"> </w:t>
      </w:r>
      <w:r>
        <w:t>Australian</w:t>
      </w:r>
      <w:r w:rsidR="00932420">
        <w:t xml:space="preserve"> </w:t>
      </w:r>
      <w:r>
        <w:t>businesses.</w:t>
      </w:r>
      <w:r w:rsidR="00932420">
        <w:t xml:space="preserve"> </w:t>
      </w:r>
      <w:r>
        <w:t>These</w:t>
      </w:r>
      <w:r w:rsidR="00932420">
        <w:t xml:space="preserve"> </w:t>
      </w:r>
      <w:r>
        <w:t>projects</w:t>
      </w:r>
      <w:r w:rsidR="00932420">
        <w:t xml:space="preserve"> </w:t>
      </w:r>
      <w:r>
        <w:t>will</w:t>
      </w:r>
      <w:r w:rsidR="00932420">
        <w:t xml:space="preserve"> </w:t>
      </w:r>
      <w:r>
        <w:t>support</w:t>
      </w:r>
      <w:r w:rsidR="00932420">
        <w:t xml:space="preserve"> </w:t>
      </w:r>
      <w:r>
        <w:t>delivery</w:t>
      </w:r>
      <w:r w:rsidR="00932420">
        <w:t xml:space="preserve"> </w:t>
      </w:r>
      <w:r>
        <w:t>of</w:t>
      </w:r>
      <w:r w:rsidR="00932420">
        <w:t xml:space="preserve"> </w:t>
      </w:r>
      <w:r>
        <w:t>more</w:t>
      </w:r>
      <w:r w:rsidR="00932420">
        <w:t xml:space="preserve"> </w:t>
      </w:r>
      <w:r>
        <w:t>than</w:t>
      </w:r>
      <w:r w:rsidR="00932420">
        <w:t xml:space="preserve"> </w:t>
      </w:r>
      <w:r>
        <w:t>1,700</w:t>
      </w:r>
      <w:r w:rsidR="00932420">
        <w:t xml:space="preserve"> </w:t>
      </w:r>
      <w:r>
        <w:t>jobs</w:t>
      </w:r>
      <w:r w:rsidR="00932420">
        <w:t xml:space="preserve"> </w:t>
      </w:r>
      <w:r>
        <w:t>to</w:t>
      </w:r>
      <w:r w:rsidR="00932420">
        <w:t xml:space="preserve"> </w:t>
      </w:r>
      <w:r>
        <w:t>the</w:t>
      </w:r>
      <w:r w:rsidR="00932420">
        <w:t xml:space="preserve"> </w:t>
      </w:r>
      <w:r>
        <w:t>Victorian</w:t>
      </w:r>
      <w:r w:rsidR="00932420">
        <w:t xml:space="preserve"> </w:t>
      </w:r>
      <w:r>
        <w:t>economy</w:t>
      </w:r>
      <w:r w:rsidR="00932420">
        <w:t xml:space="preserve"> </w:t>
      </w:r>
      <w:r>
        <w:t>as</w:t>
      </w:r>
      <w:r w:rsidR="00932420">
        <w:t xml:space="preserve"> </w:t>
      </w:r>
      <w:r>
        <w:t>they</w:t>
      </w:r>
      <w:r w:rsidR="00932420">
        <w:t xml:space="preserve"> </w:t>
      </w:r>
      <w:r>
        <w:t>are</w:t>
      </w:r>
      <w:r w:rsidR="00932420">
        <w:t xml:space="preserve"> </w:t>
      </w:r>
      <w:r>
        <w:t>implemented.</w:t>
      </w:r>
      <w:r w:rsidR="00932420">
        <w:t xml:space="preserve"> </w:t>
      </w:r>
      <w:r>
        <w:t>The</w:t>
      </w:r>
      <w:r w:rsidR="00932420">
        <w:t xml:space="preserve"> </w:t>
      </w:r>
      <w:r>
        <w:t>investments</w:t>
      </w:r>
      <w:r w:rsidR="00932420">
        <w:t xml:space="preserve"> </w:t>
      </w:r>
      <w:r>
        <w:t>were</w:t>
      </w:r>
      <w:r w:rsidR="00932420">
        <w:t xml:space="preserve"> </w:t>
      </w:r>
      <w:r>
        <w:t>largely</w:t>
      </w:r>
      <w:r w:rsidR="00932420">
        <w:t xml:space="preserve"> </w:t>
      </w:r>
      <w:r>
        <w:t>secured</w:t>
      </w:r>
      <w:r w:rsidR="00932420">
        <w:t xml:space="preserve"> </w:t>
      </w:r>
      <w:r>
        <w:t>with</w:t>
      </w:r>
      <w:r w:rsidR="00932420">
        <w:t xml:space="preserve"> </w:t>
      </w:r>
      <w:r>
        <w:t>grants</w:t>
      </w:r>
      <w:r w:rsidR="00932420">
        <w:t xml:space="preserve"> </w:t>
      </w:r>
      <w:r>
        <w:t>from</w:t>
      </w:r>
      <w:r w:rsidR="00932420">
        <w:t xml:space="preserve"> </w:t>
      </w:r>
      <w:r>
        <w:t>Victorian</w:t>
      </w:r>
      <w:r w:rsidR="00932420">
        <w:t xml:space="preserve"> </w:t>
      </w:r>
      <w:r>
        <w:t>Jobs</w:t>
      </w:r>
      <w:r w:rsidR="00932420">
        <w:t xml:space="preserve"> </w:t>
      </w:r>
      <w:r>
        <w:t>and</w:t>
      </w:r>
      <w:r w:rsidR="00932420">
        <w:t xml:space="preserve"> </w:t>
      </w:r>
      <w:r>
        <w:t>Investment</w:t>
      </w:r>
      <w:r w:rsidR="00932420">
        <w:t xml:space="preserve"> </w:t>
      </w:r>
      <w:r>
        <w:t>Fund</w:t>
      </w:r>
      <w:r w:rsidR="00932420">
        <w:t xml:space="preserve"> </w:t>
      </w:r>
      <w:r>
        <w:t>streams</w:t>
      </w:r>
      <w:r w:rsidR="00932420">
        <w:t xml:space="preserve"> </w:t>
      </w:r>
      <w:r>
        <w:t>and</w:t>
      </w:r>
      <w:r w:rsidR="00932420">
        <w:t xml:space="preserve"> </w:t>
      </w:r>
      <w:r>
        <w:t>investment</w:t>
      </w:r>
      <w:r w:rsidR="00932420">
        <w:t xml:space="preserve"> </w:t>
      </w:r>
      <w:r>
        <w:t>attraction-related</w:t>
      </w:r>
      <w:r w:rsidR="00932420">
        <w:t xml:space="preserve"> </w:t>
      </w:r>
      <w:r>
        <w:t>programs.</w:t>
      </w:r>
      <w:r w:rsidR="00932420">
        <w:t xml:space="preserve"> </w:t>
      </w:r>
      <w:r>
        <w:t>The</w:t>
      </w:r>
      <w:r w:rsidR="00932420">
        <w:t xml:space="preserve"> </w:t>
      </w:r>
      <w:r>
        <w:t>projects</w:t>
      </w:r>
      <w:r w:rsidR="00932420">
        <w:t xml:space="preserve"> </w:t>
      </w:r>
      <w:r>
        <w:t>are</w:t>
      </w:r>
      <w:r w:rsidR="00932420">
        <w:t xml:space="preserve"> </w:t>
      </w:r>
      <w:r>
        <w:t>a</w:t>
      </w:r>
      <w:r w:rsidR="00932420">
        <w:t xml:space="preserve"> </w:t>
      </w:r>
      <w:r>
        <w:t>mix</w:t>
      </w:r>
      <w:r w:rsidR="00932420">
        <w:t xml:space="preserve"> </w:t>
      </w:r>
      <w:r>
        <w:t>of</w:t>
      </w:r>
      <w:r w:rsidR="00932420">
        <w:t xml:space="preserve"> </w:t>
      </w:r>
      <w:r>
        <w:t>large</w:t>
      </w:r>
      <w:r w:rsidR="00932420">
        <w:t xml:space="preserve"> </w:t>
      </w:r>
      <w:r>
        <w:t>and</w:t>
      </w:r>
      <w:r w:rsidR="00932420">
        <w:t xml:space="preserve"> </w:t>
      </w:r>
      <w:r>
        <w:t>strategic,</w:t>
      </w:r>
      <w:r w:rsidR="00932420">
        <w:t xml:space="preserve"> </w:t>
      </w:r>
      <w:r>
        <w:t>through</w:t>
      </w:r>
      <w:r w:rsidR="00932420">
        <w:t xml:space="preserve"> </w:t>
      </w:r>
      <w:r>
        <w:t>to</w:t>
      </w:r>
      <w:r w:rsidR="00932420">
        <w:t xml:space="preserve"> </w:t>
      </w:r>
      <w:r>
        <w:t>smaller</w:t>
      </w:r>
      <w:r w:rsidR="00932420">
        <w:t xml:space="preserve"> </w:t>
      </w:r>
      <w:r>
        <w:t>projects</w:t>
      </w:r>
      <w:r w:rsidR="00932420">
        <w:t xml:space="preserve"> </w:t>
      </w:r>
      <w:r>
        <w:t>aimed</w:t>
      </w:r>
      <w:r w:rsidR="00932420">
        <w:t xml:space="preserve"> </w:t>
      </w:r>
      <w:r>
        <w:t>at</w:t>
      </w:r>
      <w:r w:rsidR="00932420">
        <w:t xml:space="preserve"> </w:t>
      </w:r>
      <w:r>
        <w:t>supporting</w:t>
      </w:r>
      <w:r w:rsidR="00932420">
        <w:t xml:space="preserve"> </w:t>
      </w:r>
      <w:r>
        <w:t>medium</w:t>
      </w:r>
      <w:r w:rsidR="00932420">
        <w:t xml:space="preserve"> </w:t>
      </w:r>
      <w:r>
        <w:t>to</w:t>
      </w:r>
      <w:r w:rsidR="00932420">
        <w:t xml:space="preserve"> </w:t>
      </w:r>
      <w:r>
        <w:t>large</w:t>
      </w:r>
      <w:r w:rsidR="00932420">
        <w:t xml:space="preserve"> </w:t>
      </w:r>
      <w:r>
        <w:t>and</w:t>
      </w:r>
      <w:r w:rsidR="00932420">
        <w:t xml:space="preserve"> </w:t>
      </w:r>
      <w:r>
        <w:t>high</w:t>
      </w:r>
      <w:r w:rsidR="00932420">
        <w:t xml:space="preserve"> </w:t>
      </w:r>
      <w:r>
        <w:t>potential</w:t>
      </w:r>
      <w:r w:rsidR="00932420">
        <w:t xml:space="preserve"> </w:t>
      </w:r>
      <w:r>
        <w:t>businesses</w:t>
      </w:r>
      <w:r w:rsidR="00932420">
        <w:t xml:space="preserve"> </w:t>
      </w:r>
      <w:r>
        <w:t>to</w:t>
      </w:r>
      <w:r w:rsidR="00932420">
        <w:t xml:space="preserve"> </w:t>
      </w:r>
      <w:r>
        <w:t>accelerate</w:t>
      </w:r>
      <w:r w:rsidR="00932420">
        <w:t xml:space="preserve"> </w:t>
      </w:r>
      <w:r>
        <w:t>their</w:t>
      </w:r>
      <w:r w:rsidR="00932420">
        <w:t xml:space="preserve"> </w:t>
      </w:r>
      <w:r>
        <w:t>growth</w:t>
      </w:r>
      <w:r w:rsidR="00932420">
        <w:t xml:space="preserve"> </w:t>
      </w:r>
      <w:r>
        <w:t>trajectory.</w:t>
      </w:r>
      <w:r w:rsidR="00932420">
        <w:t xml:space="preserve"> </w:t>
      </w:r>
      <w:r>
        <w:t>All</w:t>
      </w:r>
      <w:r w:rsidR="00932420">
        <w:t xml:space="preserve"> </w:t>
      </w:r>
      <w:r>
        <w:t>are</w:t>
      </w:r>
      <w:r w:rsidR="00932420">
        <w:t xml:space="preserve"> </w:t>
      </w:r>
      <w:r>
        <w:t>aimed</w:t>
      </w:r>
      <w:r w:rsidR="00932420">
        <w:t xml:space="preserve"> </w:t>
      </w:r>
      <w:r>
        <w:t>at</w:t>
      </w:r>
      <w:r w:rsidR="00932420">
        <w:t xml:space="preserve"> </w:t>
      </w:r>
      <w:r>
        <w:t>securing</w:t>
      </w:r>
      <w:r w:rsidR="00932420">
        <w:t xml:space="preserve"> </w:t>
      </w:r>
      <w:r>
        <w:t>and</w:t>
      </w:r>
      <w:r w:rsidR="00932420">
        <w:t xml:space="preserve"> </w:t>
      </w:r>
      <w:r>
        <w:t>growing</w:t>
      </w:r>
      <w:r w:rsidR="00932420">
        <w:t xml:space="preserve"> </w:t>
      </w:r>
      <w:r>
        <w:t>key</w:t>
      </w:r>
      <w:r w:rsidR="00932420">
        <w:t xml:space="preserve"> </w:t>
      </w:r>
      <w:r>
        <w:t>industry</w:t>
      </w:r>
      <w:r w:rsidR="00932420">
        <w:t xml:space="preserve"> </w:t>
      </w:r>
      <w:r>
        <w:t>capabilities</w:t>
      </w:r>
      <w:r w:rsidR="00932420">
        <w:t xml:space="preserve"> </w:t>
      </w:r>
      <w:r>
        <w:t>to</w:t>
      </w:r>
      <w:r w:rsidR="00932420">
        <w:t xml:space="preserve"> </w:t>
      </w:r>
      <w:r>
        <w:t>drive</w:t>
      </w:r>
      <w:r w:rsidR="00932420">
        <w:t xml:space="preserve"> </w:t>
      </w:r>
      <w:r>
        <w:t>ongoing</w:t>
      </w:r>
      <w:r w:rsidR="00932420">
        <w:t xml:space="preserve"> </w:t>
      </w:r>
      <w:r>
        <w:t>economic</w:t>
      </w:r>
      <w:r w:rsidR="00932420">
        <w:t xml:space="preserve"> </w:t>
      </w:r>
      <w:r>
        <w:t>growth</w:t>
      </w:r>
      <w:r w:rsidR="00932420">
        <w:t xml:space="preserve"> </w:t>
      </w:r>
      <w:r>
        <w:t>and</w:t>
      </w:r>
      <w:r w:rsidR="00932420">
        <w:t xml:space="preserve"> </w:t>
      </w:r>
      <w:r>
        <w:t>job</w:t>
      </w:r>
      <w:r w:rsidR="00932420">
        <w:t xml:space="preserve"> </w:t>
      </w:r>
      <w:r>
        <w:t>creation.</w:t>
      </w:r>
    </w:p>
    <w:p w14:paraId="36EFB43E" w14:textId="1914190E" w:rsidR="00CA3C5B" w:rsidRDefault="00260033" w:rsidP="00896C86">
      <w:r>
        <w:rPr>
          <w:spacing w:val="-3"/>
        </w:rPr>
        <w:t>The</w:t>
      </w:r>
      <w:r w:rsidR="00932420">
        <w:rPr>
          <w:spacing w:val="-3"/>
        </w:rPr>
        <w:t xml:space="preserve"> </w:t>
      </w:r>
      <w:r>
        <w:rPr>
          <w:spacing w:val="-3"/>
        </w:rPr>
        <w:t>Local</w:t>
      </w:r>
      <w:r w:rsidR="00932420">
        <w:rPr>
          <w:spacing w:val="-3"/>
        </w:rPr>
        <w:t xml:space="preserve"> </w:t>
      </w:r>
      <w:r>
        <w:rPr>
          <w:spacing w:val="-3"/>
        </w:rPr>
        <w:t>Jobs</w:t>
      </w:r>
      <w:r w:rsidR="00932420">
        <w:rPr>
          <w:spacing w:val="-3"/>
        </w:rPr>
        <w:t xml:space="preserve"> </w:t>
      </w:r>
      <w:r>
        <w:rPr>
          <w:spacing w:val="-3"/>
        </w:rPr>
        <w:t>First</w:t>
      </w:r>
      <w:r w:rsidR="00932420">
        <w:rPr>
          <w:spacing w:val="-3"/>
        </w:rPr>
        <w:t xml:space="preserve"> </w:t>
      </w:r>
      <w:r>
        <w:rPr>
          <w:spacing w:val="-3"/>
        </w:rPr>
        <w:t>Victorian</w:t>
      </w:r>
      <w:r w:rsidR="00932420">
        <w:rPr>
          <w:spacing w:val="-3"/>
        </w:rPr>
        <w:t xml:space="preserve"> </w:t>
      </w:r>
      <w:r>
        <w:rPr>
          <w:spacing w:val="-3"/>
        </w:rPr>
        <w:t>Industry</w:t>
      </w:r>
      <w:r w:rsidR="00932420">
        <w:rPr>
          <w:spacing w:val="-3"/>
        </w:rPr>
        <w:t xml:space="preserve"> </w:t>
      </w:r>
      <w:r>
        <w:rPr>
          <w:spacing w:val="-3"/>
        </w:rPr>
        <w:t>Participation</w:t>
      </w:r>
      <w:r w:rsidR="00932420">
        <w:rPr>
          <w:spacing w:val="-3"/>
        </w:rPr>
        <w:t xml:space="preserve"> </w:t>
      </w:r>
      <w:r>
        <w:t>policy</w:t>
      </w:r>
      <w:r w:rsidR="00932420">
        <w:t xml:space="preserve"> </w:t>
      </w:r>
      <w:r>
        <w:t>continued</w:t>
      </w:r>
      <w:r w:rsidR="00932420">
        <w:t xml:space="preserve"> </w:t>
      </w:r>
      <w:r>
        <w:t>to</w:t>
      </w:r>
      <w:r w:rsidR="00932420">
        <w:t xml:space="preserve"> </w:t>
      </w:r>
      <w:r>
        <w:t>support</w:t>
      </w:r>
      <w:r w:rsidR="00932420">
        <w:t xml:space="preserve"> </w:t>
      </w:r>
      <w:r>
        <w:t>local</w:t>
      </w:r>
      <w:r w:rsidR="00932420">
        <w:t xml:space="preserve"> </w:t>
      </w:r>
      <w:r>
        <w:t>businesses</w:t>
      </w:r>
      <w:r w:rsidR="00932420">
        <w:t xml:space="preserve"> </w:t>
      </w:r>
      <w:r>
        <w:t>and</w:t>
      </w:r>
      <w:r w:rsidR="00932420">
        <w:t xml:space="preserve"> </w:t>
      </w:r>
      <w:r>
        <w:rPr>
          <w:spacing w:val="-3"/>
        </w:rPr>
        <w:t>workers</w:t>
      </w:r>
      <w:r w:rsidR="00932420">
        <w:rPr>
          <w:spacing w:val="-3"/>
        </w:rPr>
        <w:t xml:space="preserve"> </w:t>
      </w:r>
      <w:r>
        <w:rPr>
          <w:spacing w:val="-3"/>
        </w:rPr>
        <w:t>to</w:t>
      </w:r>
      <w:r w:rsidR="00932420">
        <w:rPr>
          <w:spacing w:val="-3"/>
        </w:rPr>
        <w:t xml:space="preserve"> </w:t>
      </w:r>
      <w:r>
        <w:rPr>
          <w:spacing w:val="-3"/>
        </w:rPr>
        <w:t>compete</w:t>
      </w:r>
      <w:r w:rsidR="00932420">
        <w:rPr>
          <w:spacing w:val="-3"/>
        </w:rPr>
        <w:t xml:space="preserve"> </w:t>
      </w:r>
      <w:r>
        <w:rPr>
          <w:spacing w:val="-3"/>
        </w:rPr>
        <w:t>for</w:t>
      </w:r>
      <w:r w:rsidR="00932420">
        <w:rPr>
          <w:spacing w:val="-3"/>
        </w:rPr>
        <w:t xml:space="preserve"> </w:t>
      </w:r>
      <w:r>
        <w:rPr>
          <w:spacing w:val="-3"/>
        </w:rPr>
        <w:t>work</w:t>
      </w:r>
      <w:r w:rsidR="00932420">
        <w:rPr>
          <w:spacing w:val="-3"/>
        </w:rPr>
        <w:t xml:space="preserve"> </w:t>
      </w:r>
      <w:r>
        <w:rPr>
          <w:spacing w:val="-3"/>
        </w:rPr>
        <w:t>on</w:t>
      </w:r>
      <w:r w:rsidR="00932420">
        <w:rPr>
          <w:spacing w:val="-3"/>
        </w:rPr>
        <w:t xml:space="preserve"> </w:t>
      </w:r>
      <w:r>
        <w:rPr>
          <w:spacing w:val="-3"/>
        </w:rPr>
        <w:t>government</w:t>
      </w:r>
      <w:r w:rsidR="00932420">
        <w:rPr>
          <w:spacing w:val="-3"/>
        </w:rPr>
        <w:t xml:space="preserve"> </w:t>
      </w:r>
      <w:r>
        <w:rPr>
          <w:spacing w:val="-3"/>
        </w:rPr>
        <w:t>contracts.</w:t>
      </w:r>
      <w:r w:rsidR="00932420">
        <w:rPr>
          <w:spacing w:val="-3"/>
        </w:rPr>
        <w:t xml:space="preserve"> </w:t>
      </w:r>
      <w:r>
        <w:t>In</w:t>
      </w:r>
      <w:r w:rsidR="00932420">
        <w:t xml:space="preserve"> </w:t>
      </w:r>
      <w:r>
        <w:t>2022–23,</w:t>
      </w:r>
      <w:r w:rsidR="00932420">
        <w:t xml:space="preserve"> </w:t>
      </w:r>
      <w:r>
        <w:t>more</w:t>
      </w:r>
      <w:r w:rsidR="00932420">
        <w:t xml:space="preserve"> </w:t>
      </w:r>
      <w:r>
        <w:t>than</w:t>
      </w:r>
      <w:r w:rsidR="00932420">
        <w:t xml:space="preserve"> </w:t>
      </w:r>
      <w:r>
        <w:t>800</w:t>
      </w:r>
      <w:r w:rsidR="00932420">
        <w:t xml:space="preserve"> </w:t>
      </w:r>
      <w:r>
        <w:t>industry</w:t>
      </w:r>
      <w:r w:rsidR="00932420">
        <w:t xml:space="preserve"> </w:t>
      </w:r>
      <w:r>
        <w:t>stakeholders</w:t>
      </w:r>
      <w:r w:rsidR="00932420">
        <w:t xml:space="preserve"> </w:t>
      </w:r>
      <w:r>
        <w:t>engaged</w:t>
      </w:r>
      <w:r w:rsidR="00932420">
        <w:t xml:space="preserve"> </w:t>
      </w:r>
      <w:r>
        <w:t>with</w:t>
      </w:r>
      <w:r w:rsidR="00932420">
        <w:t xml:space="preserve"> </w:t>
      </w:r>
      <w:r>
        <w:t>the</w:t>
      </w:r>
      <w:r w:rsidR="00932420">
        <w:t xml:space="preserve"> </w:t>
      </w:r>
      <w:r>
        <w:t>policy,</w:t>
      </w:r>
      <w:r w:rsidR="00932420">
        <w:t xml:space="preserve"> </w:t>
      </w:r>
      <w:r>
        <w:t>and</w:t>
      </w:r>
      <w:r w:rsidR="00932420">
        <w:t xml:space="preserve"> </w:t>
      </w:r>
      <w:r>
        <w:t>the</w:t>
      </w:r>
      <w:r w:rsidR="00932420">
        <w:t xml:space="preserve"> </w:t>
      </w:r>
      <w:r>
        <w:t>government</w:t>
      </w:r>
      <w:r w:rsidR="00932420">
        <w:t xml:space="preserve"> </w:t>
      </w:r>
      <w:r>
        <w:t>set</w:t>
      </w:r>
      <w:r w:rsidR="00932420">
        <w:t xml:space="preserve"> </w:t>
      </w:r>
      <w:r>
        <w:rPr>
          <w:spacing w:val="-3"/>
        </w:rPr>
        <w:t>new</w:t>
      </w:r>
      <w:r w:rsidR="00932420">
        <w:rPr>
          <w:spacing w:val="-3"/>
        </w:rPr>
        <w:t xml:space="preserve"> </w:t>
      </w:r>
      <w:r>
        <w:rPr>
          <w:spacing w:val="-3"/>
        </w:rPr>
        <w:t>local</w:t>
      </w:r>
      <w:r w:rsidR="00932420">
        <w:rPr>
          <w:spacing w:val="-3"/>
        </w:rPr>
        <w:t xml:space="preserve"> </w:t>
      </w:r>
      <w:r>
        <w:rPr>
          <w:spacing w:val="-3"/>
        </w:rPr>
        <w:t>content</w:t>
      </w:r>
      <w:r w:rsidR="00932420">
        <w:rPr>
          <w:spacing w:val="-3"/>
        </w:rPr>
        <w:t xml:space="preserve"> </w:t>
      </w:r>
      <w:r>
        <w:rPr>
          <w:spacing w:val="-3"/>
        </w:rPr>
        <w:t>requirements</w:t>
      </w:r>
      <w:r w:rsidR="00932420">
        <w:rPr>
          <w:spacing w:val="-3"/>
        </w:rPr>
        <w:t xml:space="preserve"> </w:t>
      </w:r>
      <w:r>
        <w:rPr>
          <w:spacing w:val="-3"/>
        </w:rPr>
        <w:t>under</w:t>
      </w:r>
      <w:r w:rsidR="00932420">
        <w:rPr>
          <w:spacing w:val="-3"/>
        </w:rPr>
        <w:t xml:space="preserve"> </w:t>
      </w:r>
      <w:r>
        <w:rPr>
          <w:spacing w:val="-3"/>
        </w:rPr>
        <w:t>the</w:t>
      </w:r>
      <w:r w:rsidR="00932420">
        <w:rPr>
          <w:spacing w:val="-3"/>
        </w:rPr>
        <w:t xml:space="preserve"> </w:t>
      </w:r>
      <w:r>
        <w:rPr>
          <w:spacing w:val="-3"/>
        </w:rPr>
        <w:t>policy</w:t>
      </w:r>
      <w:r w:rsidR="00932420">
        <w:rPr>
          <w:spacing w:val="-3"/>
        </w:rPr>
        <w:t xml:space="preserve"> </w:t>
      </w:r>
      <w:r>
        <w:rPr>
          <w:spacing w:val="-3"/>
        </w:rPr>
        <w:t>for</w:t>
      </w:r>
      <w:r w:rsidR="00932420">
        <w:rPr>
          <w:spacing w:val="-3"/>
        </w:rPr>
        <w:t xml:space="preserve"> </w:t>
      </w:r>
      <w:r>
        <w:rPr>
          <w:spacing w:val="-3"/>
        </w:rPr>
        <w:t>50</w:t>
      </w:r>
      <w:r w:rsidR="00932420">
        <w:rPr>
          <w:spacing w:val="-3"/>
        </w:rPr>
        <w:t xml:space="preserve"> </w:t>
      </w:r>
      <w:r>
        <w:rPr>
          <w:spacing w:val="-3"/>
        </w:rPr>
        <w:t>strategic</w:t>
      </w:r>
      <w:r w:rsidR="00932420">
        <w:rPr>
          <w:spacing w:val="-3"/>
        </w:rPr>
        <w:t xml:space="preserve"> </w:t>
      </w:r>
      <w:r>
        <w:rPr>
          <w:spacing w:val="-3"/>
        </w:rPr>
        <w:t>projects,</w:t>
      </w:r>
      <w:r w:rsidR="00932420">
        <w:rPr>
          <w:spacing w:val="-3"/>
        </w:rPr>
        <w:t xml:space="preserve"> </w:t>
      </w:r>
      <w:r>
        <w:rPr>
          <w:spacing w:val="-3"/>
        </w:rPr>
        <w:t>with</w:t>
      </w:r>
      <w:r w:rsidR="00932420">
        <w:rPr>
          <w:spacing w:val="-3"/>
        </w:rPr>
        <w:t xml:space="preserve"> </w:t>
      </w:r>
      <w:r>
        <w:rPr>
          <w:spacing w:val="-3"/>
        </w:rPr>
        <w:t>a</w:t>
      </w:r>
      <w:r w:rsidR="00932420">
        <w:rPr>
          <w:spacing w:val="-3"/>
        </w:rPr>
        <w:t xml:space="preserve"> </w:t>
      </w:r>
      <w:r>
        <w:rPr>
          <w:spacing w:val="-3"/>
        </w:rPr>
        <w:t>combined</w:t>
      </w:r>
      <w:r w:rsidR="00932420">
        <w:rPr>
          <w:spacing w:val="-3"/>
        </w:rPr>
        <w:t xml:space="preserve"> </w:t>
      </w:r>
      <w:r>
        <w:rPr>
          <w:spacing w:val="-3"/>
        </w:rPr>
        <w:t>total</w:t>
      </w:r>
      <w:r w:rsidR="00932420">
        <w:rPr>
          <w:spacing w:val="-3"/>
        </w:rPr>
        <w:t xml:space="preserve"> </w:t>
      </w:r>
      <w:r>
        <w:rPr>
          <w:spacing w:val="-3"/>
        </w:rPr>
        <w:t>value</w:t>
      </w:r>
      <w:r w:rsidR="00932420">
        <w:rPr>
          <w:spacing w:val="-3"/>
        </w:rPr>
        <w:t xml:space="preserve"> </w:t>
      </w:r>
      <w:r>
        <w:rPr>
          <w:spacing w:val="-3"/>
        </w:rPr>
        <w:t>of</w:t>
      </w:r>
      <w:r w:rsidR="00932420">
        <w:rPr>
          <w:spacing w:val="-3"/>
        </w:rPr>
        <w:t xml:space="preserve"> </w:t>
      </w:r>
      <w:r>
        <w:rPr>
          <w:spacing w:val="-3"/>
        </w:rPr>
        <w:lastRenderedPageBreak/>
        <w:t>over</w:t>
      </w:r>
      <w:r w:rsidR="00932420">
        <w:rPr>
          <w:spacing w:val="-3"/>
        </w:rPr>
        <w:t xml:space="preserve"> </w:t>
      </w:r>
      <w:r>
        <w:rPr>
          <w:spacing w:val="-3"/>
        </w:rPr>
        <w:t>$28.7</w:t>
      </w:r>
      <w:r w:rsidR="00932420">
        <w:rPr>
          <w:spacing w:val="-3"/>
        </w:rPr>
        <w:t xml:space="preserve"> </w:t>
      </w:r>
      <w:r>
        <w:rPr>
          <w:spacing w:val="-3"/>
        </w:rPr>
        <w:t>billion.</w:t>
      </w:r>
      <w:r w:rsidR="00932420">
        <w:rPr>
          <w:spacing w:val="-3"/>
        </w:rPr>
        <w:t xml:space="preserve"> </w:t>
      </w:r>
      <w:r>
        <w:rPr>
          <w:spacing w:val="-3"/>
        </w:rPr>
        <w:t>Since</w:t>
      </w:r>
      <w:r w:rsidR="00932420">
        <w:rPr>
          <w:spacing w:val="-3"/>
        </w:rPr>
        <w:t xml:space="preserve"> </w:t>
      </w:r>
      <w:r>
        <w:rPr>
          <w:spacing w:val="-3"/>
        </w:rPr>
        <w:t>2014,</w:t>
      </w:r>
      <w:r w:rsidR="00932420">
        <w:rPr>
          <w:spacing w:val="-3"/>
        </w:rPr>
        <w:t xml:space="preserve"> </w:t>
      </w:r>
      <w:r>
        <w:rPr>
          <w:spacing w:val="-3"/>
        </w:rPr>
        <w:t>Local</w:t>
      </w:r>
      <w:r w:rsidR="00932420">
        <w:rPr>
          <w:spacing w:val="-3"/>
        </w:rPr>
        <w:t xml:space="preserve"> </w:t>
      </w:r>
      <w:r>
        <w:rPr>
          <w:spacing w:val="-3"/>
        </w:rPr>
        <w:t>Jobs</w:t>
      </w:r>
      <w:r w:rsidR="00932420">
        <w:rPr>
          <w:spacing w:val="-3"/>
        </w:rPr>
        <w:t xml:space="preserve"> </w:t>
      </w:r>
      <w:r>
        <w:rPr>
          <w:spacing w:val="-3"/>
        </w:rPr>
        <w:t>First</w:t>
      </w:r>
      <w:r w:rsidR="00932420">
        <w:rPr>
          <w:spacing w:val="-3"/>
        </w:rPr>
        <w:t xml:space="preserve"> </w:t>
      </w:r>
      <w:r>
        <w:rPr>
          <w:spacing w:val="-3"/>
        </w:rPr>
        <w:t>strategic</w:t>
      </w:r>
      <w:r w:rsidR="00932420">
        <w:rPr>
          <w:spacing w:val="-3"/>
        </w:rPr>
        <w:t xml:space="preserve"> </w:t>
      </w:r>
      <w:r>
        <w:t>projects</w:t>
      </w:r>
      <w:r w:rsidR="00932420">
        <w:t xml:space="preserve"> </w:t>
      </w:r>
      <w:r>
        <w:t>have</w:t>
      </w:r>
      <w:r w:rsidR="00932420">
        <w:t xml:space="preserve"> </w:t>
      </w:r>
      <w:r>
        <w:t>supported</w:t>
      </w:r>
      <w:r w:rsidR="00932420">
        <w:t xml:space="preserve"> </w:t>
      </w:r>
      <w:r>
        <w:t>over</w:t>
      </w:r>
      <w:r w:rsidR="00932420">
        <w:t xml:space="preserve"> </w:t>
      </w:r>
      <w:r>
        <w:t>45,000</w:t>
      </w:r>
      <w:r w:rsidR="00932420">
        <w:t xml:space="preserve"> </w:t>
      </w:r>
      <w:r>
        <w:t>local</w:t>
      </w:r>
      <w:r w:rsidR="00932420">
        <w:t xml:space="preserve"> </w:t>
      </w:r>
      <w:r>
        <w:t>jobs.</w:t>
      </w:r>
      <w:r w:rsidR="00932420">
        <w:t xml:space="preserve"> </w:t>
      </w:r>
    </w:p>
    <w:p w14:paraId="24E277F5" w14:textId="394E1AF5" w:rsidR="00CA3C5B" w:rsidRDefault="00260033" w:rsidP="00896C86">
      <w:r>
        <w:t>Since</w:t>
      </w:r>
      <w:r w:rsidR="00932420">
        <w:t xml:space="preserve"> </w:t>
      </w:r>
      <w:r>
        <w:t>launching</w:t>
      </w:r>
      <w:r w:rsidR="00932420">
        <w:t xml:space="preserve"> </w:t>
      </w:r>
      <w:r>
        <w:t>in</w:t>
      </w:r>
      <w:r w:rsidR="00932420">
        <w:t xml:space="preserve"> </w:t>
      </w:r>
      <w:r>
        <w:t>2016,</w:t>
      </w:r>
      <w:r w:rsidR="00932420">
        <w:t xml:space="preserve"> </w:t>
      </w:r>
      <w:r>
        <w:t>the</w:t>
      </w:r>
      <w:r w:rsidR="00932420">
        <w:t xml:space="preserve"> </w:t>
      </w:r>
      <w:r>
        <w:t>Major</w:t>
      </w:r>
      <w:r w:rsidR="00932420">
        <w:t xml:space="preserve"> </w:t>
      </w:r>
      <w:r>
        <w:t>Projects</w:t>
      </w:r>
      <w:r w:rsidR="00932420">
        <w:t xml:space="preserve"> </w:t>
      </w:r>
      <w:r>
        <w:t>Skills</w:t>
      </w:r>
      <w:r w:rsidR="00932420">
        <w:t xml:space="preserve"> </w:t>
      </w:r>
      <w:r>
        <w:rPr>
          <w:spacing w:val="-1"/>
        </w:rPr>
        <w:t>Guarantee</w:t>
      </w:r>
      <w:r w:rsidR="00932420">
        <w:rPr>
          <w:spacing w:val="-1"/>
        </w:rPr>
        <w:t xml:space="preserve"> </w:t>
      </w:r>
      <w:r>
        <w:rPr>
          <w:spacing w:val="-1"/>
        </w:rPr>
        <w:t>(MPSG)</w:t>
      </w:r>
      <w:r w:rsidR="00932420">
        <w:rPr>
          <w:spacing w:val="-1"/>
        </w:rPr>
        <w:t xml:space="preserve"> </w:t>
      </w:r>
      <w:r>
        <w:rPr>
          <w:spacing w:val="-1"/>
        </w:rPr>
        <w:t>has</w:t>
      </w:r>
      <w:r w:rsidR="00932420">
        <w:rPr>
          <w:spacing w:val="-1"/>
        </w:rPr>
        <w:t xml:space="preserve"> </w:t>
      </w:r>
      <w:r>
        <w:rPr>
          <w:spacing w:val="-1"/>
        </w:rPr>
        <w:t>applied</w:t>
      </w:r>
      <w:r w:rsidR="00932420">
        <w:rPr>
          <w:spacing w:val="-1"/>
        </w:rPr>
        <w:t xml:space="preserve"> </w:t>
      </w:r>
      <w:r>
        <w:rPr>
          <w:spacing w:val="-1"/>
        </w:rPr>
        <w:t>to</w:t>
      </w:r>
      <w:r w:rsidR="00932420">
        <w:rPr>
          <w:spacing w:val="-1"/>
        </w:rPr>
        <w:t xml:space="preserve"> </w:t>
      </w:r>
      <w:r>
        <w:rPr>
          <w:spacing w:val="-1"/>
        </w:rPr>
        <w:t>400</w:t>
      </w:r>
      <w:r w:rsidR="00932420">
        <w:rPr>
          <w:spacing w:val="-1"/>
        </w:rPr>
        <w:t xml:space="preserve"> </w:t>
      </w:r>
      <w:r>
        <w:rPr>
          <w:spacing w:val="-1"/>
        </w:rPr>
        <w:t>projects</w:t>
      </w:r>
      <w:r w:rsidR="00932420">
        <w:rPr>
          <w:spacing w:val="-1"/>
        </w:rPr>
        <w:t xml:space="preserve"> </w:t>
      </w:r>
      <w:r>
        <w:rPr>
          <w:spacing w:val="-1"/>
        </w:rPr>
        <w:t>worth</w:t>
      </w:r>
      <w:r w:rsidR="00932420">
        <w:rPr>
          <w:spacing w:val="-1"/>
        </w:rPr>
        <w:t xml:space="preserve"> </w:t>
      </w:r>
      <w:r>
        <w:t>over</w:t>
      </w:r>
      <w:r w:rsidR="00932420">
        <w:t xml:space="preserve"> </w:t>
      </w:r>
      <w:r>
        <w:t>$164.8</w:t>
      </w:r>
      <w:r w:rsidR="00932420">
        <w:t xml:space="preserve"> </w:t>
      </w:r>
      <w:r>
        <w:t>billion.</w:t>
      </w:r>
      <w:r w:rsidR="00932420">
        <w:t xml:space="preserve"> </w:t>
      </w:r>
      <w:r>
        <w:t>In</w:t>
      </w:r>
      <w:r w:rsidR="00932420">
        <w:t xml:space="preserve"> </w:t>
      </w:r>
      <w:r>
        <w:t>the</w:t>
      </w:r>
      <w:r w:rsidR="00932420">
        <w:t xml:space="preserve"> </w:t>
      </w:r>
      <w:r>
        <w:t>12</w:t>
      </w:r>
      <w:r w:rsidR="00932420">
        <w:t xml:space="preserve"> </w:t>
      </w:r>
      <w:r>
        <w:t>months</w:t>
      </w:r>
      <w:r w:rsidR="00932420">
        <w:t xml:space="preserve"> </w:t>
      </w:r>
      <w:r>
        <w:t>to</w:t>
      </w:r>
      <w:r w:rsidR="00932420">
        <w:t xml:space="preserve"> </w:t>
      </w:r>
      <w:r>
        <w:t>March</w:t>
      </w:r>
      <w:r w:rsidR="00932420">
        <w:t xml:space="preserve"> </w:t>
      </w:r>
      <w:r>
        <w:t>2023,</w:t>
      </w:r>
      <w:r w:rsidR="00932420">
        <w:t xml:space="preserve"> </w:t>
      </w:r>
      <w:r>
        <w:t>opportunities</w:t>
      </w:r>
      <w:r w:rsidR="00932420">
        <w:t xml:space="preserve"> </w:t>
      </w:r>
      <w:r>
        <w:t>for</w:t>
      </w:r>
      <w:r w:rsidR="00932420">
        <w:t xml:space="preserve"> </w:t>
      </w:r>
      <w:r>
        <w:t>apprentices,</w:t>
      </w:r>
      <w:r w:rsidR="00932420">
        <w:t xml:space="preserve"> </w:t>
      </w:r>
      <w:proofErr w:type="gramStart"/>
      <w:r>
        <w:t>trainees</w:t>
      </w:r>
      <w:proofErr w:type="gramEnd"/>
      <w:r w:rsidR="00932420">
        <w:t xml:space="preserve"> </w:t>
      </w:r>
      <w:r>
        <w:t>and</w:t>
      </w:r>
      <w:r w:rsidR="00932420">
        <w:t xml:space="preserve"> </w:t>
      </w:r>
      <w:r>
        <w:t>cadets</w:t>
      </w:r>
      <w:r w:rsidR="00932420">
        <w:t xml:space="preserve"> </w:t>
      </w:r>
      <w:r>
        <w:t>under</w:t>
      </w:r>
      <w:r w:rsidR="00932420">
        <w:t xml:space="preserve"> </w:t>
      </w:r>
      <w:r>
        <w:t>the</w:t>
      </w:r>
      <w:r w:rsidR="00932420">
        <w:t xml:space="preserve"> </w:t>
      </w:r>
      <w:r>
        <w:t>MPSG</w:t>
      </w:r>
      <w:r w:rsidR="00932420">
        <w:t xml:space="preserve"> </w:t>
      </w:r>
      <w:r>
        <w:t>grew,</w:t>
      </w:r>
      <w:r w:rsidR="00932420">
        <w:t xml:space="preserve"> </w:t>
      </w:r>
      <w:r>
        <w:t>with</w:t>
      </w:r>
      <w:r w:rsidR="00932420">
        <w:t xml:space="preserve"> </w:t>
      </w:r>
      <w:r>
        <w:t>an</w:t>
      </w:r>
      <w:r w:rsidR="00932420">
        <w:t xml:space="preserve"> </w:t>
      </w:r>
      <w:r>
        <w:t>additional</w:t>
      </w:r>
      <w:r w:rsidR="00932420">
        <w:t xml:space="preserve"> </w:t>
      </w:r>
      <w:r>
        <w:t>3,730</w:t>
      </w:r>
      <w:r w:rsidR="00932420">
        <w:t xml:space="preserve"> </w:t>
      </w:r>
      <w:r>
        <w:t>positions</w:t>
      </w:r>
      <w:r w:rsidR="00932420">
        <w:t xml:space="preserve"> </w:t>
      </w:r>
      <w:r>
        <w:t>supported.</w:t>
      </w:r>
    </w:p>
    <w:p w14:paraId="1F20A5C8" w14:textId="61EE0E5A" w:rsidR="00CA3C5B" w:rsidRDefault="00260033" w:rsidP="00896C86">
      <w:pPr>
        <w:pStyle w:val="Heading3"/>
      </w:pPr>
      <w:r>
        <w:t>Jobs</w:t>
      </w:r>
      <w:r w:rsidR="00932420">
        <w:t xml:space="preserve"> </w:t>
      </w:r>
      <w:r>
        <w:t>Victoria</w:t>
      </w:r>
    </w:p>
    <w:p w14:paraId="4284B0D7" w14:textId="10D85788" w:rsidR="00CA3C5B" w:rsidRDefault="00260033" w:rsidP="00896C86">
      <w:r>
        <w:t>Jobs</w:t>
      </w:r>
      <w:r w:rsidR="00932420">
        <w:t xml:space="preserve"> </w:t>
      </w:r>
      <w:r>
        <w:t>Victoria</w:t>
      </w:r>
      <w:r w:rsidR="00932420">
        <w:t xml:space="preserve"> </w:t>
      </w:r>
      <w:r>
        <w:t>was</w:t>
      </w:r>
      <w:r w:rsidR="00932420">
        <w:t xml:space="preserve"> </w:t>
      </w:r>
      <w:r>
        <w:t>established</w:t>
      </w:r>
      <w:r w:rsidR="00932420">
        <w:t xml:space="preserve"> </w:t>
      </w:r>
      <w:r>
        <w:t>in</w:t>
      </w:r>
      <w:r w:rsidR="00932420">
        <w:t xml:space="preserve"> </w:t>
      </w:r>
      <w:r>
        <w:t>2016</w:t>
      </w:r>
      <w:r w:rsidR="00932420">
        <w:t xml:space="preserve"> </w:t>
      </w:r>
      <w:r>
        <w:t>to</w:t>
      </w:r>
      <w:r w:rsidR="00932420">
        <w:t xml:space="preserve"> </w:t>
      </w:r>
      <w:r>
        <w:t>ensure</w:t>
      </w:r>
      <w:r w:rsidR="00932420">
        <w:t xml:space="preserve"> </w:t>
      </w:r>
      <w:r>
        <w:t>long-term</w:t>
      </w:r>
      <w:r w:rsidR="00932420">
        <w:t xml:space="preserve"> </w:t>
      </w:r>
      <w:r>
        <w:t>unemployed</w:t>
      </w:r>
      <w:r w:rsidR="00932420">
        <w:t xml:space="preserve"> </w:t>
      </w:r>
      <w:r>
        <w:t>Victorians</w:t>
      </w:r>
      <w:r w:rsidR="00932420">
        <w:t xml:space="preserve"> </w:t>
      </w:r>
      <w:r>
        <w:t>had</w:t>
      </w:r>
      <w:r w:rsidR="00932420">
        <w:t xml:space="preserve"> </w:t>
      </w:r>
      <w:r>
        <w:t>the</w:t>
      </w:r>
      <w:r w:rsidR="00932420">
        <w:t xml:space="preserve"> </w:t>
      </w:r>
      <w:r>
        <w:t>support</w:t>
      </w:r>
      <w:r w:rsidR="00932420">
        <w:t xml:space="preserve"> </w:t>
      </w:r>
      <w:r>
        <w:t>they</w:t>
      </w:r>
      <w:r w:rsidR="00932420">
        <w:t xml:space="preserve"> </w:t>
      </w:r>
      <w:r>
        <w:t>needed</w:t>
      </w:r>
      <w:r w:rsidR="00932420">
        <w:t xml:space="preserve"> </w:t>
      </w:r>
      <w:r>
        <w:t>to</w:t>
      </w:r>
      <w:r w:rsidR="00932420">
        <w:t xml:space="preserve"> </w:t>
      </w:r>
      <w:r>
        <w:t>achieve</w:t>
      </w:r>
      <w:r w:rsidR="00932420">
        <w:t xml:space="preserve"> </w:t>
      </w:r>
      <w:r>
        <w:t>sustainable</w:t>
      </w:r>
      <w:r w:rsidR="00932420">
        <w:t xml:space="preserve"> </w:t>
      </w:r>
      <w:r>
        <w:t>employment</w:t>
      </w:r>
      <w:r w:rsidR="00932420">
        <w:t xml:space="preserve"> </w:t>
      </w:r>
      <w:r>
        <w:t>while</w:t>
      </w:r>
      <w:r w:rsidR="00932420">
        <w:t xml:space="preserve"> </w:t>
      </w:r>
      <w:r>
        <w:t>addressing</w:t>
      </w:r>
      <w:r w:rsidR="00932420">
        <w:t xml:space="preserve"> </w:t>
      </w:r>
      <w:r>
        <w:t>fundamental</w:t>
      </w:r>
      <w:r w:rsidR="00932420">
        <w:t xml:space="preserve"> </w:t>
      </w:r>
      <w:r>
        <w:t>gaps</w:t>
      </w:r>
      <w:r w:rsidR="00932420">
        <w:t xml:space="preserve"> </w:t>
      </w:r>
      <w:r>
        <w:t>and</w:t>
      </w:r>
      <w:r w:rsidR="00932420">
        <w:t xml:space="preserve"> </w:t>
      </w:r>
      <w:r>
        <w:t>limitations</w:t>
      </w:r>
      <w:r w:rsidR="00932420">
        <w:t xml:space="preserve"> </w:t>
      </w:r>
      <w:r>
        <w:t>in</w:t>
      </w:r>
      <w:r w:rsidR="00932420">
        <w:t xml:space="preserve"> </w:t>
      </w:r>
      <w:r>
        <w:t>the</w:t>
      </w:r>
      <w:r w:rsidR="00932420">
        <w:t xml:space="preserve"> </w:t>
      </w:r>
      <w:r>
        <w:t>Australian</w:t>
      </w:r>
      <w:r w:rsidR="00932420">
        <w:t xml:space="preserve"> </w:t>
      </w:r>
      <w:r>
        <w:t>Government’s</w:t>
      </w:r>
      <w:r w:rsidR="00932420">
        <w:t xml:space="preserve"> </w:t>
      </w:r>
      <w:r>
        <w:t>employment</w:t>
      </w:r>
      <w:r w:rsidR="00932420">
        <w:t xml:space="preserve"> </w:t>
      </w:r>
      <w:r>
        <w:t>service</w:t>
      </w:r>
      <w:r w:rsidR="00932420">
        <w:t xml:space="preserve"> </w:t>
      </w:r>
      <w:r>
        <w:t>system.</w:t>
      </w:r>
      <w:r w:rsidR="00932420">
        <w:t xml:space="preserve"> </w:t>
      </w:r>
      <w:r>
        <w:t>Since</w:t>
      </w:r>
      <w:r w:rsidR="00932420">
        <w:t xml:space="preserve"> </w:t>
      </w:r>
      <w:r>
        <w:t>then,</w:t>
      </w:r>
      <w:r w:rsidR="00932420">
        <w:t xml:space="preserve"> </w:t>
      </w:r>
      <w:r>
        <w:t>Jobs</w:t>
      </w:r>
      <w:r w:rsidR="00932420">
        <w:t xml:space="preserve"> </w:t>
      </w:r>
      <w:r>
        <w:t>Victoria</w:t>
      </w:r>
      <w:r w:rsidR="00932420">
        <w:t xml:space="preserve"> </w:t>
      </w:r>
      <w:r>
        <w:t>has</w:t>
      </w:r>
      <w:r w:rsidR="00932420">
        <w:t xml:space="preserve"> </w:t>
      </w:r>
      <w:r>
        <w:t>supported</w:t>
      </w:r>
      <w:r w:rsidR="00932420">
        <w:t xml:space="preserve"> </w:t>
      </w:r>
      <w:r>
        <w:t>more</w:t>
      </w:r>
      <w:r w:rsidR="00932420">
        <w:t xml:space="preserve"> </w:t>
      </w:r>
      <w:r>
        <w:t>than</w:t>
      </w:r>
      <w:r w:rsidR="00932420">
        <w:t xml:space="preserve"> </w:t>
      </w:r>
      <w:r>
        <w:t>64,000</w:t>
      </w:r>
      <w:r w:rsidR="00932420">
        <w:t xml:space="preserve"> </w:t>
      </w:r>
      <w:r>
        <w:t>people</w:t>
      </w:r>
      <w:r w:rsidR="00932420">
        <w:t xml:space="preserve"> </w:t>
      </w:r>
      <w:r>
        <w:t>into</w:t>
      </w:r>
      <w:r w:rsidR="00932420">
        <w:t xml:space="preserve"> </w:t>
      </w:r>
      <w:r>
        <w:t>a</w:t>
      </w:r>
      <w:r w:rsidR="00932420">
        <w:t xml:space="preserve"> </w:t>
      </w:r>
      <w:r>
        <w:t>job,</w:t>
      </w:r>
      <w:r w:rsidR="00932420">
        <w:t xml:space="preserve"> </w:t>
      </w:r>
      <w:r>
        <w:t>including</w:t>
      </w:r>
      <w:r w:rsidR="00932420">
        <w:t xml:space="preserve"> </w:t>
      </w:r>
      <w:r>
        <w:t>more</w:t>
      </w:r>
      <w:r w:rsidR="00932420">
        <w:t xml:space="preserve"> </w:t>
      </w:r>
      <w:r>
        <w:t>than</w:t>
      </w:r>
      <w:r w:rsidR="00932420">
        <w:t xml:space="preserve"> </w:t>
      </w:r>
      <w:r>
        <w:t>54,000</w:t>
      </w:r>
      <w:r w:rsidR="00932420">
        <w:t xml:space="preserve"> </w:t>
      </w:r>
      <w:r>
        <w:t>since</w:t>
      </w:r>
      <w:r w:rsidR="00932420">
        <w:t xml:space="preserve"> </w:t>
      </w:r>
      <w:r>
        <w:t>mid-2020.</w:t>
      </w:r>
    </w:p>
    <w:p w14:paraId="7780F102" w14:textId="549A8C55" w:rsidR="00CA3C5B" w:rsidRDefault="00260033" w:rsidP="00896C86">
      <w:r>
        <w:t>In</w:t>
      </w:r>
      <w:r w:rsidR="00932420">
        <w:t xml:space="preserve"> </w:t>
      </w:r>
      <w:r>
        <w:t>2022–23</w:t>
      </w:r>
      <w:r w:rsidR="00932420">
        <w:t xml:space="preserve"> </w:t>
      </w:r>
      <w:r>
        <w:t>the</w:t>
      </w:r>
      <w:r w:rsidR="00932420">
        <w:t xml:space="preserve"> </w:t>
      </w:r>
      <w:r>
        <w:t>Victorian</w:t>
      </w:r>
      <w:r w:rsidR="00932420">
        <w:t xml:space="preserve"> </w:t>
      </w:r>
      <w:r>
        <w:t>Government</w:t>
      </w:r>
      <w:r w:rsidR="00932420">
        <w:t xml:space="preserve"> </w:t>
      </w:r>
      <w:r>
        <w:t>continued</w:t>
      </w:r>
      <w:r w:rsidR="00932420">
        <w:t xml:space="preserve"> </w:t>
      </w:r>
      <w:r>
        <w:t>to</w:t>
      </w:r>
      <w:r w:rsidR="00932420">
        <w:t xml:space="preserve"> </w:t>
      </w:r>
      <w:r>
        <w:t>invest</w:t>
      </w:r>
      <w:r w:rsidR="00932420">
        <w:t xml:space="preserve"> </w:t>
      </w:r>
      <w:r>
        <w:t>in</w:t>
      </w:r>
      <w:r w:rsidR="00932420">
        <w:t xml:space="preserve"> </w:t>
      </w:r>
      <w:r>
        <w:t>Victorian</w:t>
      </w:r>
      <w:r w:rsidR="00932420">
        <w:t xml:space="preserve"> </w:t>
      </w:r>
      <w:r>
        <w:t>jobseekers,</w:t>
      </w:r>
      <w:r w:rsidR="00932420">
        <w:t xml:space="preserve"> </w:t>
      </w:r>
      <w:r>
        <w:t>providing</w:t>
      </w:r>
      <w:r w:rsidR="00932420">
        <w:t xml:space="preserve"> </w:t>
      </w:r>
      <w:r>
        <w:t>support</w:t>
      </w:r>
      <w:r w:rsidR="00932420">
        <w:t xml:space="preserve"> </w:t>
      </w:r>
      <w:r>
        <w:t>to</w:t>
      </w:r>
      <w:r w:rsidR="00932420">
        <w:t xml:space="preserve"> </w:t>
      </w:r>
      <w:r>
        <w:t>help</w:t>
      </w:r>
      <w:r w:rsidR="00932420">
        <w:t xml:space="preserve"> </w:t>
      </w:r>
      <w:r>
        <w:t>them</w:t>
      </w:r>
      <w:r w:rsidR="00932420">
        <w:t xml:space="preserve"> </w:t>
      </w:r>
      <w:r>
        <w:t>gain</w:t>
      </w:r>
      <w:r w:rsidR="00932420">
        <w:t xml:space="preserve"> </w:t>
      </w:r>
      <w:r>
        <w:t>and</w:t>
      </w:r>
      <w:r w:rsidR="00932420">
        <w:t xml:space="preserve"> </w:t>
      </w:r>
      <w:r>
        <w:t>sustain</w:t>
      </w:r>
      <w:r w:rsidR="00932420">
        <w:t xml:space="preserve"> </w:t>
      </w:r>
      <w:r>
        <w:t>meaningful</w:t>
      </w:r>
      <w:r w:rsidR="00932420">
        <w:t xml:space="preserve"> </w:t>
      </w:r>
      <w:r>
        <w:t>work</w:t>
      </w:r>
      <w:r w:rsidR="00932420">
        <w:t xml:space="preserve"> </w:t>
      </w:r>
      <w:r>
        <w:t>that</w:t>
      </w:r>
      <w:r w:rsidR="00932420">
        <w:t xml:space="preserve"> </w:t>
      </w:r>
      <w:r>
        <w:t>meets</w:t>
      </w:r>
      <w:r w:rsidR="00932420">
        <w:t xml:space="preserve"> </w:t>
      </w:r>
      <w:r>
        <w:t>their</w:t>
      </w:r>
      <w:r w:rsidR="00932420">
        <w:t xml:space="preserve"> </w:t>
      </w:r>
      <w:r>
        <w:t>aspirations</w:t>
      </w:r>
      <w:r w:rsidR="00932420">
        <w:t xml:space="preserve"> </w:t>
      </w:r>
      <w:r>
        <w:t>as</w:t>
      </w:r>
      <w:r w:rsidR="00932420">
        <w:t xml:space="preserve"> </w:t>
      </w:r>
      <w:r>
        <w:t>well</w:t>
      </w:r>
      <w:r w:rsidR="00932420">
        <w:t xml:space="preserve"> </w:t>
      </w:r>
      <w:r>
        <w:t>as</w:t>
      </w:r>
      <w:r w:rsidR="00932420">
        <w:t xml:space="preserve"> </w:t>
      </w:r>
      <w:r>
        <w:t>those</w:t>
      </w:r>
      <w:r w:rsidR="00932420">
        <w:t xml:space="preserve"> </w:t>
      </w:r>
      <w:r>
        <w:t>of</w:t>
      </w:r>
      <w:r w:rsidR="00932420">
        <w:t xml:space="preserve"> </w:t>
      </w:r>
      <w:r>
        <w:t>employers.</w:t>
      </w:r>
      <w:r w:rsidR="00932420">
        <w:t xml:space="preserve"> </w:t>
      </w:r>
      <w:r>
        <w:t>This</w:t>
      </w:r>
      <w:r w:rsidR="00932420">
        <w:t xml:space="preserve"> </w:t>
      </w:r>
      <w:r>
        <w:t>included</w:t>
      </w:r>
      <w:r w:rsidR="00932420">
        <w:t xml:space="preserve"> </w:t>
      </w:r>
      <w:r>
        <w:t>support</w:t>
      </w:r>
      <w:r w:rsidR="00932420">
        <w:t xml:space="preserve"> </w:t>
      </w:r>
      <w:r>
        <w:t>for</w:t>
      </w:r>
      <w:r w:rsidR="00932420">
        <w:t xml:space="preserve"> </w:t>
      </w:r>
      <w:r>
        <w:t>Aboriginal</w:t>
      </w:r>
      <w:r w:rsidR="00932420">
        <w:t xml:space="preserve"> </w:t>
      </w:r>
      <w:r>
        <w:t>Victorians;</w:t>
      </w:r>
      <w:r w:rsidR="00932420">
        <w:t xml:space="preserve"> </w:t>
      </w:r>
      <w:r>
        <w:t>refugees</w:t>
      </w:r>
      <w:r w:rsidR="00932420">
        <w:t xml:space="preserve"> </w:t>
      </w:r>
      <w:r>
        <w:t>and</w:t>
      </w:r>
      <w:r w:rsidR="00932420">
        <w:t xml:space="preserve"> </w:t>
      </w:r>
      <w:r>
        <w:t>asylum</w:t>
      </w:r>
      <w:r w:rsidR="00932420">
        <w:t xml:space="preserve"> </w:t>
      </w:r>
      <w:r>
        <w:t>seekers;</w:t>
      </w:r>
      <w:r w:rsidR="00932420">
        <w:t xml:space="preserve"> </w:t>
      </w:r>
      <w:r>
        <w:t>Victorians</w:t>
      </w:r>
      <w:r w:rsidR="00932420">
        <w:t xml:space="preserve"> </w:t>
      </w:r>
      <w:r>
        <w:t>experiencing</w:t>
      </w:r>
      <w:r w:rsidR="00932420">
        <w:t xml:space="preserve"> </w:t>
      </w:r>
      <w:r>
        <w:t>mental</w:t>
      </w:r>
      <w:r w:rsidR="00932420">
        <w:t xml:space="preserve"> </w:t>
      </w:r>
      <w:r>
        <w:t>health</w:t>
      </w:r>
      <w:r w:rsidR="00932420">
        <w:t xml:space="preserve"> </w:t>
      </w:r>
      <w:r>
        <w:t>issues;</w:t>
      </w:r>
      <w:r w:rsidR="00932420">
        <w:t xml:space="preserve"> </w:t>
      </w:r>
      <w:r>
        <w:t>Victorians</w:t>
      </w:r>
      <w:r w:rsidR="00932420">
        <w:t xml:space="preserve"> </w:t>
      </w:r>
      <w:r>
        <w:t>in</w:t>
      </w:r>
      <w:r w:rsidR="00932420">
        <w:t xml:space="preserve"> </w:t>
      </w:r>
      <w:r>
        <w:t>contact</w:t>
      </w:r>
      <w:r w:rsidR="00932420">
        <w:t xml:space="preserve"> </w:t>
      </w:r>
      <w:r>
        <w:t>with</w:t>
      </w:r>
      <w:r w:rsidR="00932420">
        <w:t xml:space="preserve"> </w:t>
      </w:r>
      <w:r>
        <w:t>the</w:t>
      </w:r>
      <w:r w:rsidR="00932420">
        <w:t xml:space="preserve"> </w:t>
      </w:r>
      <w:r>
        <w:t>justice</w:t>
      </w:r>
      <w:r w:rsidR="00932420">
        <w:t xml:space="preserve"> </w:t>
      </w:r>
      <w:r>
        <w:t>system;</w:t>
      </w:r>
      <w:r w:rsidR="00932420">
        <w:t xml:space="preserve"> </w:t>
      </w:r>
      <w:r>
        <w:t>people</w:t>
      </w:r>
      <w:r w:rsidR="00932420">
        <w:t xml:space="preserve"> </w:t>
      </w:r>
      <w:r>
        <w:t>with</w:t>
      </w:r>
      <w:r w:rsidR="00932420">
        <w:t xml:space="preserve"> </w:t>
      </w:r>
      <w:r>
        <w:t>disability;</w:t>
      </w:r>
      <w:r w:rsidR="00932420">
        <w:t xml:space="preserve"> </w:t>
      </w:r>
      <w:r>
        <w:t>young</w:t>
      </w:r>
      <w:r w:rsidR="00932420">
        <w:t xml:space="preserve"> </w:t>
      </w:r>
      <w:r>
        <w:t>people</w:t>
      </w:r>
      <w:r w:rsidR="00932420">
        <w:t xml:space="preserve"> </w:t>
      </w:r>
      <w:r>
        <w:t>leaving</w:t>
      </w:r>
      <w:r w:rsidR="00932420">
        <w:t xml:space="preserve"> </w:t>
      </w:r>
      <w:r>
        <w:t>state</w:t>
      </w:r>
      <w:r w:rsidR="00932420">
        <w:t xml:space="preserve"> </w:t>
      </w:r>
      <w:r>
        <w:t>care;</w:t>
      </w:r>
      <w:r w:rsidR="00932420">
        <w:t xml:space="preserve"> </w:t>
      </w:r>
      <w:r>
        <w:t>social</w:t>
      </w:r>
      <w:r w:rsidR="00932420">
        <w:t xml:space="preserve"> </w:t>
      </w:r>
      <w:r>
        <w:t>housing</w:t>
      </w:r>
      <w:r w:rsidR="00932420">
        <w:t xml:space="preserve"> </w:t>
      </w:r>
      <w:r>
        <w:t>residents;</w:t>
      </w:r>
      <w:r w:rsidR="00932420">
        <w:t xml:space="preserve"> </w:t>
      </w:r>
      <w:r>
        <w:t>people</w:t>
      </w:r>
      <w:r w:rsidR="00932420">
        <w:t xml:space="preserve"> </w:t>
      </w:r>
      <w:r>
        <w:t>experiencing</w:t>
      </w:r>
      <w:r w:rsidR="00932420">
        <w:t xml:space="preserve"> </w:t>
      </w:r>
      <w:r>
        <w:t>family</w:t>
      </w:r>
      <w:r w:rsidR="00932420">
        <w:t xml:space="preserve"> </w:t>
      </w:r>
      <w:r>
        <w:t>violence;</w:t>
      </w:r>
      <w:r w:rsidR="00932420">
        <w:t xml:space="preserve"> </w:t>
      </w:r>
      <w:r>
        <w:t>and</w:t>
      </w:r>
      <w:r w:rsidR="00932420">
        <w:t xml:space="preserve"> </w:t>
      </w:r>
      <w:r>
        <w:t>veterans</w:t>
      </w:r>
      <w:r w:rsidR="00932420">
        <w:t xml:space="preserve"> </w:t>
      </w:r>
      <w:r>
        <w:t>and</w:t>
      </w:r>
      <w:r w:rsidR="00932420">
        <w:t xml:space="preserve"> </w:t>
      </w:r>
      <w:r>
        <w:t>their</w:t>
      </w:r>
      <w:r w:rsidR="00932420">
        <w:t xml:space="preserve"> </w:t>
      </w:r>
      <w:r>
        <w:t>families.</w:t>
      </w:r>
      <w:r w:rsidR="00932420">
        <w:t xml:space="preserve"> </w:t>
      </w:r>
      <w:r>
        <w:t>Jobs</w:t>
      </w:r>
      <w:r w:rsidR="00932420">
        <w:t xml:space="preserve"> </w:t>
      </w:r>
      <w:r>
        <w:t>Victoria</w:t>
      </w:r>
      <w:r w:rsidR="00932420">
        <w:t xml:space="preserve"> </w:t>
      </w:r>
      <w:r>
        <w:t>services</w:t>
      </w:r>
      <w:r w:rsidR="00932420">
        <w:t xml:space="preserve"> </w:t>
      </w:r>
      <w:r>
        <w:t>supported</w:t>
      </w:r>
      <w:r w:rsidR="00932420">
        <w:t xml:space="preserve"> </w:t>
      </w:r>
      <w:r>
        <w:t>people</w:t>
      </w:r>
      <w:r w:rsidR="00932420">
        <w:t xml:space="preserve"> </w:t>
      </w:r>
      <w:r>
        <w:t>into</w:t>
      </w:r>
      <w:r w:rsidR="00932420">
        <w:t xml:space="preserve"> </w:t>
      </w:r>
      <w:r>
        <w:t>roles</w:t>
      </w:r>
      <w:r w:rsidR="00932420">
        <w:t xml:space="preserve"> </w:t>
      </w:r>
      <w:r>
        <w:t>in</w:t>
      </w:r>
      <w:r w:rsidR="00932420">
        <w:t xml:space="preserve"> </w:t>
      </w:r>
      <w:r>
        <w:t>a</w:t>
      </w:r>
      <w:r w:rsidR="00932420">
        <w:t xml:space="preserve"> </w:t>
      </w:r>
      <w:r>
        <w:t>range</w:t>
      </w:r>
      <w:r w:rsidR="00932420">
        <w:t xml:space="preserve"> </w:t>
      </w:r>
      <w:r>
        <w:t>of</w:t>
      </w:r>
      <w:r w:rsidR="00932420">
        <w:t xml:space="preserve"> </w:t>
      </w:r>
      <w:r>
        <w:t>sectors</w:t>
      </w:r>
      <w:r w:rsidR="00932420">
        <w:t xml:space="preserve"> </w:t>
      </w:r>
      <w:r>
        <w:t>including</w:t>
      </w:r>
      <w:r w:rsidR="00932420">
        <w:t xml:space="preserve"> </w:t>
      </w:r>
      <w:r>
        <w:t>disability,</w:t>
      </w:r>
      <w:r w:rsidR="00932420">
        <w:t xml:space="preserve"> </w:t>
      </w:r>
      <w:r>
        <w:t>aged</w:t>
      </w:r>
      <w:r w:rsidR="00932420">
        <w:t xml:space="preserve"> </w:t>
      </w:r>
      <w:r>
        <w:t>care,</w:t>
      </w:r>
      <w:r w:rsidR="00932420">
        <w:t xml:space="preserve"> </w:t>
      </w:r>
      <w:r>
        <w:t>warehousing</w:t>
      </w:r>
      <w:r w:rsidR="00932420">
        <w:t xml:space="preserve"> </w:t>
      </w:r>
      <w:r>
        <w:t>and</w:t>
      </w:r>
      <w:r w:rsidR="00932420">
        <w:t xml:space="preserve"> </w:t>
      </w:r>
      <w:r>
        <w:t>distribution,</w:t>
      </w:r>
      <w:r w:rsidR="00932420">
        <w:t xml:space="preserve"> </w:t>
      </w:r>
      <w:r>
        <w:t>land</w:t>
      </w:r>
      <w:r w:rsidR="00932420">
        <w:t xml:space="preserve"> </w:t>
      </w:r>
      <w:r>
        <w:t>and</w:t>
      </w:r>
      <w:r w:rsidR="00932420">
        <w:t xml:space="preserve"> </w:t>
      </w:r>
      <w:r>
        <w:t>fire</w:t>
      </w:r>
      <w:r w:rsidR="00932420">
        <w:t xml:space="preserve"> </w:t>
      </w:r>
      <w:r>
        <w:t>management,</w:t>
      </w:r>
      <w:r w:rsidR="00932420">
        <w:t xml:space="preserve"> </w:t>
      </w:r>
      <w:r>
        <w:t>construction,</w:t>
      </w:r>
      <w:r w:rsidR="00932420">
        <w:t xml:space="preserve"> </w:t>
      </w:r>
      <w:r>
        <w:t>heavy</w:t>
      </w:r>
      <w:r w:rsidR="00932420">
        <w:t xml:space="preserve"> </w:t>
      </w:r>
      <w:r>
        <w:t>vehicles,</w:t>
      </w:r>
      <w:r w:rsidR="00932420">
        <w:t xml:space="preserve"> </w:t>
      </w:r>
      <w:r>
        <w:t>transport</w:t>
      </w:r>
      <w:r w:rsidR="00932420">
        <w:t xml:space="preserve"> </w:t>
      </w:r>
      <w:r>
        <w:t>and</w:t>
      </w:r>
      <w:r w:rsidR="00932420">
        <w:t xml:space="preserve"> </w:t>
      </w:r>
      <w:r>
        <w:t>logistics,</w:t>
      </w:r>
      <w:r w:rsidR="00932420">
        <w:t xml:space="preserve"> </w:t>
      </w:r>
      <w:r>
        <w:t>hair</w:t>
      </w:r>
      <w:r w:rsidR="00932420">
        <w:t xml:space="preserve"> </w:t>
      </w:r>
      <w:r>
        <w:t>and</w:t>
      </w:r>
      <w:r w:rsidR="00932420">
        <w:t xml:space="preserve"> </w:t>
      </w:r>
      <w:r>
        <w:t>beauty,</w:t>
      </w:r>
      <w:r w:rsidR="00932420">
        <w:t xml:space="preserve"> </w:t>
      </w:r>
      <w:r>
        <w:t>hospitality,</w:t>
      </w:r>
      <w:r w:rsidR="00932420">
        <w:t xml:space="preserve"> </w:t>
      </w:r>
      <w:proofErr w:type="gramStart"/>
      <w:r>
        <w:t>government</w:t>
      </w:r>
      <w:proofErr w:type="gramEnd"/>
      <w:r w:rsidR="00932420">
        <w:t xml:space="preserve"> </w:t>
      </w:r>
      <w:r>
        <w:t>and</w:t>
      </w:r>
      <w:r w:rsidR="00932420">
        <w:t xml:space="preserve"> </w:t>
      </w:r>
      <w:r>
        <w:t>social</w:t>
      </w:r>
      <w:r w:rsidR="00932420">
        <w:t xml:space="preserve"> </w:t>
      </w:r>
      <w:r>
        <w:t>housing.</w:t>
      </w:r>
    </w:p>
    <w:p w14:paraId="28AACFD1" w14:textId="414CBFB2" w:rsidR="00CA3C5B" w:rsidRDefault="00260033" w:rsidP="00896C86">
      <w:pPr>
        <w:rPr>
          <w:spacing w:val="1"/>
        </w:rPr>
      </w:pPr>
      <w:r>
        <w:t>Despite</w:t>
      </w:r>
      <w:r w:rsidR="00932420">
        <w:t xml:space="preserve"> </w:t>
      </w:r>
      <w:r>
        <w:t>an</w:t>
      </w:r>
      <w:r w:rsidR="00932420">
        <w:t xml:space="preserve"> </w:t>
      </w:r>
      <w:r>
        <w:t>increase</w:t>
      </w:r>
      <w:r w:rsidR="00932420">
        <w:t xml:space="preserve"> </w:t>
      </w:r>
      <w:r>
        <w:t>in</w:t>
      </w:r>
      <w:r w:rsidR="00932420">
        <w:t xml:space="preserve"> </w:t>
      </w:r>
      <w:r>
        <w:t>the</w:t>
      </w:r>
      <w:r w:rsidR="00932420">
        <w:t xml:space="preserve"> </w:t>
      </w:r>
      <w:r>
        <w:t>number</w:t>
      </w:r>
      <w:r w:rsidR="00932420">
        <w:t xml:space="preserve"> </w:t>
      </w:r>
      <w:r>
        <w:t>of</w:t>
      </w:r>
      <w:r w:rsidR="00932420">
        <w:t xml:space="preserve"> </w:t>
      </w:r>
      <w:r>
        <w:t>people</w:t>
      </w:r>
      <w:r w:rsidR="00932420">
        <w:t xml:space="preserve"> </w:t>
      </w:r>
      <w:r>
        <w:t>employed</w:t>
      </w:r>
      <w:r w:rsidR="00932420">
        <w:t xml:space="preserve"> </w:t>
      </w:r>
      <w:r>
        <w:t>in</w:t>
      </w:r>
      <w:r w:rsidR="00932420">
        <w:t xml:space="preserve"> </w:t>
      </w:r>
      <w:r>
        <w:t>Victoria</w:t>
      </w:r>
      <w:r w:rsidR="00932420">
        <w:t xml:space="preserve"> </w:t>
      </w:r>
      <w:r>
        <w:t>since</w:t>
      </w:r>
      <w:r w:rsidR="00932420">
        <w:t xml:space="preserve"> </w:t>
      </w:r>
      <w:r>
        <w:t>2020</w:t>
      </w:r>
      <w:r w:rsidR="00932420">
        <w:t xml:space="preserve"> </w:t>
      </w:r>
      <w:r>
        <w:t>and</w:t>
      </w:r>
      <w:r w:rsidR="00932420">
        <w:t xml:space="preserve"> </w:t>
      </w:r>
      <w:r>
        <w:t>recent</w:t>
      </w:r>
      <w:r w:rsidR="00932420">
        <w:t xml:space="preserve"> </w:t>
      </w:r>
      <w:r>
        <w:t>economic</w:t>
      </w:r>
      <w:r w:rsidR="00932420">
        <w:t xml:space="preserve"> </w:t>
      </w:r>
      <w:r>
        <w:t>recovery,</w:t>
      </w:r>
      <w:r w:rsidR="00932420">
        <w:t xml:space="preserve"> </w:t>
      </w:r>
      <w:r>
        <w:t>structural</w:t>
      </w:r>
      <w:r w:rsidR="00932420">
        <w:t xml:space="preserve"> </w:t>
      </w:r>
      <w:r>
        <w:t>challenges</w:t>
      </w:r>
      <w:r w:rsidR="00932420">
        <w:t xml:space="preserve"> </w:t>
      </w:r>
      <w:r>
        <w:t>remain</w:t>
      </w:r>
      <w:r w:rsidR="00932420">
        <w:t xml:space="preserve"> </w:t>
      </w:r>
      <w:r>
        <w:t>for</w:t>
      </w:r>
      <w:r w:rsidR="00932420">
        <w:t xml:space="preserve"> </w:t>
      </w:r>
      <w:r>
        <w:t>certain</w:t>
      </w:r>
      <w:r w:rsidR="00932420">
        <w:t xml:space="preserve"> </w:t>
      </w:r>
      <w:r>
        <w:t>cohorts</w:t>
      </w:r>
      <w:r w:rsidR="00932420">
        <w:t xml:space="preserve"> </w:t>
      </w:r>
      <w:r>
        <w:t>who</w:t>
      </w:r>
      <w:r w:rsidR="00932420">
        <w:t xml:space="preserve"> </w:t>
      </w:r>
      <w:r>
        <w:t>accessed</w:t>
      </w:r>
      <w:r w:rsidR="00932420">
        <w:t xml:space="preserve"> </w:t>
      </w:r>
      <w:r>
        <w:t>Jobs</w:t>
      </w:r>
      <w:r w:rsidR="00932420">
        <w:t xml:space="preserve"> </w:t>
      </w:r>
      <w:r>
        <w:t>Victoria</w:t>
      </w:r>
      <w:r w:rsidR="00932420">
        <w:t xml:space="preserve"> </w:t>
      </w:r>
      <w:r>
        <w:t>employment</w:t>
      </w:r>
      <w:r w:rsidR="00932420">
        <w:t xml:space="preserve"> </w:t>
      </w:r>
      <w:r>
        <w:t>services</w:t>
      </w:r>
      <w:r w:rsidR="00932420">
        <w:t xml:space="preserve"> </w:t>
      </w:r>
      <w:r>
        <w:t>in</w:t>
      </w:r>
      <w:r w:rsidR="00932420">
        <w:t xml:space="preserve"> </w:t>
      </w:r>
      <w:r>
        <w:t>2022–23.</w:t>
      </w:r>
      <w:r w:rsidR="00932420">
        <w:t xml:space="preserve"> </w:t>
      </w:r>
      <w:r>
        <w:t>At</w:t>
      </w:r>
      <w:r w:rsidR="00932420">
        <w:t xml:space="preserve"> </w:t>
      </w:r>
      <w:r>
        <w:t>the</w:t>
      </w:r>
      <w:r w:rsidR="00932420">
        <w:t xml:space="preserve"> </w:t>
      </w:r>
      <w:r>
        <w:t>same</w:t>
      </w:r>
      <w:r w:rsidR="00932420">
        <w:t xml:space="preserve"> </w:t>
      </w:r>
      <w:r>
        <w:t>time,</w:t>
      </w:r>
      <w:r w:rsidR="00932420">
        <w:t xml:space="preserve"> </w:t>
      </w:r>
      <w:r>
        <w:t>businesses</w:t>
      </w:r>
      <w:r w:rsidR="00932420">
        <w:t xml:space="preserve"> </w:t>
      </w:r>
      <w:r>
        <w:t>impacted</w:t>
      </w:r>
      <w:r w:rsidR="00932420">
        <w:t xml:space="preserve"> </w:t>
      </w:r>
      <w:r>
        <w:t>by</w:t>
      </w:r>
      <w:r w:rsidR="00932420">
        <w:t xml:space="preserve"> </w:t>
      </w:r>
      <w:r>
        <w:t>tight</w:t>
      </w:r>
      <w:r w:rsidR="00932420">
        <w:t xml:space="preserve"> </w:t>
      </w:r>
      <w:r>
        <w:t>labour</w:t>
      </w:r>
      <w:r w:rsidR="00932420">
        <w:t xml:space="preserve"> </w:t>
      </w:r>
      <w:r>
        <w:t>market</w:t>
      </w:r>
      <w:r w:rsidR="00932420">
        <w:t xml:space="preserve"> </w:t>
      </w:r>
      <w:r>
        <w:t>conditions</w:t>
      </w:r>
      <w:r w:rsidR="00932420">
        <w:t xml:space="preserve"> </w:t>
      </w:r>
      <w:r>
        <w:t>and</w:t>
      </w:r>
      <w:r w:rsidR="00932420">
        <w:t xml:space="preserve"> </w:t>
      </w:r>
      <w:r>
        <w:t>workforce</w:t>
      </w:r>
      <w:r w:rsidR="00932420">
        <w:t xml:space="preserve"> </w:t>
      </w:r>
      <w:r>
        <w:t>shortages</w:t>
      </w:r>
      <w:r w:rsidR="00932420">
        <w:t xml:space="preserve"> </w:t>
      </w:r>
      <w:r>
        <w:t>benefitted</w:t>
      </w:r>
      <w:r w:rsidR="00932420">
        <w:t xml:space="preserve"> </w:t>
      </w:r>
      <w:r>
        <w:rPr>
          <w:spacing w:val="1"/>
        </w:rPr>
        <w:t>from</w:t>
      </w:r>
      <w:r w:rsidR="00932420">
        <w:rPr>
          <w:spacing w:val="1"/>
        </w:rPr>
        <w:t xml:space="preserve"> </w:t>
      </w:r>
      <w:r>
        <w:rPr>
          <w:spacing w:val="1"/>
        </w:rPr>
        <w:t>Jobs</w:t>
      </w:r>
      <w:r w:rsidR="00932420">
        <w:rPr>
          <w:spacing w:val="1"/>
        </w:rPr>
        <w:t xml:space="preserve"> </w:t>
      </w:r>
      <w:r>
        <w:rPr>
          <w:spacing w:val="1"/>
        </w:rPr>
        <w:t>Victoria</w:t>
      </w:r>
      <w:r w:rsidR="00932420">
        <w:rPr>
          <w:spacing w:val="1"/>
        </w:rPr>
        <w:t xml:space="preserve"> </w:t>
      </w:r>
      <w:r>
        <w:rPr>
          <w:spacing w:val="1"/>
        </w:rPr>
        <w:t>services</w:t>
      </w:r>
      <w:r w:rsidR="00932420">
        <w:rPr>
          <w:spacing w:val="1"/>
        </w:rPr>
        <w:t xml:space="preserve"> </w:t>
      </w:r>
      <w:r>
        <w:rPr>
          <w:spacing w:val="1"/>
        </w:rPr>
        <w:t>that</w:t>
      </w:r>
      <w:r w:rsidR="00932420">
        <w:rPr>
          <w:spacing w:val="1"/>
        </w:rPr>
        <w:t xml:space="preserve"> </w:t>
      </w:r>
      <w:r>
        <w:rPr>
          <w:spacing w:val="1"/>
        </w:rPr>
        <w:t>connected</w:t>
      </w:r>
      <w:r w:rsidR="00932420">
        <w:rPr>
          <w:spacing w:val="1"/>
        </w:rPr>
        <w:t xml:space="preserve"> </w:t>
      </w:r>
      <w:r>
        <w:rPr>
          <w:spacing w:val="1"/>
        </w:rPr>
        <w:t>them</w:t>
      </w:r>
      <w:r w:rsidR="00932420">
        <w:rPr>
          <w:spacing w:val="1"/>
        </w:rPr>
        <w:t xml:space="preserve"> </w:t>
      </w:r>
      <w:r>
        <w:rPr>
          <w:spacing w:val="1"/>
        </w:rPr>
        <w:t>with</w:t>
      </w:r>
      <w:r w:rsidR="00932420">
        <w:rPr>
          <w:spacing w:val="1"/>
        </w:rPr>
        <w:t xml:space="preserve"> </w:t>
      </w:r>
      <w:r>
        <w:rPr>
          <w:spacing w:val="1"/>
        </w:rPr>
        <w:t>potential</w:t>
      </w:r>
      <w:r w:rsidR="00932420">
        <w:rPr>
          <w:spacing w:val="1"/>
        </w:rPr>
        <w:t xml:space="preserve"> </w:t>
      </w:r>
      <w:r>
        <w:rPr>
          <w:spacing w:val="1"/>
        </w:rPr>
        <w:t>employees.</w:t>
      </w:r>
      <w:r w:rsidR="00932420">
        <w:rPr>
          <w:spacing w:val="1"/>
        </w:rPr>
        <w:t xml:space="preserve"> </w:t>
      </w:r>
      <w:r>
        <w:rPr>
          <w:spacing w:val="1"/>
        </w:rPr>
        <w:t>Going</w:t>
      </w:r>
      <w:r w:rsidR="00932420">
        <w:rPr>
          <w:spacing w:val="1"/>
        </w:rPr>
        <w:t xml:space="preserve"> </w:t>
      </w:r>
      <w:r>
        <w:rPr>
          <w:spacing w:val="1"/>
        </w:rPr>
        <w:t>forward,</w:t>
      </w:r>
      <w:r w:rsidR="00932420">
        <w:rPr>
          <w:spacing w:val="1"/>
        </w:rPr>
        <w:t xml:space="preserve"> </w:t>
      </w:r>
      <w:r>
        <w:rPr>
          <w:spacing w:val="1"/>
        </w:rPr>
        <w:t>Jobs</w:t>
      </w:r>
      <w:r w:rsidR="00932420">
        <w:rPr>
          <w:spacing w:val="1"/>
        </w:rPr>
        <w:t xml:space="preserve"> </w:t>
      </w:r>
      <w:r>
        <w:rPr>
          <w:spacing w:val="1"/>
        </w:rPr>
        <w:t>Victoria</w:t>
      </w:r>
      <w:r w:rsidR="00932420">
        <w:rPr>
          <w:spacing w:val="1"/>
        </w:rPr>
        <w:t xml:space="preserve"> </w:t>
      </w:r>
      <w:r>
        <w:rPr>
          <w:spacing w:val="1"/>
        </w:rPr>
        <w:t>Mentors</w:t>
      </w:r>
      <w:r w:rsidR="00932420">
        <w:rPr>
          <w:spacing w:val="1"/>
        </w:rPr>
        <w:t xml:space="preserve"> </w:t>
      </w:r>
      <w:r>
        <w:rPr>
          <w:spacing w:val="1"/>
        </w:rPr>
        <w:t>will</w:t>
      </w:r>
      <w:r w:rsidR="00932420">
        <w:rPr>
          <w:spacing w:val="1"/>
        </w:rPr>
        <w:t xml:space="preserve"> </w:t>
      </w:r>
      <w:r>
        <w:rPr>
          <w:spacing w:val="1"/>
        </w:rPr>
        <w:t>target</w:t>
      </w:r>
      <w:r w:rsidR="00932420">
        <w:rPr>
          <w:spacing w:val="1"/>
        </w:rPr>
        <w:t xml:space="preserve"> </w:t>
      </w:r>
      <w:r>
        <w:rPr>
          <w:spacing w:val="1"/>
        </w:rPr>
        <w:t>the</w:t>
      </w:r>
      <w:r w:rsidR="00932420">
        <w:rPr>
          <w:spacing w:val="1"/>
        </w:rPr>
        <w:t xml:space="preserve"> </w:t>
      </w:r>
      <w:r>
        <w:rPr>
          <w:spacing w:val="1"/>
        </w:rPr>
        <w:t>hardest-to-place</w:t>
      </w:r>
      <w:r w:rsidR="00932420">
        <w:rPr>
          <w:spacing w:val="1"/>
        </w:rPr>
        <w:t xml:space="preserve"> </w:t>
      </w:r>
      <w:r>
        <w:rPr>
          <w:spacing w:val="1"/>
        </w:rPr>
        <w:t>jobseekers</w:t>
      </w:r>
      <w:r w:rsidR="00932420">
        <w:rPr>
          <w:spacing w:val="1"/>
        </w:rPr>
        <w:t xml:space="preserve"> </w:t>
      </w:r>
      <w:r>
        <w:rPr>
          <w:spacing w:val="1"/>
        </w:rPr>
        <w:t>in</w:t>
      </w:r>
      <w:r w:rsidR="00932420">
        <w:rPr>
          <w:spacing w:val="1"/>
        </w:rPr>
        <w:t xml:space="preserve"> </w:t>
      </w:r>
      <w:r>
        <w:rPr>
          <w:spacing w:val="1"/>
        </w:rPr>
        <w:t>priority</w:t>
      </w:r>
      <w:r w:rsidR="00932420">
        <w:rPr>
          <w:spacing w:val="1"/>
        </w:rPr>
        <w:t xml:space="preserve"> </w:t>
      </w:r>
      <w:r>
        <w:rPr>
          <w:spacing w:val="1"/>
        </w:rPr>
        <w:t>positions</w:t>
      </w:r>
      <w:r w:rsidR="00932420">
        <w:rPr>
          <w:spacing w:val="1"/>
        </w:rPr>
        <w:t xml:space="preserve"> </w:t>
      </w:r>
      <w:r>
        <w:rPr>
          <w:spacing w:val="1"/>
        </w:rPr>
        <w:t>based</w:t>
      </w:r>
      <w:r w:rsidR="00932420">
        <w:rPr>
          <w:spacing w:val="1"/>
        </w:rPr>
        <w:t xml:space="preserve"> </w:t>
      </w:r>
      <w:r>
        <w:rPr>
          <w:spacing w:val="1"/>
        </w:rPr>
        <w:t>on</w:t>
      </w:r>
      <w:r w:rsidR="00932420">
        <w:rPr>
          <w:spacing w:val="1"/>
        </w:rPr>
        <w:t xml:space="preserve"> </w:t>
      </w:r>
      <w:r>
        <w:rPr>
          <w:spacing w:val="1"/>
        </w:rPr>
        <w:t>demonstrated</w:t>
      </w:r>
      <w:r w:rsidR="00932420">
        <w:rPr>
          <w:spacing w:val="1"/>
        </w:rPr>
        <w:t xml:space="preserve"> </w:t>
      </w:r>
      <w:r>
        <w:rPr>
          <w:spacing w:val="1"/>
        </w:rPr>
        <w:t>need.</w:t>
      </w:r>
      <w:r w:rsidR="00932420">
        <w:rPr>
          <w:spacing w:val="1"/>
        </w:rPr>
        <w:t xml:space="preserve"> </w:t>
      </w:r>
      <w:r>
        <w:rPr>
          <w:spacing w:val="1"/>
        </w:rPr>
        <w:t>Jobs</w:t>
      </w:r>
      <w:r w:rsidR="00932420">
        <w:rPr>
          <w:spacing w:val="1"/>
        </w:rPr>
        <w:t xml:space="preserve"> </w:t>
      </w:r>
      <w:r>
        <w:rPr>
          <w:spacing w:val="1"/>
        </w:rPr>
        <w:t>Victoria</w:t>
      </w:r>
      <w:r w:rsidR="00932420">
        <w:rPr>
          <w:spacing w:val="1"/>
        </w:rPr>
        <w:t xml:space="preserve"> </w:t>
      </w:r>
      <w:r>
        <w:rPr>
          <w:spacing w:val="1"/>
        </w:rPr>
        <w:t>services</w:t>
      </w:r>
      <w:r w:rsidR="00932420">
        <w:rPr>
          <w:spacing w:val="1"/>
        </w:rPr>
        <w:t xml:space="preserve"> </w:t>
      </w:r>
      <w:r>
        <w:rPr>
          <w:spacing w:val="1"/>
        </w:rPr>
        <w:t>will</w:t>
      </w:r>
      <w:r w:rsidR="00932420">
        <w:rPr>
          <w:spacing w:val="1"/>
        </w:rPr>
        <w:t xml:space="preserve"> </w:t>
      </w:r>
      <w:r>
        <w:rPr>
          <w:spacing w:val="1"/>
        </w:rPr>
        <w:t>continue</w:t>
      </w:r>
      <w:r w:rsidR="00932420">
        <w:rPr>
          <w:spacing w:val="1"/>
        </w:rPr>
        <w:t xml:space="preserve"> </w:t>
      </w:r>
      <w:r>
        <w:rPr>
          <w:spacing w:val="1"/>
        </w:rPr>
        <w:t>to</w:t>
      </w:r>
      <w:r w:rsidR="00932420">
        <w:rPr>
          <w:spacing w:val="1"/>
        </w:rPr>
        <w:t xml:space="preserve"> </w:t>
      </w:r>
      <w:r>
        <w:rPr>
          <w:spacing w:val="1"/>
        </w:rPr>
        <w:t>address</w:t>
      </w:r>
      <w:r w:rsidR="00932420">
        <w:rPr>
          <w:spacing w:val="1"/>
        </w:rPr>
        <w:t xml:space="preserve"> </w:t>
      </w:r>
      <w:r>
        <w:rPr>
          <w:spacing w:val="1"/>
        </w:rPr>
        <w:t>gaps</w:t>
      </w:r>
      <w:r w:rsidR="00932420">
        <w:rPr>
          <w:spacing w:val="1"/>
        </w:rPr>
        <w:t xml:space="preserve"> </w:t>
      </w:r>
      <w:r>
        <w:rPr>
          <w:spacing w:val="1"/>
        </w:rPr>
        <w:t>in</w:t>
      </w:r>
      <w:r w:rsidR="00932420">
        <w:rPr>
          <w:spacing w:val="1"/>
        </w:rPr>
        <w:t xml:space="preserve"> </w:t>
      </w:r>
      <w:r>
        <w:rPr>
          <w:spacing w:val="1"/>
        </w:rPr>
        <w:t>existing</w:t>
      </w:r>
      <w:r w:rsidR="00932420">
        <w:rPr>
          <w:spacing w:val="1"/>
        </w:rPr>
        <w:t xml:space="preserve"> </w:t>
      </w:r>
      <w:r>
        <w:rPr>
          <w:spacing w:val="1"/>
        </w:rPr>
        <w:t>services,</w:t>
      </w:r>
      <w:r w:rsidR="00932420">
        <w:rPr>
          <w:spacing w:val="1"/>
        </w:rPr>
        <w:t xml:space="preserve"> </w:t>
      </w:r>
      <w:r>
        <w:rPr>
          <w:spacing w:val="1"/>
        </w:rPr>
        <w:t>to</w:t>
      </w:r>
      <w:r w:rsidR="00932420">
        <w:rPr>
          <w:spacing w:val="1"/>
        </w:rPr>
        <w:t xml:space="preserve"> </w:t>
      </w:r>
      <w:r>
        <w:rPr>
          <w:spacing w:val="1"/>
        </w:rPr>
        <w:t>ensure</w:t>
      </w:r>
      <w:r w:rsidR="00932420">
        <w:rPr>
          <w:spacing w:val="1"/>
        </w:rPr>
        <w:t xml:space="preserve"> </w:t>
      </w:r>
      <w:r>
        <w:rPr>
          <w:spacing w:val="1"/>
        </w:rPr>
        <w:t>support</w:t>
      </w:r>
      <w:r w:rsidR="00932420">
        <w:rPr>
          <w:spacing w:val="1"/>
        </w:rPr>
        <w:t xml:space="preserve"> </w:t>
      </w:r>
      <w:r>
        <w:rPr>
          <w:spacing w:val="1"/>
        </w:rPr>
        <w:t>for</w:t>
      </w:r>
      <w:r w:rsidR="00932420">
        <w:rPr>
          <w:spacing w:val="1"/>
        </w:rPr>
        <w:t xml:space="preserve"> </w:t>
      </w:r>
      <w:r>
        <w:rPr>
          <w:spacing w:val="1"/>
        </w:rPr>
        <w:t>those</w:t>
      </w:r>
      <w:r w:rsidR="00932420">
        <w:rPr>
          <w:spacing w:val="1"/>
        </w:rPr>
        <w:t xml:space="preserve"> </w:t>
      </w:r>
      <w:r>
        <w:rPr>
          <w:spacing w:val="1"/>
        </w:rPr>
        <w:t>most</w:t>
      </w:r>
      <w:r w:rsidR="00932420">
        <w:rPr>
          <w:spacing w:val="1"/>
        </w:rPr>
        <w:t xml:space="preserve"> </w:t>
      </w:r>
      <w:r>
        <w:rPr>
          <w:spacing w:val="1"/>
        </w:rPr>
        <w:t>in</w:t>
      </w:r>
      <w:r w:rsidR="00932420">
        <w:rPr>
          <w:spacing w:val="1"/>
        </w:rPr>
        <w:t xml:space="preserve"> </w:t>
      </w:r>
      <w:r>
        <w:rPr>
          <w:spacing w:val="1"/>
        </w:rPr>
        <w:t>need</w:t>
      </w:r>
      <w:r w:rsidR="00932420">
        <w:rPr>
          <w:spacing w:val="1"/>
        </w:rPr>
        <w:t xml:space="preserve"> </w:t>
      </w:r>
      <w:r>
        <w:rPr>
          <w:spacing w:val="1"/>
        </w:rPr>
        <w:t>and</w:t>
      </w:r>
      <w:r w:rsidR="00932420">
        <w:rPr>
          <w:spacing w:val="1"/>
        </w:rPr>
        <w:t xml:space="preserve"> </w:t>
      </w:r>
      <w:r>
        <w:rPr>
          <w:spacing w:val="1"/>
        </w:rPr>
        <w:t>create</w:t>
      </w:r>
      <w:r w:rsidR="00932420">
        <w:rPr>
          <w:spacing w:val="1"/>
        </w:rPr>
        <w:t xml:space="preserve"> </w:t>
      </w:r>
      <w:r>
        <w:rPr>
          <w:spacing w:val="1"/>
        </w:rPr>
        <w:t>pathways</w:t>
      </w:r>
      <w:r w:rsidR="00932420">
        <w:rPr>
          <w:spacing w:val="1"/>
        </w:rPr>
        <w:t xml:space="preserve"> </w:t>
      </w:r>
      <w:r>
        <w:rPr>
          <w:spacing w:val="1"/>
        </w:rPr>
        <w:t>into</w:t>
      </w:r>
      <w:r w:rsidR="00932420">
        <w:rPr>
          <w:spacing w:val="1"/>
        </w:rPr>
        <w:t xml:space="preserve"> </w:t>
      </w:r>
      <w:r>
        <w:rPr>
          <w:spacing w:val="1"/>
        </w:rPr>
        <w:t>employment.</w:t>
      </w:r>
    </w:p>
    <w:p w14:paraId="3BF34298" w14:textId="69A1E3BA" w:rsidR="00CA3C5B" w:rsidRDefault="00260033" w:rsidP="00896C86">
      <w:pPr>
        <w:pStyle w:val="Heading2"/>
      </w:pPr>
      <w:bookmarkStart w:id="4" w:name="_Toc152067211"/>
      <w:r>
        <w:t>Performance</w:t>
      </w:r>
      <w:r w:rsidR="00932420">
        <w:t xml:space="preserve"> </w:t>
      </w:r>
      <w:r>
        <w:t>against</w:t>
      </w:r>
      <w:r w:rsidR="00932420">
        <w:t xml:space="preserve"> </w:t>
      </w:r>
      <w:r>
        <w:t>output</w:t>
      </w:r>
      <w:r w:rsidR="00932420">
        <w:t xml:space="preserve"> </w:t>
      </w:r>
      <w:r>
        <w:t>performance</w:t>
      </w:r>
      <w:r w:rsidR="00932420">
        <w:t xml:space="preserve"> </w:t>
      </w:r>
      <w:r>
        <w:t>measures</w:t>
      </w:r>
      <w:bookmarkEnd w:id="4"/>
    </w:p>
    <w:p w14:paraId="7E4E877F" w14:textId="18598F9F" w:rsidR="00CA3C5B" w:rsidRDefault="00260033" w:rsidP="00896C86">
      <w:r>
        <w:t>Table</w:t>
      </w:r>
      <w:r w:rsidR="00932420">
        <w:t xml:space="preserve"> </w:t>
      </w:r>
      <w:r>
        <w:t>2</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Jobs</w:t>
      </w:r>
      <w:r w:rsidR="00932420">
        <w:t xml:space="preserve"> </w:t>
      </w:r>
      <w:r>
        <w:t>output.</w:t>
      </w:r>
      <w:r w:rsidR="00932420">
        <w:t xml:space="preserve"> </w:t>
      </w:r>
      <w:r>
        <w:t>This</w:t>
      </w:r>
      <w:r w:rsidR="00932420">
        <w:t xml:space="preserve"> </w:t>
      </w:r>
      <w:r>
        <w:t>output</w:t>
      </w:r>
      <w:r w:rsidR="00932420">
        <w:t xml:space="preserve"> </w:t>
      </w:r>
      <w:r>
        <w:t>includes</w:t>
      </w:r>
      <w:r w:rsidR="00932420">
        <w:t xml:space="preserve"> </w:t>
      </w:r>
      <w:r>
        <w:t>actions</w:t>
      </w:r>
      <w:r w:rsidR="00932420">
        <w:t xml:space="preserve"> </w:t>
      </w:r>
      <w:r>
        <w:t>to</w:t>
      </w:r>
      <w:r w:rsidR="00932420">
        <w:t xml:space="preserve"> </w:t>
      </w:r>
      <w:r>
        <w:t>increase</w:t>
      </w:r>
      <w:r w:rsidR="00932420">
        <w:t xml:space="preserve"> </w:t>
      </w:r>
      <w:r>
        <w:t>job</w:t>
      </w:r>
      <w:r w:rsidR="00932420">
        <w:t xml:space="preserve"> </w:t>
      </w:r>
      <w:r>
        <w:t>opportunities</w:t>
      </w:r>
      <w:r w:rsidR="00932420">
        <w:t xml:space="preserve"> </w:t>
      </w:r>
      <w:r>
        <w:t>including</w:t>
      </w:r>
      <w:r w:rsidR="00932420">
        <w:t xml:space="preserve"> </w:t>
      </w:r>
      <w:r>
        <w:t>initiatives</w:t>
      </w:r>
      <w:r w:rsidR="00932420">
        <w:t xml:space="preserve"> </w:t>
      </w:r>
      <w:r>
        <w:t>to</w:t>
      </w:r>
      <w:r w:rsidR="00932420">
        <w:t xml:space="preserve"> </w:t>
      </w:r>
      <w:r>
        <w:t>support</w:t>
      </w:r>
      <w:r w:rsidR="00932420">
        <w:t xml:space="preserve"> </w:t>
      </w:r>
      <w:r>
        <w:t>Victorians</w:t>
      </w:r>
      <w:r w:rsidR="00932420">
        <w:t xml:space="preserve"> </w:t>
      </w:r>
      <w:r>
        <w:t>experiencing</w:t>
      </w:r>
      <w:r w:rsidR="00932420">
        <w:t xml:space="preserve"> </w:t>
      </w:r>
      <w:r>
        <w:t>disadvantage</w:t>
      </w:r>
      <w:r w:rsidR="00932420">
        <w:t xml:space="preserve"> </w:t>
      </w:r>
      <w:r>
        <w:t>into</w:t>
      </w:r>
      <w:r w:rsidR="00932420">
        <w:t xml:space="preserve"> </w:t>
      </w:r>
      <w:r>
        <w:t>employment,</w:t>
      </w:r>
      <w:r w:rsidR="00932420">
        <w:t xml:space="preserve"> </w:t>
      </w:r>
      <w:r>
        <w:rPr>
          <w:spacing w:val="-1"/>
        </w:rPr>
        <w:t>support</w:t>
      </w:r>
      <w:r w:rsidR="00932420">
        <w:rPr>
          <w:spacing w:val="-1"/>
        </w:rPr>
        <w:t xml:space="preserve"> </w:t>
      </w:r>
      <w:r>
        <w:rPr>
          <w:spacing w:val="-1"/>
        </w:rPr>
        <w:t>Aboriginal</w:t>
      </w:r>
      <w:r w:rsidR="00932420">
        <w:rPr>
          <w:spacing w:val="-1"/>
        </w:rPr>
        <w:t xml:space="preserve"> </w:t>
      </w:r>
      <w:r>
        <w:rPr>
          <w:spacing w:val="-1"/>
        </w:rPr>
        <w:t>economic</w:t>
      </w:r>
      <w:r w:rsidR="00932420">
        <w:rPr>
          <w:spacing w:val="-1"/>
        </w:rPr>
        <w:t xml:space="preserve"> </w:t>
      </w:r>
      <w:r>
        <w:rPr>
          <w:spacing w:val="-1"/>
        </w:rPr>
        <w:t>inclusion,</w:t>
      </w:r>
      <w:r w:rsidR="00932420">
        <w:rPr>
          <w:spacing w:val="-1"/>
        </w:rPr>
        <w:t xml:space="preserve"> </w:t>
      </w:r>
      <w:r>
        <w:rPr>
          <w:spacing w:val="-1"/>
        </w:rPr>
        <w:t>as</w:t>
      </w:r>
      <w:r w:rsidR="00932420">
        <w:rPr>
          <w:spacing w:val="-1"/>
        </w:rPr>
        <w:t xml:space="preserve"> </w:t>
      </w:r>
      <w:r>
        <w:rPr>
          <w:spacing w:val="-1"/>
        </w:rPr>
        <w:t>well</w:t>
      </w:r>
      <w:r w:rsidR="00932420">
        <w:rPr>
          <w:spacing w:val="-1"/>
        </w:rPr>
        <w:t xml:space="preserve"> </w:t>
      </w:r>
      <w:r>
        <w:rPr>
          <w:spacing w:val="-1"/>
        </w:rPr>
        <w:t>as</w:t>
      </w:r>
      <w:r w:rsidR="00932420">
        <w:rPr>
          <w:spacing w:val="-1"/>
        </w:rPr>
        <w:t xml:space="preserve"> </w:t>
      </w:r>
      <w:r>
        <w:rPr>
          <w:spacing w:val="-1"/>
        </w:rPr>
        <w:t>attract</w:t>
      </w:r>
      <w:r w:rsidR="00932420">
        <w:rPr>
          <w:spacing w:val="-1"/>
        </w:rPr>
        <w:t xml:space="preserve"> </w:t>
      </w:r>
      <w:r>
        <w:rPr>
          <w:spacing w:val="-1"/>
        </w:rPr>
        <w:t>new</w:t>
      </w:r>
      <w:r w:rsidR="00932420">
        <w:rPr>
          <w:spacing w:val="-1"/>
        </w:rPr>
        <w:t xml:space="preserve"> </w:t>
      </w:r>
      <w:r>
        <w:rPr>
          <w:spacing w:val="-1"/>
        </w:rPr>
        <w:t>investment</w:t>
      </w:r>
      <w:r w:rsidR="00932420">
        <w:rPr>
          <w:spacing w:val="-1"/>
        </w:rPr>
        <w:t xml:space="preserve"> </w:t>
      </w:r>
      <w:r>
        <w:rPr>
          <w:spacing w:val="-1"/>
        </w:rPr>
        <w:t>and</w:t>
      </w:r>
      <w:r w:rsidR="00932420">
        <w:rPr>
          <w:spacing w:val="-1"/>
        </w:rPr>
        <w:t xml:space="preserve"> </w:t>
      </w:r>
      <w:r>
        <w:rPr>
          <w:spacing w:val="-1"/>
        </w:rPr>
        <w:t>talent</w:t>
      </w:r>
      <w:r w:rsidR="00932420">
        <w:rPr>
          <w:spacing w:val="-1"/>
        </w:rPr>
        <w:t xml:space="preserve"> </w:t>
      </w:r>
      <w:r>
        <w:rPr>
          <w:spacing w:val="-1"/>
        </w:rPr>
        <w:t>into</w:t>
      </w:r>
      <w:r w:rsidR="00932420">
        <w:rPr>
          <w:spacing w:val="-1"/>
        </w:rPr>
        <w:t xml:space="preserve"> </w:t>
      </w:r>
      <w:r>
        <w:rPr>
          <w:spacing w:val="-1"/>
        </w:rPr>
        <w:t>Victoria</w:t>
      </w:r>
      <w:r w:rsidR="00932420">
        <w:rPr>
          <w:spacing w:val="-1"/>
        </w:rPr>
        <w:t xml:space="preserve"> </w:t>
      </w:r>
      <w:r>
        <w:rPr>
          <w:spacing w:val="-1"/>
        </w:rPr>
        <w:t>to</w:t>
      </w:r>
      <w:r w:rsidR="00932420">
        <w:rPr>
          <w:spacing w:val="-1"/>
        </w:rPr>
        <w:t xml:space="preserve"> </w:t>
      </w:r>
      <w:r>
        <w:rPr>
          <w:spacing w:val="-1"/>
        </w:rPr>
        <w:t>grow</w:t>
      </w:r>
      <w:r w:rsidR="00932420">
        <w:rPr>
          <w:spacing w:val="-1"/>
        </w:rPr>
        <w:t xml:space="preserve"> </w:t>
      </w:r>
      <w:r>
        <w:t>the</w:t>
      </w:r>
      <w:r w:rsidR="00932420">
        <w:t xml:space="preserve"> </w:t>
      </w:r>
      <w:r>
        <w:t>economy</w:t>
      </w:r>
      <w:r w:rsidR="00932420">
        <w:t xml:space="preserve"> </w:t>
      </w:r>
      <w:r>
        <w:t>and</w:t>
      </w:r>
      <w:r w:rsidR="00932420">
        <w:t xml:space="preserve"> </w:t>
      </w:r>
      <w:r>
        <w:t>share</w:t>
      </w:r>
      <w:r w:rsidR="00932420">
        <w:t xml:space="preserve"> </w:t>
      </w:r>
      <w:r>
        <w:t>the</w:t>
      </w:r>
      <w:r w:rsidR="00932420">
        <w:t xml:space="preserve"> </w:t>
      </w:r>
      <w:r>
        <w:t>benefits</w:t>
      </w:r>
      <w:r w:rsidR="00932420">
        <w:t xml:space="preserve"> </w:t>
      </w:r>
      <w:r>
        <w:t>of</w:t>
      </w:r>
      <w:r w:rsidR="00932420">
        <w:t xml:space="preserve"> </w:t>
      </w:r>
      <w:r>
        <w:t>economic</w:t>
      </w:r>
      <w:r w:rsidR="00932420">
        <w:t xml:space="preserve"> </w:t>
      </w:r>
      <w:r>
        <w:t>prosperity.</w:t>
      </w:r>
    </w:p>
    <w:p w14:paraId="25B121E1" w14:textId="33859396" w:rsidR="00CA3C5B" w:rsidRDefault="00260033" w:rsidP="00896C86">
      <w:pPr>
        <w:pStyle w:val="TableHeading"/>
      </w:pPr>
      <w:r>
        <w:lastRenderedPageBreak/>
        <w:t>Table</w:t>
      </w:r>
      <w:r w:rsidR="00932420">
        <w:t xml:space="preserve"> </w:t>
      </w:r>
      <w:r>
        <w:t>2:</w:t>
      </w:r>
      <w:r w:rsidR="00932420">
        <w:t xml:space="preserve"> </w:t>
      </w:r>
      <w:r>
        <w:t>Output</w:t>
      </w:r>
      <w:r w:rsidR="00932420">
        <w:t xml:space="preserve"> </w:t>
      </w:r>
      <w:r>
        <w:t>–</w:t>
      </w:r>
      <w:r w:rsidR="00932420">
        <w:t xml:space="preserve"> </w:t>
      </w:r>
      <w:r>
        <w:t>Jobs</w:t>
      </w:r>
    </w:p>
    <w:tbl>
      <w:tblPr>
        <w:tblStyle w:val="TableGrid"/>
        <w:tblW w:w="9918" w:type="dxa"/>
        <w:tblLayout w:type="fixed"/>
        <w:tblLook w:val="0020" w:firstRow="1" w:lastRow="0" w:firstColumn="0" w:lastColumn="0" w:noHBand="0" w:noVBand="0"/>
      </w:tblPr>
      <w:tblGrid>
        <w:gridCol w:w="4479"/>
        <w:gridCol w:w="1186"/>
        <w:gridCol w:w="963"/>
        <w:gridCol w:w="1021"/>
        <w:gridCol w:w="1475"/>
        <w:gridCol w:w="794"/>
      </w:tblGrid>
      <w:tr w:rsidR="00CA3C5B" w:rsidRPr="008A5C70" w14:paraId="0DE747BA" w14:textId="77777777" w:rsidTr="003A78CF">
        <w:trPr>
          <w:cantSplit/>
          <w:tblHeader/>
        </w:trPr>
        <w:tc>
          <w:tcPr>
            <w:tcW w:w="4479" w:type="dxa"/>
          </w:tcPr>
          <w:p w14:paraId="176D6944" w14:textId="709B4268" w:rsidR="00CA3C5B" w:rsidRPr="008A5C70" w:rsidRDefault="00260033" w:rsidP="00896C86">
            <w:pPr>
              <w:pStyle w:val="TableColumnHeading"/>
              <w:rPr>
                <w:sz w:val="21"/>
                <w:szCs w:val="21"/>
              </w:rPr>
            </w:pPr>
            <w:bookmarkStart w:id="5" w:name="ColumnTitle_2"/>
            <w:bookmarkEnd w:id="5"/>
            <w:r w:rsidRPr="008A5C70">
              <w:rPr>
                <w:sz w:val="21"/>
                <w:szCs w:val="21"/>
              </w:rPr>
              <w:t>Performance</w:t>
            </w:r>
            <w:r w:rsidR="00932420" w:rsidRPr="008A5C70">
              <w:rPr>
                <w:sz w:val="21"/>
                <w:szCs w:val="21"/>
              </w:rPr>
              <w:t xml:space="preserve"> </w:t>
            </w:r>
            <w:r w:rsidRPr="008A5C70">
              <w:rPr>
                <w:sz w:val="21"/>
                <w:szCs w:val="21"/>
              </w:rPr>
              <w:t>measures</w:t>
            </w:r>
          </w:p>
        </w:tc>
        <w:tc>
          <w:tcPr>
            <w:tcW w:w="1186" w:type="dxa"/>
          </w:tcPr>
          <w:p w14:paraId="5B6C15D7" w14:textId="2A685283" w:rsidR="00CA3C5B" w:rsidRPr="008A5C70" w:rsidRDefault="00260033" w:rsidP="00896C86">
            <w:pPr>
              <w:pStyle w:val="TableColumnHeading"/>
              <w:rPr>
                <w:sz w:val="21"/>
                <w:szCs w:val="21"/>
              </w:rPr>
            </w:pPr>
            <w:r w:rsidRPr="008A5C70">
              <w:rPr>
                <w:sz w:val="21"/>
                <w:szCs w:val="21"/>
              </w:rPr>
              <w:t>Unit</w:t>
            </w:r>
            <w:r w:rsidR="00932420" w:rsidRPr="008A5C70">
              <w:rPr>
                <w:sz w:val="21"/>
                <w:szCs w:val="21"/>
              </w:rPr>
              <w:t xml:space="preserve"> </w:t>
            </w:r>
            <w:r w:rsidRPr="008A5C70">
              <w:rPr>
                <w:sz w:val="21"/>
                <w:szCs w:val="21"/>
              </w:rPr>
              <w:t>of</w:t>
            </w:r>
            <w:r w:rsidR="00932420" w:rsidRPr="008A5C70">
              <w:rPr>
                <w:sz w:val="21"/>
                <w:szCs w:val="21"/>
              </w:rPr>
              <w:t xml:space="preserve"> </w:t>
            </w:r>
            <w:r w:rsidRPr="008A5C70">
              <w:rPr>
                <w:sz w:val="21"/>
                <w:szCs w:val="21"/>
              </w:rPr>
              <w:t>Measure</w:t>
            </w:r>
          </w:p>
        </w:tc>
        <w:tc>
          <w:tcPr>
            <w:tcW w:w="963" w:type="dxa"/>
          </w:tcPr>
          <w:p w14:paraId="5C8EC586" w14:textId="14BE8F03" w:rsidR="00CA3C5B" w:rsidRPr="008A5C70" w:rsidRDefault="00260033" w:rsidP="008A5C70">
            <w:pPr>
              <w:pStyle w:val="TableColumnHeading"/>
              <w:jc w:val="right"/>
              <w:rPr>
                <w:sz w:val="21"/>
                <w:szCs w:val="21"/>
              </w:rPr>
            </w:pPr>
            <w:r w:rsidRPr="008A5C70">
              <w:rPr>
                <w:sz w:val="21"/>
                <w:szCs w:val="21"/>
              </w:rPr>
              <w:t>2022–23</w:t>
            </w:r>
            <w:r w:rsidR="00611511" w:rsidRPr="008A5C70">
              <w:rPr>
                <w:sz w:val="21"/>
                <w:szCs w:val="21"/>
              </w:rPr>
              <w:t xml:space="preserve"> </w:t>
            </w:r>
            <w:r w:rsidRPr="008A5C70">
              <w:rPr>
                <w:sz w:val="21"/>
                <w:szCs w:val="21"/>
              </w:rPr>
              <w:t>Actual</w:t>
            </w:r>
          </w:p>
        </w:tc>
        <w:tc>
          <w:tcPr>
            <w:tcW w:w="1021" w:type="dxa"/>
          </w:tcPr>
          <w:p w14:paraId="6C3C9F83" w14:textId="4481F6F2" w:rsidR="00CA3C5B" w:rsidRPr="008A5C70" w:rsidRDefault="00260033" w:rsidP="008A5C70">
            <w:pPr>
              <w:pStyle w:val="TableColumnHeading"/>
              <w:jc w:val="right"/>
              <w:rPr>
                <w:sz w:val="21"/>
                <w:szCs w:val="21"/>
              </w:rPr>
            </w:pPr>
            <w:r w:rsidRPr="008A5C70">
              <w:rPr>
                <w:sz w:val="21"/>
                <w:szCs w:val="21"/>
              </w:rPr>
              <w:t>2022–23</w:t>
            </w:r>
            <w:r w:rsidR="00932420" w:rsidRPr="008A5C70">
              <w:rPr>
                <w:sz w:val="21"/>
                <w:szCs w:val="21"/>
              </w:rPr>
              <w:t xml:space="preserve"> </w:t>
            </w:r>
            <w:r w:rsidRPr="008A5C70">
              <w:rPr>
                <w:sz w:val="21"/>
                <w:szCs w:val="21"/>
              </w:rPr>
              <w:t>Target</w:t>
            </w:r>
          </w:p>
        </w:tc>
        <w:tc>
          <w:tcPr>
            <w:tcW w:w="1475" w:type="dxa"/>
          </w:tcPr>
          <w:p w14:paraId="6CC04BC4" w14:textId="042681D7" w:rsidR="00CA3C5B" w:rsidRPr="008A5C70" w:rsidRDefault="00260033" w:rsidP="008A5C70">
            <w:pPr>
              <w:pStyle w:val="TableColumnHeading"/>
              <w:jc w:val="right"/>
              <w:rPr>
                <w:sz w:val="21"/>
                <w:szCs w:val="21"/>
              </w:rPr>
            </w:pPr>
            <w:r w:rsidRPr="008A5C70">
              <w:rPr>
                <w:sz w:val="21"/>
                <w:szCs w:val="21"/>
              </w:rPr>
              <w:t>Performance</w:t>
            </w:r>
            <w:r w:rsidR="00932420" w:rsidRPr="008A5C70">
              <w:rPr>
                <w:sz w:val="21"/>
                <w:szCs w:val="21"/>
              </w:rPr>
              <w:t xml:space="preserve"> </w:t>
            </w:r>
            <w:r w:rsidRPr="008A5C70">
              <w:rPr>
                <w:sz w:val="21"/>
                <w:szCs w:val="21"/>
              </w:rPr>
              <w:t>variation</w:t>
            </w:r>
            <w:r w:rsidR="00932420" w:rsidRPr="008A5C70">
              <w:rPr>
                <w:sz w:val="21"/>
                <w:szCs w:val="21"/>
              </w:rPr>
              <w:t xml:space="preserve"> </w:t>
            </w:r>
            <w:r w:rsidRPr="008A5C70">
              <w:rPr>
                <w:sz w:val="21"/>
                <w:szCs w:val="21"/>
              </w:rPr>
              <w:t>(%)</w:t>
            </w:r>
          </w:p>
        </w:tc>
        <w:tc>
          <w:tcPr>
            <w:tcW w:w="794" w:type="dxa"/>
          </w:tcPr>
          <w:p w14:paraId="28277CB1" w14:textId="77777777" w:rsidR="00CA3C5B" w:rsidRPr="008A5C70" w:rsidRDefault="00260033" w:rsidP="008A5C70">
            <w:pPr>
              <w:pStyle w:val="TableColumnHeading"/>
              <w:jc w:val="right"/>
              <w:rPr>
                <w:sz w:val="21"/>
                <w:szCs w:val="21"/>
              </w:rPr>
            </w:pPr>
            <w:r w:rsidRPr="008A5C70">
              <w:rPr>
                <w:sz w:val="21"/>
                <w:szCs w:val="21"/>
              </w:rPr>
              <w:t>Result</w:t>
            </w:r>
          </w:p>
        </w:tc>
      </w:tr>
      <w:tr w:rsidR="00611511" w14:paraId="34B4182D" w14:textId="77777777" w:rsidTr="003A78CF">
        <w:trPr>
          <w:cantSplit/>
        </w:trPr>
        <w:tc>
          <w:tcPr>
            <w:tcW w:w="4479" w:type="dxa"/>
          </w:tcPr>
          <w:p w14:paraId="2AB1A336" w14:textId="55837FC9" w:rsidR="00611511" w:rsidRDefault="00611511" w:rsidP="00611511">
            <w:pPr>
              <w:pStyle w:val="TableHeading"/>
            </w:pPr>
            <w:r>
              <w:t>Quantity</w:t>
            </w:r>
          </w:p>
        </w:tc>
        <w:tc>
          <w:tcPr>
            <w:tcW w:w="1186" w:type="dxa"/>
          </w:tcPr>
          <w:p w14:paraId="7BCF08C2" w14:textId="77777777" w:rsidR="00611511" w:rsidRPr="00611511" w:rsidRDefault="00611511" w:rsidP="00611511">
            <w:pPr>
              <w:pStyle w:val="TableCopy"/>
            </w:pPr>
          </w:p>
        </w:tc>
        <w:tc>
          <w:tcPr>
            <w:tcW w:w="963" w:type="dxa"/>
          </w:tcPr>
          <w:p w14:paraId="508FF8E1" w14:textId="77777777" w:rsidR="00611511" w:rsidRPr="00611511" w:rsidRDefault="00611511" w:rsidP="008A5C70">
            <w:pPr>
              <w:pStyle w:val="TableCopy"/>
              <w:jc w:val="right"/>
            </w:pPr>
          </w:p>
        </w:tc>
        <w:tc>
          <w:tcPr>
            <w:tcW w:w="1021" w:type="dxa"/>
          </w:tcPr>
          <w:p w14:paraId="3E4BBA10" w14:textId="77777777" w:rsidR="00611511" w:rsidRPr="00611511" w:rsidRDefault="00611511" w:rsidP="008A5C70">
            <w:pPr>
              <w:pStyle w:val="TableCopy"/>
              <w:jc w:val="right"/>
            </w:pPr>
          </w:p>
        </w:tc>
        <w:tc>
          <w:tcPr>
            <w:tcW w:w="1475" w:type="dxa"/>
          </w:tcPr>
          <w:p w14:paraId="7A2DC7FC" w14:textId="77777777" w:rsidR="00611511" w:rsidRPr="00611511" w:rsidRDefault="00611511" w:rsidP="008A5C70">
            <w:pPr>
              <w:pStyle w:val="TableCopy"/>
              <w:jc w:val="right"/>
            </w:pPr>
          </w:p>
        </w:tc>
        <w:tc>
          <w:tcPr>
            <w:tcW w:w="794" w:type="dxa"/>
          </w:tcPr>
          <w:p w14:paraId="495DF606" w14:textId="77777777" w:rsidR="00611511" w:rsidRPr="00611511" w:rsidRDefault="00611511" w:rsidP="008A5C70">
            <w:pPr>
              <w:pStyle w:val="TableCopy"/>
              <w:jc w:val="right"/>
            </w:pPr>
          </w:p>
        </w:tc>
      </w:tr>
      <w:tr w:rsidR="00CA3C5B" w14:paraId="1D3C124D" w14:textId="77777777" w:rsidTr="003A78CF">
        <w:trPr>
          <w:cantSplit/>
        </w:trPr>
        <w:tc>
          <w:tcPr>
            <w:tcW w:w="4479" w:type="dxa"/>
          </w:tcPr>
          <w:p w14:paraId="106A67AE" w14:textId="77777777" w:rsidR="00CA3C5B" w:rsidRDefault="00260033" w:rsidP="00611511">
            <w:pPr>
              <w:pStyle w:val="TableCopy"/>
            </w:pPr>
            <w:r>
              <w:t>Capital</w:t>
            </w:r>
            <w:r w:rsidR="00932420">
              <w:t xml:space="preserve"> </w:t>
            </w:r>
            <w:r>
              <w:t>expenditure</w:t>
            </w:r>
            <w:r w:rsidR="00932420">
              <w:t xml:space="preserve"> </w:t>
            </w:r>
            <w:r>
              <w:t>from</w:t>
            </w:r>
            <w:r w:rsidR="00932420">
              <w:t xml:space="preserve"> </w:t>
            </w:r>
            <w:r>
              <w:t>industry</w:t>
            </w:r>
            <w:r w:rsidR="00932420">
              <w:t xml:space="preserve"> </w:t>
            </w:r>
            <w:r>
              <w:t>growth</w:t>
            </w:r>
            <w:r w:rsidR="00932420">
              <w:t xml:space="preserve"> </w:t>
            </w:r>
            <w:r>
              <w:t>programs</w:t>
            </w:r>
          </w:p>
          <w:p w14:paraId="76FA35D5" w14:textId="2F57E27C" w:rsidR="00611511" w:rsidRDefault="00611511" w:rsidP="00611511">
            <w:pPr>
              <w:pStyle w:val="TableCopy"/>
            </w:pPr>
            <w:r w:rsidRPr="00611511">
              <w:rPr>
                <w:i/>
                <w:iCs/>
              </w:rPr>
              <w:t>Higher result due to realisation of continued private sector investment in projects supported during the COVID-19 pandemic to stimulate recovery and growth.</w:t>
            </w:r>
          </w:p>
        </w:tc>
        <w:tc>
          <w:tcPr>
            <w:tcW w:w="1186" w:type="dxa"/>
          </w:tcPr>
          <w:p w14:paraId="77F016A0" w14:textId="77777777" w:rsidR="00CA3C5B" w:rsidRDefault="00260033" w:rsidP="00611511">
            <w:pPr>
              <w:pStyle w:val="TableCopy"/>
            </w:pPr>
            <w:r>
              <w:t>number</w:t>
            </w:r>
          </w:p>
        </w:tc>
        <w:tc>
          <w:tcPr>
            <w:tcW w:w="963" w:type="dxa"/>
          </w:tcPr>
          <w:p w14:paraId="50A0E7D8" w14:textId="77777777" w:rsidR="00CA3C5B" w:rsidRDefault="00260033" w:rsidP="008A5C70">
            <w:pPr>
              <w:pStyle w:val="TableCopy"/>
              <w:jc w:val="right"/>
            </w:pPr>
            <w:r>
              <w:t>1,238</w:t>
            </w:r>
          </w:p>
        </w:tc>
        <w:tc>
          <w:tcPr>
            <w:tcW w:w="1021" w:type="dxa"/>
          </w:tcPr>
          <w:p w14:paraId="47EB1CB7" w14:textId="77777777" w:rsidR="00CA3C5B" w:rsidRDefault="00260033" w:rsidP="008A5C70">
            <w:pPr>
              <w:pStyle w:val="TableCopy"/>
              <w:jc w:val="right"/>
            </w:pPr>
            <w:r>
              <w:t>500</w:t>
            </w:r>
          </w:p>
        </w:tc>
        <w:tc>
          <w:tcPr>
            <w:tcW w:w="1475" w:type="dxa"/>
          </w:tcPr>
          <w:p w14:paraId="21B96AC1" w14:textId="77777777" w:rsidR="00CA3C5B" w:rsidRDefault="00260033" w:rsidP="008A5C70">
            <w:pPr>
              <w:pStyle w:val="TableCopy"/>
              <w:jc w:val="right"/>
            </w:pPr>
            <w:r>
              <w:t>147.6%</w:t>
            </w:r>
          </w:p>
        </w:tc>
        <w:tc>
          <w:tcPr>
            <w:tcW w:w="794" w:type="dxa"/>
          </w:tcPr>
          <w:p w14:paraId="61413285" w14:textId="58257ABB" w:rsidR="00CA3C5B" w:rsidRPr="00A732AB" w:rsidRDefault="00A732AB" w:rsidP="008A5C70">
            <w:pPr>
              <w:pStyle w:val="TableCopy"/>
              <w:jc w:val="right"/>
            </w:pPr>
            <w:r>
              <w:t>1</w:t>
            </w:r>
          </w:p>
        </w:tc>
      </w:tr>
      <w:tr w:rsidR="00CA3C5B" w14:paraId="1138FA29" w14:textId="77777777" w:rsidTr="003A78CF">
        <w:trPr>
          <w:cantSplit/>
        </w:trPr>
        <w:tc>
          <w:tcPr>
            <w:tcW w:w="4479" w:type="dxa"/>
          </w:tcPr>
          <w:p w14:paraId="3B629D5E" w14:textId="159906E3" w:rsidR="00CA3C5B" w:rsidRDefault="00260033" w:rsidP="00611511">
            <w:pPr>
              <w:pStyle w:val="TableCopy"/>
            </w:pPr>
            <w:r>
              <w:t>Disadvantaged</w:t>
            </w:r>
            <w:r w:rsidR="00932420">
              <w:t xml:space="preserve"> </w:t>
            </w:r>
            <w:r>
              <w:t>jobseekers</w:t>
            </w:r>
            <w:r w:rsidR="00932420">
              <w:t xml:space="preserve"> </w:t>
            </w:r>
            <w:r>
              <w:t>who</w:t>
            </w:r>
            <w:r w:rsidR="00932420">
              <w:t xml:space="preserve"> </w:t>
            </w:r>
            <w:r>
              <w:t>achieve</w:t>
            </w:r>
            <w:r w:rsidR="00932420">
              <w:t xml:space="preserve"> </w:t>
            </w:r>
            <w:r>
              <w:t>sustainable</w:t>
            </w:r>
            <w:r w:rsidR="00932420">
              <w:t xml:space="preserve"> </w:t>
            </w:r>
            <w:r>
              <w:t>employment</w:t>
            </w:r>
            <w:r w:rsidR="00932420">
              <w:t xml:space="preserve"> </w:t>
            </w:r>
            <w:r>
              <w:t>(minimum</w:t>
            </w:r>
            <w:r w:rsidR="00932420">
              <w:t xml:space="preserve"> </w:t>
            </w:r>
            <w:r>
              <w:t>number</w:t>
            </w:r>
            <w:r w:rsidR="00932420">
              <w:t xml:space="preserve"> </w:t>
            </w:r>
            <w:r>
              <w:t>of</w:t>
            </w:r>
            <w:r w:rsidR="00932420">
              <w:t xml:space="preserve"> </w:t>
            </w:r>
            <w:r>
              <w:t>26</w:t>
            </w:r>
            <w:r w:rsidR="00932420">
              <w:t xml:space="preserve"> </w:t>
            </w:r>
            <w:r>
              <w:t>weeks)</w:t>
            </w:r>
            <w:r w:rsidR="00932420">
              <w:t xml:space="preserve"> </w:t>
            </w:r>
            <w:r>
              <w:t>with</w:t>
            </w:r>
            <w:r w:rsidR="00932420">
              <w:t xml:space="preserve"> </w:t>
            </w:r>
            <w:r>
              <w:t>the</w:t>
            </w:r>
            <w:r w:rsidR="00932420">
              <w:t xml:space="preserve"> </w:t>
            </w:r>
            <w:r>
              <w:t>support</w:t>
            </w:r>
            <w:r w:rsidR="00932420">
              <w:t xml:space="preserve"> </w:t>
            </w:r>
            <w:r>
              <w:t>of</w:t>
            </w:r>
            <w:r w:rsidR="00932420">
              <w:t xml:space="preserve"> </w:t>
            </w:r>
            <w:r>
              <w:t>Jobs</w:t>
            </w:r>
            <w:r w:rsidR="00932420">
              <w:t xml:space="preserve"> </w:t>
            </w:r>
            <w:r>
              <w:t>Victoria</w:t>
            </w:r>
            <w:r w:rsidR="00932420">
              <w:t xml:space="preserve"> </w:t>
            </w:r>
            <w:r>
              <w:t>Services</w:t>
            </w:r>
          </w:p>
        </w:tc>
        <w:tc>
          <w:tcPr>
            <w:tcW w:w="1186" w:type="dxa"/>
          </w:tcPr>
          <w:p w14:paraId="513C02A7" w14:textId="77777777" w:rsidR="00CA3C5B" w:rsidRDefault="00260033" w:rsidP="00611511">
            <w:pPr>
              <w:pStyle w:val="TableCopy"/>
            </w:pPr>
            <w:r>
              <w:t>number</w:t>
            </w:r>
          </w:p>
        </w:tc>
        <w:tc>
          <w:tcPr>
            <w:tcW w:w="963" w:type="dxa"/>
          </w:tcPr>
          <w:p w14:paraId="063EA2E7" w14:textId="77777777" w:rsidR="00CA3C5B" w:rsidRDefault="00260033" w:rsidP="008A5C70">
            <w:pPr>
              <w:pStyle w:val="TableCopy"/>
              <w:jc w:val="right"/>
            </w:pPr>
            <w:r>
              <w:t>7,874</w:t>
            </w:r>
          </w:p>
        </w:tc>
        <w:tc>
          <w:tcPr>
            <w:tcW w:w="1021" w:type="dxa"/>
          </w:tcPr>
          <w:p w14:paraId="2BFC306A" w14:textId="77777777" w:rsidR="00CA3C5B" w:rsidRDefault="00260033" w:rsidP="008A5C70">
            <w:pPr>
              <w:pStyle w:val="TableCopy"/>
              <w:jc w:val="right"/>
            </w:pPr>
            <w:r>
              <w:t>8,250</w:t>
            </w:r>
          </w:p>
        </w:tc>
        <w:tc>
          <w:tcPr>
            <w:tcW w:w="1475" w:type="dxa"/>
          </w:tcPr>
          <w:p w14:paraId="04DA2AB4" w14:textId="77777777" w:rsidR="00CA3C5B" w:rsidRDefault="00260033" w:rsidP="008A5C70">
            <w:pPr>
              <w:pStyle w:val="TableCopy"/>
              <w:jc w:val="right"/>
            </w:pPr>
            <w:r>
              <w:t>-4.6%</w:t>
            </w:r>
          </w:p>
        </w:tc>
        <w:tc>
          <w:tcPr>
            <w:tcW w:w="794" w:type="dxa"/>
          </w:tcPr>
          <w:p w14:paraId="40A4E6D9" w14:textId="23D258F6" w:rsidR="00CA3C5B" w:rsidRPr="00A732AB" w:rsidRDefault="00A732AB" w:rsidP="008A5C70">
            <w:pPr>
              <w:pStyle w:val="TableCopy"/>
              <w:jc w:val="right"/>
            </w:pPr>
            <w:r w:rsidRPr="00A732AB">
              <w:t>2</w:t>
            </w:r>
          </w:p>
        </w:tc>
      </w:tr>
      <w:tr w:rsidR="00CA3C5B" w14:paraId="7DAA41AC" w14:textId="77777777" w:rsidTr="003A78CF">
        <w:trPr>
          <w:cantSplit/>
        </w:trPr>
        <w:tc>
          <w:tcPr>
            <w:tcW w:w="4479" w:type="dxa"/>
          </w:tcPr>
          <w:p w14:paraId="4EE758B7" w14:textId="77777777" w:rsidR="00CA3C5B" w:rsidRDefault="00260033" w:rsidP="00611511">
            <w:pPr>
              <w:pStyle w:val="TableCopy"/>
            </w:pPr>
            <w:r>
              <w:t>Disadvantaged</w:t>
            </w:r>
            <w:r w:rsidR="00932420">
              <w:t xml:space="preserve"> </w:t>
            </w:r>
            <w:r>
              <w:t>jobseekers</w:t>
            </w:r>
            <w:r w:rsidR="00932420">
              <w:t xml:space="preserve"> </w:t>
            </w:r>
            <w:r>
              <w:t>who</w:t>
            </w:r>
            <w:r w:rsidR="00932420">
              <w:t xml:space="preserve"> </w:t>
            </w:r>
            <w:r>
              <w:t>gain</w:t>
            </w:r>
            <w:r w:rsidR="00932420">
              <w:t xml:space="preserve"> </w:t>
            </w:r>
            <w:r>
              <w:t>employment</w:t>
            </w:r>
            <w:r w:rsidR="00932420">
              <w:t xml:space="preserve"> </w:t>
            </w:r>
            <w:r>
              <w:t>with</w:t>
            </w:r>
            <w:r w:rsidR="00932420">
              <w:t xml:space="preserve"> </w:t>
            </w:r>
            <w:r>
              <w:t>the</w:t>
            </w:r>
            <w:r w:rsidR="00932420">
              <w:t xml:space="preserve"> </w:t>
            </w:r>
            <w:r>
              <w:t>support</w:t>
            </w:r>
            <w:r w:rsidR="00932420">
              <w:t xml:space="preserve"> </w:t>
            </w:r>
            <w:r>
              <w:t>of</w:t>
            </w:r>
            <w:r w:rsidR="00932420">
              <w:t xml:space="preserve"> </w:t>
            </w:r>
            <w:r>
              <w:t>Jobs</w:t>
            </w:r>
            <w:r w:rsidR="00932420">
              <w:t xml:space="preserve"> </w:t>
            </w:r>
            <w:r>
              <w:t>Victoria</w:t>
            </w:r>
            <w:r w:rsidR="00932420">
              <w:t xml:space="preserve"> </w:t>
            </w:r>
            <w:r>
              <w:t>Services</w:t>
            </w:r>
          </w:p>
          <w:p w14:paraId="51E1BCE0" w14:textId="5650AEDD" w:rsidR="00611511" w:rsidRDefault="00611511" w:rsidP="00611511">
            <w:pPr>
              <w:pStyle w:val="TableCopy"/>
            </w:pPr>
            <w:r w:rsidRPr="00611511">
              <w:rPr>
                <w:i/>
                <w:iCs/>
              </w:rPr>
              <w:t xml:space="preserve">Higher result due to the raised interest for Jobs Victoria programs and </w:t>
            </w:r>
            <w:proofErr w:type="gramStart"/>
            <w:r w:rsidRPr="00611511">
              <w:rPr>
                <w:i/>
                <w:iCs/>
              </w:rPr>
              <w:t>pent up</w:t>
            </w:r>
            <w:proofErr w:type="gramEnd"/>
            <w:r w:rsidRPr="00611511">
              <w:rPr>
                <w:i/>
                <w:iCs/>
              </w:rPr>
              <w:t xml:space="preserve"> demand for services during this period, including amongst priority cohorts, and a strong Victorian labour market.</w:t>
            </w:r>
          </w:p>
        </w:tc>
        <w:tc>
          <w:tcPr>
            <w:tcW w:w="1186" w:type="dxa"/>
          </w:tcPr>
          <w:p w14:paraId="5C17D03D" w14:textId="77777777" w:rsidR="00CA3C5B" w:rsidRDefault="00260033" w:rsidP="00611511">
            <w:pPr>
              <w:pStyle w:val="TableCopy"/>
            </w:pPr>
            <w:r>
              <w:t>number</w:t>
            </w:r>
          </w:p>
        </w:tc>
        <w:tc>
          <w:tcPr>
            <w:tcW w:w="963" w:type="dxa"/>
          </w:tcPr>
          <w:p w14:paraId="189C9F76" w14:textId="77777777" w:rsidR="00CA3C5B" w:rsidRDefault="00260033" w:rsidP="008A5C70">
            <w:pPr>
              <w:pStyle w:val="TableCopy"/>
              <w:jc w:val="right"/>
            </w:pPr>
            <w:r>
              <w:t>18,021</w:t>
            </w:r>
          </w:p>
        </w:tc>
        <w:tc>
          <w:tcPr>
            <w:tcW w:w="1021" w:type="dxa"/>
          </w:tcPr>
          <w:p w14:paraId="4B9E298A" w14:textId="77777777" w:rsidR="00CA3C5B" w:rsidRDefault="00260033" w:rsidP="008A5C70">
            <w:pPr>
              <w:pStyle w:val="TableCopy"/>
              <w:jc w:val="right"/>
            </w:pPr>
            <w:r>
              <w:t>6,630</w:t>
            </w:r>
          </w:p>
        </w:tc>
        <w:tc>
          <w:tcPr>
            <w:tcW w:w="1475" w:type="dxa"/>
          </w:tcPr>
          <w:p w14:paraId="0DAC6B67" w14:textId="77777777" w:rsidR="00CA3C5B" w:rsidRDefault="00260033" w:rsidP="008A5C70">
            <w:pPr>
              <w:pStyle w:val="TableCopy"/>
              <w:jc w:val="right"/>
            </w:pPr>
            <w:r>
              <w:t>171.8%</w:t>
            </w:r>
          </w:p>
        </w:tc>
        <w:tc>
          <w:tcPr>
            <w:tcW w:w="794" w:type="dxa"/>
          </w:tcPr>
          <w:p w14:paraId="2AA100D9" w14:textId="4A682C67" w:rsidR="00CA3C5B" w:rsidRDefault="00A732AB" w:rsidP="008A5C70">
            <w:pPr>
              <w:pStyle w:val="TableCopy"/>
              <w:jc w:val="right"/>
            </w:pPr>
            <w:r>
              <w:t>1</w:t>
            </w:r>
          </w:p>
        </w:tc>
      </w:tr>
      <w:tr w:rsidR="00CA3C5B" w14:paraId="309F672C" w14:textId="77777777" w:rsidTr="003A78CF">
        <w:trPr>
          <w:cantSplit/>
        </w:trPr>
        <w:tc>
          <w:tcPr>
            <w:tcW w:w="4479" w:type="dxa"/>
          </w:tcPr>
          <w:p w14:paraId="1966A73E" w14:textId="77777777" w:rsidR="00CA3C5B" w:rsidRDefault="00260033" w:rsidP="00611511">
            <w:pPr>
              <w:pStyle w:val="TableCopy"/>
            </w:pPr>
            <w:r>
              <w:t>Firms</w:t>
            </w:r>
            <w:r w:rsidR="00932420">
              <w:t xml:space="preserve"> </w:t>
            </w:r>
            <w:r>
              <w:t>assisted</w:t>
            </w:r>
            <w:r w:rsidR="00932420">
              <w:t xml:space="preserve"> </w:t>
            </w:r>
            <w:r>
              <w:t>from</w:t>
            </w:r>
            <w:r w:rsidR="00932420">
              <w:t xml:space="preserve"> </w:t>
            </w:r>
            <w:r>
              <w:t>industry</w:t>
            </w:r>
            <w:r w:rsidR="00932420">
              <w:t xml:space="preserve"> </w:t>
            </w:r>
            <w:r>
              <w:t>growth</w:t>
            </w:r>
            <w:r w:rsidR="00932420">
              <w:t xml:space="preserve"> </w:t>
            </w:r>
            <w:r>
              <w:t>programs</w:t>
            </w:r>
          </w:p>
          <w:p w14:paraId="7FE1165B" w14:textId="11BCA693" w:rsidR="00611511" w:rsidRDefault="00611511" w:rsidP="00611511">
            <w:pPr>
              <w:pStyle w:val="TableCopy"/>
            </w:pPr>
            <w:r w:rsidRPr="00611511">
              <w:rPr>
                <w:i/>
                <w:iCs/>
              </w:rPr>
              <w:t>Higher result due to continued assistance provided to a larger number of firms, which were supported to invest as part of COVID-19 stimulus activity and the extension of some project delivery timelines due to the current economic environment.</w:t>
            </w:r>
          </w:p>
        </w:tc>
        <w:tc>
          <w:tcPr>
            <w:tcW w:w="1186" w:type="dxa"/>
          </w:tcPr>
          <w:p w14:paraId="7923A335" w14:textId="77777777" w:rsidR="00CA3C5B" w:rsidRDefault="00260033" w:rsidP="00611511">
            <w:pPr>
              <w:pStyle w:val="TableCopy"/>
            </w:pPr>
            <w:r>
              <w:t>number</w:t>
            </w:r>
          </w:p>
        </w:tc>
        <w:tc>
          <w:tcPr>
            <w:tcW w:w="963" w:type="dxa"/>
          </w:tcPr>
          <w:p w14:paraId="673915B9" w14:textId="77777777" w:rsidR="00CA3C5B" w:rsidRDefault="00260033" w:rsidP="008A5C70">
            <w:pPr>
              <w:pStyle w:val="TableCopy"/>
              <w:jc w:val="right"/>
            </w:pPr>
            <w:r>
              <w:t>159</w:t>
            </w:r>
          </w:p>
        </w:tc>
        <w:tc>
          <w:tcPr>
            <w:tcW w:w="1021" w:type="dxa"/>
          </w:tcPr>
          <w:p w14:paraId="14034296" w14:textId="77777777" w:rsidR="00CA3C5B" w:rsidRDefault="00260033" w:rsidP="008A5C70">
            <w:pPr>
              <w:pStyle w:val="TableCopy"/>
              <w:jc w:val="right"/>
            </w:pPr>
            <w:r>
              <w:t>100</w:t>
            </w:r>
          </w:p>
        </w:tc>
        <w:tc>
          <w:tcPr>
            <w:tcW w:w="1475" w:type="dxa"/>
          </w:tcPr>
          <w:p w14:paraId="5C1E28F1" w14:textId="77777777" w:rsidR="00CA3C5B" w:rsidRDefault="00260033" w:rsidP="008A5C70">
            <w:pPr>
              <w:pStyle w:val="TableCopy"/>
              <w:jc w:val="right"/>
            </w:pPr>
            <w:r>
              <w:t>59.0%</w:t>
            </w:r>
          </w:p>
        </w:tc>
        <w:tc>
          <w:tcPr>
            <w:tcW w:w="794" w:type="dxa"/>
          </w:tcPr>
          <w:p w14:paraId="0C158516" w14:textId="4D9C9C1E" w:rsidR="00CA3C5B" w:rsidRDefault="00A732AB" w:rsidP="008A5C70">
            <w:pPr>
              <w:pStyle w:val="TableCopy"/>
              <w:jc w:val="right"/>
            </w:pPr>
            <w:r>
              <w:t>1</w:t>
            </w:r>
          </w:p>
        </w:tc>
      </w:tr>
      <w:tr w:rsidR="00CA3C5B" w14:paraId="7C01C330" w14:textId="77777777" w:rsidTr="003A78CF">
        <w:trPr>
          <w:cantSplit/>
        </w:trPr>
        <w:tc>
          <w:tcPr>
            <w:tcW w:w="4479" w:type="dxa"/>
          </w:tcPr>
          <w:p w14:paraId="616AA826" w14:textId="77777777" w:rsidR="00CA3C5B" w:rsidRDefault="00260033" w:rsidP="00611511">
            <w:pPr>
              <w:pStyle w:val="TableCopy"/>
            </w:pPr>
            <w:r>
              <w:t>Government</w:t>
            </w:r>
            <w:r w:rsidR="00932420">
              <w:t xml:space="preserve"> </w:t>
            </w:r>
            <w:r>
              <w:t>Youth</w:t>
            </w:r>
            <w:r w:rsidR="00932420">
              <w:t xml:space="preserve"> </w:t>
            </w:r>
            <w:r>
              <w:t>Employment</w:t>
            </w:r>
            <w:r w:rsidR="00932420">
              <w:t xml:space="preserve"> </w:t>
            </w:r>
            <w:r>
              <w:t>Scheme</w:t>
            </w:r>
            <w:r w:rsidR="00932420">
              <w:t xml:space="preserve"> </w:t>
            </w:r>
            <w:r>
              <w:t>traineeships</w:t>
            </w:r>
            <w:r w:rsidR="00932420">
              <w:t xml:space="preserve"> </w:t>
            </w:r>
            <w:r>
              <w:t>commenced</w:t>
            </w:r>
          </w:p>
          <w:p w14:paraId="1A627B62" w14:textId="348ECEA1" w:rsidR="00611511" w:rsidRPr="00611511" w:rsidRDefault="00611511" w:rsidP="00611511">
            <w:pPr>
              <w:pStyle w:val="TableCopy"/>
              <w:rPr>
                <w:i/>
                <w:iCs/>
              </w:rPr>
            </w:pPr>
            <w:r w:rsidRPr="00611511">
              <w:rPr>
                <w:i/>
                <w:iCs/>
              </w:rPr>
              <w:t>Lower result due to changes in labour market conditions.</w:t>
            </w:r>
          </w:p>
        </w:tc>
        <w:tc>
          <w:tcPr>
            <w:tcW w:w="1186" w:type="dxa"/>
          </w:tcPr>
          <w:p w14:paraId="4F243179" w14:textId="77777777" w:rsidR="00CA3C5B" w:rsidRDefault="00260033" w:rsidP="00611511">
            <w:pPr>
              <w:pStyle w:val="TableCopy"/>
            </w:pPr>
            <w:r>
              <w:t>number</w:t>
            </w:r>
          </w:p>
        </w:tc>
        <w:tc>
          <w:tcPr>
            <w:tcW w:w="963" w:type="dxa"/>
          </w:tcPr>
          <w:p w14:paraId="3A8AC4C0" w14:textId="77777777" w:rsidR="00CA3C5B" w:rsidRDefault="00260033" w:rsidP="008A5C70">
            <w:pPr>
              <w:pStyle w:val="TableCopy"/>
              <w:jc w:val="right"/>
            </w:pPr>
            <w:r>
              <w:t>230</w:t>
            </w:r>
          </w:p>
        </w:tc>
        <w:tc>
          <w:tcPr>
            <w:tcW w:w="1021" w:type="dxa"/>
          </w:tcPr>
          <w:p w14:paraId="78AAD2C3" w14:textId="77777777" w:rsidR="00CA3C5B" w:rsidRDefault="00260033" w:rsidP="008A5C70">
            <w:pPr>
              <w:pStyle w:val="TableCopy"/>
              <w:jc w:val="right"/>
            </w:pPr>
            <w:r>
              <w:t>280</w:t>
            </w:r>
          </w:p>
        </w:tc>
        <w:tc>
          <w:tcPr>
            <w:tcW w:w="1475" w:type="dxa"/>
          </w:tcPr>
          <w:p w14:paraId="4C647AF3" w14:textId="77777777" w:rsidR="00CA3C5B" w:rsidRDefault="00260033" w:rsidP="008A5C70">
            <w:pPr>
              <w:pStyle w:val="TableCopy"/>
              <w:jc w:val="right"/>
            </w:pPr>
            <w:r>
              <w:t>-17.9%</w:t>
            </w:r>
          </w:p>
        </w:tc>
        <w:tc>
          <w:tcPr>
            <w:tcW w:w="794" w:type="dxa"/>
          </w:tcPr>
          <w:p w14:paraId="45CD9CB6" w14:textId="432534E2" w:rsidR="00CA3C5B" w:rsidRDefault="008A5C70" w:rsidP="008A5C70">
            <w:pPr>
              <w:pStyle w:val="TableCopy"/>
              <w:jc w:val="right"/>
            </w:pPr>
            <w:r w:rsidRPr="008A5C70">
              <w:t>3</w:t>
            </w:r>
          </w:p>
        </w:tc>
      </w:tr>
      <w:tr w:rsidR="00CA3C5B" w14:paraId="02933D04" w14:textId="77777777" w:rsidTr="003A78CF">
        <w:trPr>
          <w:cantSplit/>
        </w:trPr>
        <w:tc>
          <w:tcPr>
            <w:tcW w:w="4479" w:type="dxa"/>
          </w:tcPr>
          <w:p w14:paraId="3E9ED788" w14:textId="7A0DD3C0" w:rsidR="00CA3C5B" w:rsidRDefault="00260033" w:rsidP="00611511">
            <w:pPr>
              <w:pStyle w:val="TableCopy"/>
            </w:pPr>
            <w:r>
              <w:lastRenderedPageBreak/>
              <w:t>Industry</w:t>
            </w:r>
            <w:r w:rsidR="00932420">
              <w:t xml:space="preserve"> </w:t>
            </w:r>
            <w:r>
              <w:t>stakeholders</w:t>
            </w:r>
            <w:r w:rsidR="00932420">
              <w:t xml:space="preserve"> </w:t>
            </w:r>
            <w:r>
              <w:t>engaged</w:t>
            </w:r>
            <w:r w:rsidR="00932420">
              <w:t xml:space="preserve"> </w:t>
            </w:r>
            <w:r>
              <w:t>with</w:t>
            </w:r>
            <w:r w:rsidR="00932420">
              <w:t xml:space="preserve"> </w:t>
            </w:r>
            <w:r>
              <w:t>the</w:t>
            </w:r>
            <w:r w:rsidR="00932420">
              <w:t xml:space="preserve"> </w:t>
            </w:r>
            <w:r>
              <w:t>Local</w:t>
            </w:r>
            <w:r w:rsidR="00932420">
              <w:t xml:space="preserve"> </w:t>
            </w:r>
            <w:r>
              <w:t>Jobs</w:t>
            </w:r>
            <w:r w:rsidR="00932420">
              <w:t xml:space="preserve"> </w:t>
            </w:r>
            <w:r>
              <w:t>First</w:t>
            </w:r>
            <w:r w:rsidR="00932420">
              <w:t xml:space="preserve"> </w:t>
            </w:r>
            <w:r>
              <w:t>Policy</w:t>
            </w:r>
          </w:p>
        </w:tc>
        <w:tc>
          <w:tcPr>
            <w:tcW w:w="1186" w:type="dxa"/>
          </w:tcPr>
          <w:p w14:paraId="6EBF606F" w14:textId="77777777" w:rsidR="00CA3C5B" w:rsidRDefault="00260033" w:rsidP="00611511">
            <w:pPr>
              <w:pStyle w:val="TableCopy"/>
            </w:pPr>
            <w:r>
              <w:t>number</w:t>
            </w:r>
          </w:p>
        </w:tc>
        <w:tc>
          <w:tcPr>
            <w:tcW w:w="963" w:type="dxa"/>
          </w:tcPr>
          <w:p w14:paraId="3EE36EF8" w14:textId="77777777" w:rsidR="00CA3C5B" w:rsidRDefault="00260033" w:rsidP="008A5C70">
            <w:pPr>
              <w:pStyle w:val="TableCopy"/>
              <w:jc w:val="right"/>
            </w:pPr>
            <w:r>
              <w:t>837</w:t>
            </w:r>
          </w:p>
        </w:tc>
        <w:tc>
          <w:tcPr>
            <w:tcW w:w="1021" w:type="dxa"/>
          </w:tcPr>
          <w:p w14:paraId="3625089F" w14:textId="77777777" w:rsidR="00CA3C5B" w:rsidRDefault="00260033" w:rsidP="008A5C70">
            <w:pPr>
              <w:pStyle w:val="TableCopy"/>
              <w:jc w:val="right"/>
            </w:pPr>
            <w:r>
              <w:t>800</w:t>
            </w:r>
          </w:p>
        </w:tc>
        <w:tc>
          <w:tcPr>
            <w:tcW w:w="1475" w:type="dxa"/>
          </w:tcPr>
          <w:p w14:paraId="45C87E26" w14:textId="77777777" w:rsidR="00CA3C5B" w:rsidRDefault="00260033" w:rsidP="008A5C70">
            <w:pPr>
              <w:pStyle w:val="TableCopy"/>
              <w:jc w:val="right"/>
            </w:pPr>
            <w:r>
              <w:t>4.6%</w:t>
            </w:r>
          </w:p>
        </w:tc>
        <w:tc>
          <w:tcPr>
            <w:tcW w:w="794" w:type="dxa"/>
          </w:tcPr>
          <w:p w14:paraId="379C4F19" w14:textId="75A0243A" w:rsidR="00CA3C5B" w:rsidRDefault="00A732AB" w:rsidP="008A5C70">
            <w:pPr>
              <w:pStyle w:val="TableCopy"/>
              <w:jc w:val="right"/>
            </w:pPr>
            <w:r>
              <w:t>1</w:t>
            </w:r>
          </w:p>
        </w:tc>
      </w:tr>
      <w:tr w:rsidR="00CA3C5B" w14:paraId="602BD617" w14:textId="77777777" w:rsidTr="003A78CF">
        <w:trPr>
          <w:cantSplit/>
        </w:trPr>
        <w:tc>
          <w:tcPr>
            <w:tcW w:w="4479" w:type="dxa"/>
          </w:tcPr>
          <w:p w14:paraId="275148C7" w14:textId="77777777" w:rsidR="00CA3C5B" w:rsidRDefault="00260033" w:rsidP="00611511">
            <w:pPr>
              <w:pStyle w:val="TableCopy"/>
            </w:pPr>
            <w:r>
              <w:t>Jobs</w:t>
            </w:r>
            <w:r w:rsidR="00932420">
              <w:t xml:space="preserve"> </w:t>
            </w:r>
            <w:r>
              <w:t>created</w:t>
            </w:r>
            <w:r w:rsidR="00932420">
              <w:t xml:space="preserve"> </w:t>
            </w:r>
            <w:r>
              <w:t>from</w:t>
            </w:r>
            <w:r w:rsidR="00932420">
              <w:t xml:space="preserve"> </w:t>
            </w:r>
            <w:r>
              <w:t>industry</w:t>
            </w:r>
            <w:r w:rsidR="00932420">
              <w:t xml:space="preserve"> </w:t>
            </w:r>
            <w:r>
              <w:t>growth</w:t>
            </w:r>
            <w:r w:rsidR="00932420">
              <w:t xml:space="preserve"> </w:t>
            </w:r>
            <w:r>
              <w:t>programs</w:t>
            </w:r>
          </w:p>
          <w:p w14:paraId="65986824" w14:textId="4836B713" w:rsidR="00611511" w:rsidRPr="00611511" w:rsidRDefault="00611511" w:rsidP="00611511">
            <w:pPr>
              <w:pStyle w:val="TableCopy"/>
              <w:rPr>
                <w:i/>
                <w:iCs/>
              </w:rPr>
            </w:pPr>
            <w:r w:rsidRPr="00611511">
              <w:rPr>
                <w:i/>
                <w:iCs/>
              </w:rPr>
              <w:t>Higher result due to a small number of projects delivering well above average job creation.</w:t>
            </w:r>
          </w:p>
        </w:tc>
        <w:tc>
          <w:tcPr>
            <w:tcW w:w="1186" w:type="dxa"/>
          </w:tcPr>
          <w:p w14:paraId="22E014EF" w14:textId="77777777" w:rsidR="00CA3C5B" w:rsidRDefault="00260033" w:rsidP="00611511">
            <w:pPr>
              <w:pStyle w:val="TableCopy"/>
            </w:pPr>
            <w:r>
              <w:t>number</w:t>
            </w:r>
          </w:p>
        </w:tc>
        <w:tc>
          <w:tcPr>
            <w:tcW w:w="963" w:type="dxa"/>
          </w:tcPr>
          <w:p w14:paraId="098FD5DE" w14:textId="77777777" w:rsidR="00CA3C5B" w:rsidRDefault="00260033" w:rsidP="008A5C70">
            <w:pPr>
              <w:pStyle w:val="TableCopy"/>
              <w:jc w:val="right"/>
            </w:pPr>
            <w:r>
              <w:t>1,771</w:t>
            </w:r>
          </w:p>
        </w:tc>
        <w:tc>
          <w:tcPr>
            <w:tcW w:w="1021" w:type="dxa"/>
          </w:tcPr>
          <w:p w14:paraId="6E0C4C3C" w14:textId="77777777" w:rsidR="00CA3C5B" w:rsidRDefault="00260033" w:rsidP="008A5C70">
            <w:pPr>
              <w:pStyle w:val="TableCopy"/>
              <w:jc w:val="right"/>
            </w:pPr>
            <w:r>
              <w:t>1,500</w:t>
            </w:r>
          </w:p>
        </w:tc>
        <w:tc>
          <w:tcPr>
            <w:tcW w:w="1475" w:type="dxa"/>
          </w:tcPr>
          <w:p w14:paraId="68D5888A" w14:textId="77777777" w:rsidR="00CA3C5B" w:rsidRDefault="00260033" w:rsidP="008A5C70">
            <w:pPr>
              <w:pStyle w:val="TableCopy"/>
              <w:jc w:val="right"/>
            </w:pPr>
            <w:r>
              <w:t>18.1%</w:t>
            </w:r>
          </w:p>
        </w:tc>
        <w:tc>
          <w:tcPr>
            <w:tcW w:w="794" w:type="dxa"/>
          </w:tcPr>
          <w:p w14:paraId="62E401F4" w14:textId="1AD128B7" w:rsidR="00CA3C5B" w:rsidRDefault="00A732AB" w:rsidP="008A5C70">
            <w:pPr>
              <w:pStyle w:val="TableCopy"/>
              <w:jc w:val="right"/>
            </w:pPr>
            <w:r>
              <w:t>1</w:t>
            </w:r>
          </w:p>
        </w:tc>
      </w:tr>
      <w:tr w:rsidR="00CA3C5B" w14:paraId="3B72483B" w14:textId="77777777" w:rsidTr="003A78CF">
        <w:trPr>
          <w:cantSplit/>
        </w:trPr>
        <w:tc>
          <w:tcPr>
            <w:tcW w:w="4479" w:type="dxa"/>
          </w:tcPr>
          <w:p w14:paraId="2C838C5C" w14:textId="77777777" w:rsidR="00CA3C5B" w:rsidRDefault="00260033" w:rsidP="00611511">
            <w:pPr>
              <w:pStyle w:val="TableCopy"/>
            </w:pPr>
            <w:r>
              <w:t>Jobs</w:t>
            </w:r>
            <w:r w:rsidR="00932420">
              <w:t xml:space="preserve"> </w:t>
            </w:r>
            <w:r>
              <w:t>Victoria</w:t>
            </w:r>
            <w:r w:rsidR="00932420">
              <w:t xml:space="preserve"> </w:t>
            </w:r>
            <w:r>
              <w:t>Services</w:t>
            </w:r>
            <w:r w:rsidR="00932420">
              <w:t xml:space="preserve"> </w:t>
            </w:r>
            <w:r>
              <w:t>(Advocates,</w:t>
            </w:r>
            <w:r w:rsidR="00932420">
              <w:t xml:space="preserve"> </w:t>
            </w:r>
            <w:r>
              <w:t>Mentors,</w:t>
            </w:r>
            <w:r w:rsidR="00932420">
              <w:t xml:space="preserve"> </w:t>
            </w:r>
            <w:r>
              <w:t>Careers</w:t>
            </w:r>
            <w:r w:rsidR="00932420">
              <w:t xml:space="preserve"> </w:t>
            </w:r>
            <w:r>
              <w:t>Counsellors)</w:t>
            </w:r>
            <w:r w:rsidR="00932420">
              <w:t xml:space="preserve"> </w:t>
            </w:r>
            <w:r>
              <w:t>delivered</w:t>
            </w:r>
            <w:r w:rsidR="00932420">
              <w:t xml:space="preserve"> </w:t>
            </w:r>
            <w:r>
              <w:t>to</w:t>
            </w:r>
            <w:r w:rsidR="00932420">
              <w:t xml:space="preserve"> </w:t>
            </w:r>
            <w:r>
              <w:t>Victorian</w:t>
            </w:r>
            <w:r w:rsidR="00932420">
              <w:t xml:space="preserve"> </w:t>
            </w:r>
            <w:r>
              <w:t>jobseekers</w:t>
            </w:r>
          </w:p>
          <w:p w14:paraId="1C62508B" w14:textId="5B960886" w:rsidR="00611511" w:rsidRPr="00611511" w:rsidRDefault="00611511" w:rsidP="00611511">
            <w:pPr>
              <w:pStyle w:val="TableCopy"/>
              <w:rPr>
                <w:i/>
                <w:iCs/>
              </w:rPr>
            </w:pPr>
            <w:r w:rsidRPr="00611511">
              <w:rPr>
                <w:i/>
                <w:iCs/>
              </w:rPr>
              <w:t xml:space="preserve">Higher result due to the raised interest for Jobs Victoria programs and </w:t>
            </w:r>
            <w:proofErr w:type="gramStart"/>
            <w:r w:rsidRPr="00611511">
              <w:rPr>
                <w:i/>
                <w:iCs/>
              </w:rPr>
              <w:t>pent up</w:t>
            </w:r>
            <w:proofErr w:type="gramEnd"/>
            <w:r w:rsidRPr="00611511">
              <w:rPr>
                <w:i/>
                <w:iCs/>
              </w:rPr>
              <w:t xml:space="preserve"> demand for services during this period, including amongst priority cohorts, and a strong Victorian labour market.</w:t>
            </w:r>
          </w:p>
        </w:tc>
        <w:tc>
          <w:tcPr>
            <w:tcW w:w="1186" w:type="dxa"/>
          </w:tcPr>
          <w:p w14:paraId="02B8B413" w14:textId="77777777" w:rsidR="00CA3C5B" w:rsidRDefault="00260033" w:rsidP="00611511">
            <w:pPr>
              <w:pStyle w:val="TableCopy"/>
            </w:pPr>
            <w:r>
              <w:t>number</w:t>
            </w:r>
          </w:p>
        </w:tc>
        <w:tc>
          <w:tcPr>
            <w:tcW w:w="963" w:type="dxa"/>
          </w:tcPr>
          <w:p w14:paraId="02E0ECA3" w14:textId="77777777" w:rsidR="00CA3C5B" w:rsidRDefault="00260033" w:rsidP="008A5C70">
            <w:pPr>
              <w:pStyle w:val="TableCopy"/>
              <w:jc w:val="right"/>
            </w:pPr>
            <w:r>
              <w:t>180,056</w:t>
            </w:r>
          </w:p>
        </w:tc>
        <w:tc>
          <w:tcPr>
            <w:tcW w:w="1021" w:type="dxa"/>
          </w:tcPr>
          <w:p w14:paraId="09E2D162" w14:textId="77777777" w:rsidR="00CA3C5B" w:rsidRDefault="00260033" w:rsidP="008A5C70">
            <w:pPr>
              <w:pStyle w:val="TableCopy"/>
              <w:jc w:val="right"/>
            </w:pPr>
            <w:r>
              <w:t>75,000</w:t>
            </w:r>
          </w:p>
        </w:tc>
        <w:tc>
          <w:tcPr>
            <w:tcW w:w="1475" w:type="dxa"/>
          </w:tcPr>
          <w:p w14:paraId="5D874E7F" w14:textId="77777777" w:rsidR="00CA3C5B" w:rsidRDefault="00260033" w:rsidP="008A5C70">
            <w:pPr>
              <w:pStyle w:val="TableCopy"/>
              <w:jc w:val="right"/>
            </w:pPr>
            <w:r>
              <w:t>140.1%</w:t>
            </w:r>
          </w:p>
        </w:tc>
        <w:tc>
          <w:tcPr>
            <w:tcW w:w="794" w:type="dxa"/>
          </w:tcPr>
          <w:p w14:paraId="2ADB55AB" w14:textId="3F9D827A" w:rsidR="00CA3C5B" w:rsidRDefault="00A732AB" w:rsidP="008A5C70">
            <w:pPr>
              <w:pStyle w:val="TableCopy"/>
              <w:jc w:val="right"/>
            </w:pPr>
            <w:r>
              <w:t>1</w:t>
            </w:r>
          </w:p>
        </w:tc>
      </w:tr>
      <w:tr w:rsidR="00CA3C5B" w14:paraId="6BAC69B3" w14:textId="77777777" w:rsidTr="003A78CF">
        <w:trPr>
          <w:cantSplit/>
        </w:trPr>
        <w:tc>
          <w:tcPr>
            <w:tcW w:w="4479" w:type="dxa"/>
          </w:tcPr>
          <w:p w14:paraId="5AFB5ADB" w14:textId="77777777" w:rsidR="00CA3C5B" w:rsidRDefault="00260033" w:rsidP="00611511">
            <w:pPr>
              <w:pStyle w:val="TableCopy"/>
            </w:pPr>
            <w:r>
              <w:t>Migrant</w:t>
            </w:r>
            <w:r w:rsidR="00932420">
              <w:t xml:space="preserve"> </w:t>
            </w:r>
            <w:r>
              <w:t>talent</w:t>
            </w:r>
            <w:r w:rsidR="00932420">
              <w:t xml:space="preserve"> </w:t>
            </w:r>
            <w:r>
              <w:t>nominated</w:t>
            </w:r>
            <w:r w:rsidR="00932420">
              <w:t xml:space="preserve"> </w:t>
            </w:r>
            <w:r>
              <w:t>for</w:t>
            </w:r>
            <w:r w:rsidR="00932420">
              <w:t xml:space="preserve"> </w:t>
            </w:r>
            <w:r>
              <w:t>the</w:t>
            </w:r>
            <w:r w:rsidR="00932420">
              <w:t xml:space="preserve"> </w:t>
            </w:r>
            <w:r>
              <w:t>Skilled,</w:t>
            </w:r>
            <w:r w:rsidR="00932420">
              <w:t xml:space="preserve"> </w:t>
            </w:r>
            <w:r>
              <w:t>Investor</w:t>
            </w:r>
            <w:r w:rsidR="00932420">
              <w:t xml:space="preserve"> </w:t>
            </w:r>
            <w:r>
              <w:t>and</w:t>
            </w:r>
            <w:r w:rsidR="00932420">
              <w:t xml:space="preserve"> </w:t>
            </w:r>
            <w:r>
              <w:t>Business</w:t>
            </w:r>
            <w:r w:rsidR="00932420">
              <w:t xml:space="preserve"> </w:t>
            </w:r>
            <w:r>
              <w:t>Migration</w:t>
            </w:r>
            <w:r w:rsidR="00932420">
              <w:t xml:space="preserve"> </w:t>
            </w:r>
            <w:r>
              <w:t>Program</w:t>
            </w:r>
          </w:p>
          <w:p w14:paraId="1EB4DFB7" w14:textId="2BCD0216" w:rsidR="00611511" w:rsidRPr="00611511" w:rsidRDefault="00611511" w:rsidP="00611511">
            <w:pPr>
              <w:pStyle w:val="TableCopy"/>
              <w:rPr>
                <w:i/>
                <w:iCs/>
              </w:rPr>
            </w:pPr>
            <w:r w:rsidRPr="00611511">
              <w:rPr>
                <w:i/>
                <w:iCs/>
              </w:rPr>
              <w:t>Higher result due to the Australian Government’s increased migration program for 2022–23, including additional nomination places to all states and territories. The Victorian Government requested and was granted additional places.</w:t>
            </w:r>
          </w:p>
        </w:tc>
        <w:tc>
          <w:tcPr>
            <w:tcW w:w="1186" w:type="dxa"/>
          </w:tcPr>
          <w:p w14:paraId="1BF7394A" w14:textId="77777777" w:rsidR="00CA3C5B" w:rsidRDefault="00260033" w:rsidP="00611511">
            <w:pPr>
              <w:pStyle w:val="TableCopy"/>
            </w:pPr>
            <w:r>
              <w:t>number</w:t>
            </w:r>
          </w:p>
        </w:tc>
        <w:tc>
          <w:tcPr>
            <w:tcW w:w="963" w:type="dxa"/>
          </w:tcPr>
          <w:p w14:paraId="765D7C22" w14:textId="77777777" w:rsidR="00CA3C5B" w:rsidRDefault="00260033" w:rsidP="008A5C70">
            <w:pPr>
              <w:pStyle w:val="TableCopy"/>
              <w:jc w:val="right"/>
            </w:pPr>
            <w:r>
              <w:t>15,070</w:t>
            </w:r>
          </w:p>
        </w:tc>
        <w:tc>
          <w:tcPr>
            <w:tcW w:w="1021" w:type="dxa"/>
          </w:tcPr>
          <w:p w14:paraId="7B7023A7" w14:textId="77777777" w:rsidR="00CA3C5B" w:rsidRDefault="00260033" w:rsidP="008A5C70">
            <w:pPr>
              <w:pStyle w:val="TableCopy"/>
              <w:jc w:val="right"/>
            </w:pPr>
            <w:r>
              <w:t>4,000</w:t>
            </w:r>
          </w:p>
        </w:tc>
        <w:tc>
          <w:tcPr>
            <w:tcW w:w="1475" w:type="dxa"/>
          </w:tcPr>
          <w:p w14:paraId="1814AEE3" w14:textId="77777777" w:rsidR="00CA3C5B" w:rsidRDefault="00260033" w:rsidP="008A5C70">
            <w:pPr>
              <w:pStyle w:val="TableCopy"/>
              <w:jc w:val="right"/>
            </w:pPr>
            <w:r>
              <w:t>276.8%</w:t>
            </w:r>
          </w:p>
        </w:tc>
        <w:tc>
          <w:tcPr>
            <w:tcW w:w="794" w:type="dxa"/>
          </w:tcPr>
          <w:p w14:paraId="6C85FF9F" w14:textId="4C5B965A" w:rsidR="00CA3C5B" w:rsidRDefault="00A732AB" w:rsidP="008A5C70">
            <w:pPr>
              <w:pStyle w:val="TableCopy"/>
              <w:jc w:val="right"/>
            </w:pPr>
            <w:r>
              <w:t>1</w:t>
            </w:r>
          </w:p>
        </w:tc>
      </w:tr>
      <w:tr w:rsidR="00CA3C5B" w14:paraId="2DAAEB65" w14:textId="77777777" w:rsidTr="003A78CF">
        <w:trPr>
          <w:cantSplit/>
        </w:trPr>
        <w:tc>
          <w:tcPr>
            <w:tcW w:w="4479" w:type="dxa"/>
          </w:tcPr>
          <w:p w14:paraId="3CA17EDA" w14:textId="77777777" w:rsidR="00CA3C5B" w:rsidRDefault="00260033" w:rsidP="00611511">
            <w:pPr>
              <w:pStyle w:val="TableCopy"/>
            </w:pPr>
            <w:r>
              <w:t>Number</w:t>
            </w:r>
            <w:r w:rsidR="00932420">
              <w:t xml:space="preserve"> </w:t>
            </w:r>
            <w:r>
              <w:t>of</w:t>
            </w:r>
            <w:r w:rsidR="00932420">
              <w:t xml:space="preserve"> </w:t>
            </w:r>
            <w:r>
              <w:t>eligible</w:t>
            </w:r>
            <w:r w:rsidR="00932420">
              <w:t xml:space="preserve"> </w:t>
            </w:r>
            <w:r>
              <w:t>workers</w:t>
            </w:r>
            <w:r w:rsidR="00932420">
              <w:t xml:space="preserve"> </w:t>
            </w:r>
            <w:r>
              <w:t>approved</w:t>
            </w:r>
            <w:r w:rsidR="00932420">
              <w:t xml:space="preserve"> </w:t>
            </w:r>
            <w:r>
              <w:t>for</w:t>
            </w:r>
            <w:r w:rsidR="00932420">
              <w:t xml:space="preserve"> </w:t>
            </w:r>
            <w:r>
              <w:t>the</w:t>
            </w:r>
            <w:r w:rsidR="00932420">
              <w:t xml:space="preserve"> </w:t>
            </w:r>
            <w:r>
              <w:t>Sick</w:t>
            </w:r>
            <w:r w:rsidR="00932420">
              <w:t xml:space="preserve"> </w:t>
            </w:r>
            <w:r>
              <w:t>Pay</w:t>
            </w:r>
            <w:r w:rsidR="00932420">
              <w:t xml:space="preserve"> </w:t>
            </w:r>
            <w:r>
              <w:t>Guarantee</w:t>
            </w:r>
          </w:p>
          <w:p w14:paraId="63DDC62F" w14:textId="17479676" w:rsidR="00611511" w:rsidRPr="00611511" w:rsidRDefault="00611511" w:rsidP="00611511">
            <w:pPr>
              <w:pStyle w:val="TableCopy"/>
              <w:rPr>
                <w:i/>
                <w:iCs/>
              </w:rPr>
            </w:pPr>
            <w:r w:rsidRPr="00611511">
              <w:rPr>
                <w:i/>
                <w:iCs/>
              </w:rPr>
              <w:t>Lower result because there were Australian Government supports available in the first part of the year, which excluded workers from claiming the Sick Pay Guarantee payment for the same period.</w:t>
            </w:r>
          </w:p>
        </w:tc>
        <w:tc>
          <w:tcPr>
            <w:tcW w:w="1186" w:type="dxa"/>
          </w:tcPr>
          <w:p w14:paraId="4E08F155" w14:textId="77777777" w:rsidR="00CA3C5B" w:rsidRDefault="00260033" w:rsidP="00611511">
            <w:pPr>
              <w:pStyle w:val="TableCopy"/>
            </w:pPr>
            <w:r>
              <w:t>number</w:t>
            </w:r>
          </w:p>
        </w:tc>
        <w:tc>
          <w:tcPr>
            <w:tcW w:w="963" w:type="dxa"/>
          </w:tcPr>
          <w:p w14:paraId="481F382C" w14:textId="77777777" w:rsidR="00CA3C5B" w:rsidRDefault="00260033" w:rsidP="008A5C70">
            <w:pPr>
              <w:pStyle w:val="TableCopy"/>
              <w:jc w:val="right"/>
            </w:pPr>
            <w:r>
              <w:t>71,852</w:t>
            </w:r>
          </w:p>
        </w:tc>
        <w:tc>
          <w:tcPr>
            <w:tcW w:w="1021" w:type="dxa"/>
          </w:tcPr>
          <w:p w14:paraId="70BAD835" w14:textId="77777777" w:rsidR="00CA3C5B" w:rsidRDefault="00260033" w:rsidP="008A5C70">
            <w:pPr>
              <w:pStyle w:val="TableCopy"/>
              <w:jc w:val="right"/>
            </w:pPr>
            <w:r>
              <w:t>130,000</w:t>
            </w:r>
          </w:p>
        </w:tc>
        <w:tc>
          <w:tcPr>
            <w:tcW w:w="1475" w:type="dxa"/>
          </w:tcPr>
          <w:p w14:paraId="4B055C7E" w14:textId="77777777" w:rsidR="00CA3C5B" w:rsidRDefault="00260033" w:rsidP="008A5C70">
            <w:pPr>
              <w:pStyle w:val="TableCopy"/>
              <w:jc w:val="right"/>
            </w:pPr>
            <w:r>
              <w:t>-44.7%</w:t>
            </w:r>
          </w:p>
        </w:tc>
        <w:tc>
          <w:tcPr>
            <w:tcW w:w="794" w:type="dxa"/>
          </w:tcPr>
          <w:p w14:paraId="27BA35B3" w14:textId="7235F03C" w:rsidR="00CA3C5B" w:rsidRDefault="008A5C70" w:rsidP="008A5C70">
            <w:pPr>
              <w:pStyle w:val="TableCopy"/>
              <w:jc w:val="right"/>
            </w:pPr>
            <w:r w:rsidRPr="008A5C70">
              <w:t>3</w:t>
            </w:r>
          </w:p>
        </w:tc>
      </w:tr>
      <w:tr w:rsidR="00CA3C5B" w14:paraId="2DEB314B" w14:textId="77777777" w:rsidTr="003A78CF">
        <w:trPr>
          <w:cantSplit/>
        </w:trPr>
        <w:tc>
          <w:tcPr>
            <w:tcW w:w="4479" w:type="dxa"/>
          </w:tcPr>
          <w:p w14:paraId="4D7CFA3F" w14:textId="3362F81F" w:rsidR="00CA3C5B" w:rsidRDefault="00260033" w:rsidP="00611511">
            <w:pPr>
              <w:pStyle w:val="TableCopy"/>
            </w:pPr>
            <w:r>
              <w:lastRenderedPageBreak/>
              <w:t>Proportion</w:t>
            </w:r>
            <w:r w:rsidR="00932420">
              <w:t xml:space="preserve"> </w:t>
            </w:r>
            <w:r>
              <w:t>of</w:t>
            </w:r>
            <w:r w:rsidR="00932420">
              <w:t xml:space="preserve"> </w:t>
            </w:r>
            <w:r>
              <w:t>disadvantaged</w:t>
            </w:r>
            <w:r w:rsidR="00932420">
              <w:t xml:space="preserve"> </w:t>
            </w:r>
            <w:r>
              <w:t>jobseekers</w:t>
            </w:r>
            <w:r w:rsidR="00932420">
              <w:t xml:space="preserve"> </w:t>
            </w:r>
            <w:r>
              <w:t>who</w:t>
            </w:r>
            <w:r w:rsidR="00932420">
              <w:t xml:space="preserve"> </w:t>
            </w:r>
            <w:r>
              <w:t>achieve</w:t>
            </w:r>
            <w:r w:rsidR="00932420">
              <w:t xml:space="preserve"> </w:t>
            </w:r>
            <w:r>
              <w:t>sustainable</w:t>
            </w:r>
            <w:r w:rsidR="00932420">
              <w:t xml:space="preserve"> </w:t>
            </w:r>
            <w:r>
              <w:t>employment</w:t>
            </w:r>
            <w:r w:rsidR="00932420">
              <w:t xml:space="preserve"> </w:t>
            </w:r>
            <w:r>
              <w:t>(minimum</w:t>
            </w:r>
            <w:r w:rsidR="00932420">
              <w:t xml:space="preserve"> </w:t>
            </w:r>
            <w:r>
              <w:t>number</w:t>
            </w:r>
            <w:r w:rsidR="00932420">
              <w:t xml:space="preserve"> </w:t>
            </w:r>
            <w:r>
              <w:t>of</w:t>
            </w:r>
            <w:r w:rsidR="00932420">
              <w:t xml:space="preserve"> </w:t>
            </w:r>
            <w:r>
              <w:t>26</w:t>
            </w:r>
            <w:r w:rsidR="00932420">
              <w:t xml:space="preserve"> </w:t>
            </w:r>
            <w:r>
              <w:t>weeks)</w:t>
            </w:r>
            <w:r w:rsidR="00932420">
              <w:t xml:space="preserve"> </w:t>
            </w:r>
            <w:r>
              <w:t>with</w:t>
            </w:r>
            <w:r w:rsidR="00932420">
              <w:t xml:space="preserve"> </w:t>
            </w:r>
            <w:r>
              <w:t>the</w:t>
            </w:r>
            <w:r w:rsidR="00932420">
              <w:t xml:space="preserve"> </w:t>
            </w:r>
            <w:r>
              <w:t>support</w:t>
            </w:r>
            <w:r w:rsidR="00932420">
              <w:t xml:space="preserve"> </w:t>
            </w:r>
            <w:r>
              <w:t>of</w:t>
            </w:r>
            <w:r w:rsidR="00932420">
              <w:t xml:space="preserve"> </w:t>
            </w:r>
            <w:r>
              <w:t>Jobs</w:t>
            </w:r>
            <w:r w:rsidR="00932420">
              <w:t xml:space="preserve"> </w:t>
            </w:r>
            <w:r>
              <w:t>Victoria</w:t>
            </w:r>
            <w:r w:rsidR="00932420">
              <w:t xml:space="preserve"> </w:t>
            </w:r>
            <w:r>
              <w:t>Services</w:t>
            </w:r>
          </w:p>
        </w:tc>
        <w:tc>
          <w:tcPr>
            <w:tcW w:w="1186" w:type="dxa"/>
          </w:tcPr>
          <w:p w14:paraId="4E990FD6" w14:textId="7C0F86BC" w:rsidR="00CA3C5B" w:rsidRDefault="00260033" w:rsidP="00611511">
            <w:pPr>
              <w:pStyle w:val="TableCopy"/>
            </w:pPr>
            <w:r>
              <w:t>per</w:t>
            </w:r>
            <w:r w:rsidR="00932420">
              <w:t xml:space="preserve"> </w:t>
            </w:r>
            <w:r>
              <w:t>cent</w:t>
            </w:r>
          </w:p>
        </w:tc>
        <w:tc>
          <w:tcPr>
            <w:tcW w:w="963" w:type="dxa"/>
          </w:tcPr>
          <w:p w14:paraId="6101737C" w14:textId="77777777" w:rsidR="00CA3C5B" w:rsidRDefault="00260033" w:rsidP="008A5C70">
            <w:pPr>
              <w:pStyle w:val="TableCopy"/>
              <w:jc w:val="right"/>
            </w:pPr>
            <w:r>
              <w:t>47.8</w:t>
            </w:r>
          </w:p>
        </w:tc>
        <w:tc>
          <w:tcPr>
            <w:tcW w:w="1021" w:type="dxa"/>
          </w:tcPr>
          <w:p w14:paraId="0FB847B9" w14:textId="77777777" w:rsidR="00CA3C5B" w:rsidRDefault="00260033" w:rsidP="008A5C70">
            <w:pPr>
              <w:pStyle w:val="TableCopy"/>
              <w:jc w:val="right"/>
            </w:pPr>
            <w:r>
              <w:t>50</w:t>
            </w:r>
          </w:p>
        </w:tc>
        <w:tc>
          <w:tcPr>
            <w:tcW w:w="1475" w:type="dxa"/>
          </w:tcPr>
          <w:p w14:paraId="2BA4385C" w14:textId="77777777" w:rsidR="00CA3C5B" w:rsidRDefault="00260033" w:rsidP="008A5C70">
            <w:pPr>
              <w:pStyle w:val="TableCopy"/>
              <w:jc w:val="right"/>
            </w:pPr>
            <w:r>
              <w:t>-4.4%</w:t>
            </w:r>
          </w:p>
        </w:tc>
        <w:tc>
          <w:tcPr>
            <w:tcW w:w="794" w:type="dxa"/>
          </w:tcPr>
          <w:p w14:paraId="5612E515" w14:textId="01F0EFF4" w:rsidR="00CA3C5B" w:rsidRDefault="00A732AB" w:rsidP="008A5C70">
            <w:pPr>
              <w:pStyle w:val="TableCopy"/>
              <w:jc w:val="right"/>
            </w:pPr>
            <w:r w:rsidRPr="00A732AB">
              <w:t>2</w:t>
            </w:r>
          </w:p>
        </w:tc>
      </w:tr>
      <w:tr w:rsidR="00CA3C5B" w14:paraId="5FDC9D67" w14:textId="77777777" w:rsidTr="003A78CF">
        <w:trPr>
          <w:cantSplit/>
        </w:trPr>
        <w:tc>
          <w:tcPr>
            <w:tcW w:w="4479" w:type="dxa"/>
          </w:tcPr>
          <w:p w14:paraId="32CEDBD8" w14:textId="65DD7CFA" w:rsidR="00CA3C5B" w:rsidRDefault="00260033" w:rsidP="00611511">
            <w:pPr>
              <w:pStyle w:val="TableCopy"/>
            </w:pPr>
            <w:r>
              <w:t>Proportion</w:t>
            </w:r>
            <w:r w:rsidR="00932420">
              <w:t xml:space="preserve"> </w:t>
            </w:r>
            <w:r>
              <w:t>of</w:t>
            </w:r>
            <w:r w:rsidR="00932420">
              <w:t xml:space="preserve"> </w:t>
            </w:r>
            <w:r>
              <w:t>Jobs</w:t>
            </w:r>
            <w:r w:rsidR="00932420">
              <w:t xml:space="preserve"> </w:t>
            </w:r>
            <w:r>
              <w:t>Victoria</w:t>
            </w:r>
            <w:r w:rsidR="00932420">
              <w:t xml:space="preserve"> </w:t>
            </w:r>
            <w:r>
              <w:t>Fund</w:t>
            </w:r>
            <w:r w:rsidR="00932420">
              <w:t xml:space="preserve"> </w:t>
            </w:r>
            <w:r>
              <w:t>allocated</w:t>
            </w:r>
            <w:r w:rsidR="00932420">
              <w:t xml:space="preserve"> </w:t>
            </w:r>
            <w:r>
              <w:t>to</w:t>
            </w:r>
            <w:r w:rsidR="00932420">
              <w:t xml:space="preserve"> </w:t>
            </w:r>
            <w:r>
              <w:t>women</w:t>
            </w:r>
          </w:p>
        </w:tc>
        <w:tc>
          <w:tcPr>
            <w:tcW w:w="1186" w:type="dxa"/>
          </w:tcPr>
          <w:p w14:paraId="44D4BFE4" w14:textId="78498ADB" w:rsidR="00CA3C5B" w:rsidRDefault="00260033" w:rsidP="00611511">
            <w:pPr>
              <w:pStyle w:val="TableCopy"/>
            </w:pPr>
            <w:r>
              <w:t>per</w:t>
            </w:r>
            <w:r w:rsidR="00932420">
              <w:t xml:space="preserve"> </w:t>
            </w:r>
            <w:r>
              <w:t>cent</w:t>
            </w:r>
          </w:p>
        </w:tc>
        <w:tc>
          <w:tcPr>
            <w:tcW w:w="963" w:type="dxa"/>
          </w:tcPr>
          <w:p w14:paraId="30D2602D" w14:textId="77777777" w:rsidR="00CA3C5B" w:rsidRDefault="00260033" w:rsidP="008A5C70">
            <w:pPr>
              <w:pStyle w:val="TableCopy"/>
              <w:jc w:val="right"/>
            </w:pPr>
            <w:r>
              <w:t>59.9</w:t>
            </w:r>
          </w:p>
        </w:tc>
        <w:tc>
          <w:tcPr>
            <w:tcW w:w="1021" w:type="dxa"/>
          </w:tcPr>
          <w:p w14:paraId="11C069BB" w14:textId="77777777" w:rsidR="00CA3C5B" w:rsidRDefault="00260033" w:rsidP="008A5C70">
            <w:pPr>
              <w:pStyle w:val="TableCopy"/>
              <w:jc w:val="right"/>
            </w:pPr>
            <w:r>
              <w:t>60</w:t>
            </w:r>
          </w:p>
        </w:tc>
        <w:tc>
          <w:tcPr>
            <w:tcW w:w="1475" w:type="dxa"/>
          </w:tcPr>
          <w:p w14:paraId="1DA4D412" w14:textId="77777777" w:rsidR="00CA3C5B" w:rsidRDefault="00260033" w:rsidP="008A5C70">
            <w:pPr>
              <w:pStyle w:val="TableCopy"/>
              <w:jc w:val="right"/>
            </w:pPr>
            <w:r>
              <w:t>-0.1%</w:t>
            </w:r>
          </w:p>
        </w:tc>
        <w:tc>
          <w:tcPr>
            <w:tcW w:w="794" w:type="dxa"/>
          </w:tcPr>
          <w:p w14:paraId="576885AA" w14:textId="02015ED9" w:rsidR="00CA3C5B" w:rsidRDefault="00A732AB" w:rsidP="008A5C70">
            <w:pPr>
              <w:pStyle w:val="TableCopy"/>
              <w:jc w:val="right"/>
            </w:pPr>
            <w:r w:rsidRPr="00A732AB">
              <w:t>2</w:t>
            </w:r>
          </w:p>
        </w:tc>
      </w:tr>
      <w:tr w:rsidR="00CA3C5B" w14:paraId="75740C56" w14:textId="77777777" w:rsidTr="003A78CF">
        <w:trPr>
          <w:cantSplit/>
        </w:trPr>
        <w:tc>
          <w:tcPr>
            <w:tcW w:w="4479" w:type="dxa"/>
          </w:tcPr>
          <w:p w14:paraId="758A04BC" w14:textId="77777777" w:rsidR="00CA3C5B" w:rsidRDefault="00260033" w:rsidP="00611511">
            <w:pPr>
              <w:pStyle w:val="TableCopy"/>
            </w:pPr>
            <w:r>
              <w:t>Retrenched</w:t>
            </w:r>
            <w:r w:rsidR="00932420">
              <w:t xml:space="preserve"> </w:t>
            </w:r>
            <w:r>
              <w:t>workers</w:t>
            </w:r>
            <w:r w:rsidR="00932420">
              <w:t xml:space="preserve"> </w:t>
            </w:r>
            <w:r>
              <w:t>supported</w:t>
            </w:r>
            <w:r w:rsidR="00932420">
              <w:t xml:space="preserve"> </w:t>
            </w:r>
            <w:r>
              <w:t>with</w:t>
            </w:r>
            <w:r w:rsidR="00932420">
              <w:t xml:space="preserve"> </w:t>
            </w:r>
            <w:r>
              <w:t>employment</w:t>
            </w:r>
            <w:r w:rsidR="00932420">
              <w:t xml:space="preserve"> </w:t>
            </w:r>
            <w:r>
              <w:t>assistance</w:t>
            </w:r>
          </w:p>
          <w:p w14:paraId="2D8F5FAC" w14:textId="1CF00D44" w:rsidR="00611511" w:rsidRPr="00A732AB" w:rsidRDefault="00A732AB" w:rsidP="00611511">
            <w:pPr>
              <w:pStyle w:val="TableCopy"/>
              <w:rPr>
                <w:i/>
                <w:iCs/>
              </w:rPr>
            </w:pPr>
            <w:r w:rsidRPr="00A732AB">
              <w:rPr>
                <w:i/>
                <w:iCs/>
              </w:rPr>
              <w:t>Higher result as the program has developed strong networks across Victoria leading to increased referrals and demand for services.</w:t>
            </w:r>
          </w:p>
        </w:tc>
        <w:tc>
          <w:tcPr>
            <w:tcW w:w="1186" w:type="dxa"/>
          </w:tcPr>
          <w:p w14:paraId="7056087F" w14:textId="77777777" w:rsidR="00CA3C5B" w:rsidRDefault="00260033" w:rsidP="00611511">
            <w:pPr>
              <w:pStyle w:val="TableCopy"/>
            </w:pPr>
            <w:r>
              <w:t>number</w:t>
            </w:r>
          </w:p>
        </w:tc>
        <w:tc>
          <w:tcPr>
            <w:tcW w:w="963" w:type="dxa"/>
          </w:tcPr>
          <w:p w14:paraId="2F90E720" w14:textId="77777777" w:rsidR="00CA3C5B" w:rsidRDefault="00260033" w:rsidP="008A5C70">
            <w:pPr>
              <w:pStyle w:val="TableCopy"/>
              <w:jc w:val="right"/>
            </w:pPr>
            <w:r>
              <w:t>2,256</w:t>
            </w:r>
          </w:p>
        </w:tc>
        <w:tc>
          <w:tcPr>
            <w:tcW w:w="1021" w:type="dxa"/>
          </w:tcPr>
          <w:p w14:paraId="64FF7B2F" w14:textId="77777777" w:rsidR="00CA3C5B" w:rsidRDefault="00260033" w:rsidP="008A5C70">
            <w:pPr>
              <w:pStyle w:val="TableCopy"/>
              <w:jc w:val="right"/>
            </w:pPr>
            <w:r>
              <w:t>2,000</w:t>
            </w:r>
          </w:p>
        </w:tc>
        <w:tc>
          <w:tcPr>
            <w:tcW w:w="1475" w:type="dxa"/>
          </w:tcPr>
          <w:p w14:paraId="38259BA2" w14:textId="77777777" w:rsidR="00CA3C5B" w:rsidRDefault="00260033" w:rsidP="008A5C70">
            <w:pPr>
              <w:pStyle w:val="TableCopy"/>
              <w:jc w:val="right"/>
            </w:pPr>
            <w:r>
              <w:t>12.8%</w:t>
            </w:r>
          </w:p>
        </w:tc>
        <w:tc>
          <w:tcPr>
            <w:tcW w:w="794" w:type="dxa"/>
          </w:tcPr>
          <w:p w14:paraId="15D05C5D" w14:textId="5A8D2160" w:rsidR="00CA3C5B" w:rsidRDefault="00A732AB" w:rsidP="008A5C70">
            <w:pPr>
              <w:pStyle w:val="TableCopy"/>
              <w:jc w:val="right"/>
            </w:pPr>
            <w:r>
              <w:t>1</w:t>
            </w:r>
          </w:p>
        </w:tc>
      </w:tr>
      <w:tr w:rsidR="00CA3C5B" w14:paraId="49E007E4" w14:textId="77777777" w:rsidTr="003A78CF">
        <w:trPr>
          <w:cantSplit/>
        </w:trPr>
        <w:tc>
          <w:tcPr>
            <w:tcW w:w="4479" w:type="dxa"/>
          </w:tcPr>
          <w:p w14:paraId="5BDFBFD3" w14:textId="77777777" w:rsidR="00CA3C5B" w:rsidRDefault="00260033" w:rsidP="00A732AB">
            <w:pPr>
              <w:pStyle w:val="TableCopy"/>
            </w:pPr>
            <w:r>
              <w:t>Subsidised</w:t>
            </w:r>
            <w:r w:rsidR="00932420">
              <w:t xml:space="preserve"> </w:t>
            </w:r>
            <w:r>
              <w:t>jobs</w:t>
            </w:r>
            <w:r w:rsidR="00932420">
              <w:t xml:space="preserve"> </w:t>
            </w:r>
            <w:r>
              <w:t>for</w:t>
            </w:r>
            <w:r w:rsidR="00932420">
              <w:t xml:space="preserve"> </w:t>
            </w:r>
            <w:r>
              <w:t>jobseekers</w:t>
            </w:r>
            <w:r w:rsidR="00932420">
              <w:t xml:space="preserve"> </w:t>
            </w:r>
            <w:r>
              <w:t>through</w:t>
            </w:r>
            <w:r w:rsidR="00932420">
              <w:t xml:space="preserve"> </w:t>
            </w:r>
            <w:r>
              <w:t>the</w:t>
            </w:r>
            <w:r w:rsidR="00932420">
              <w:t xml:space="preserve"> </w:t>
            </w:r>
            <w:r>
              <w:t>Jobs</w:t>
            </w:r>
            <w:r w:rsidR="00932420">
              <w:t xml:space="preserve"> </w:t>
            </w:r>
            <w:r>
              <w:t>Victoria</w:t>
            </w:r>
            <w:r w:rsidR="00932420">
              <w:t xml:space="preserve"> </w:t>
            </w:r>
            <w:r>
              <w:t>Fund</w:t>
            </w:r>
          </w:p>
          <w:p w14:paraId="04F987E0" w14:textId="60BECA67" w:rsidR="00A732AB" w:rsidRPr="00A732AB" w:rsidRDefault="00A732AB" w:rsidP="00A732AB">
            <w:pPr>
              <w:pStyle w:val="TableCopy"/>
              <w:rPr>
                <w:i/>
                <w:iCs/>
              </w:rPr>
            </w:pPr>
            <w:r w:rsidRPr="00A732AB">
              <w:rPr>
                <w:i/>
                <w:iCs/>
              </w:rPr>
              <w:t xml:space="preserve">Higher result due to the raised interest for Jobs Victoria programs and </w:t>
            </w:r>
            <w:proofErr w:type="gramStart"/>
            <w:r w:rsidRPr="00A732AB">
              <w:rPr>
                <w:i/>
                <w:iCs/>
              </w:rPr>
              <w:t>pent up</w:t>
            </w:r>
            <w:proofErr w:type="gramEnd"/>
            <w:r w:rsidRPr="00A732AB">
              <w:rPr>
                <w:i/>
                <w:iCs/>
              </w:rPr>
              <w:t xml:space="preserve"> demand for services during this period, including amongst priority cohorts, and a strong Victorian labour market.</w:t>
            </w:r>
          </w:p>
        </w:tc>
        <w:tc>
          <w:tcPr>
            <w:tcW w:w="1186" w:type="dxa"/>
          </w:tcPr>
          <w:p w14:paraId="73DE6188" w14:textId="77777777" w:rsidR="00CA3C5B" w:rsidRDefault="00260033" w:rsidP="00A732AB">
            <w:pPr>
              <w:pStyle w:val="TableCopy"/>
            </w:pPr>
            <w:r>
              <w:t>number</w:t>
            </w:r>
          </w:p>
        </w:tc>
        <w:tc>
          <w:tcPr>
            <w:tcW w:w="963" w:type="dxa"/>
          </w:tcPr>
          <w:p w14:paraId="35509159" w14:textId="77777777" w:rsidR="00CA3C5B" w:rsidRDefault="00260033" w:rsidP="008A5C70">
            <w:pPr>
              <w:pStyle w:val="TableCopy"/>
              <w:jc w:val="right"/>
            </w:pPr>
            <w:r>
              <w:t>4,766</w:t>
            </w:r>
          </w:p>
        </w:tc>
        <w:tc>
          <w:tcPr>
            <w:tcW w:w="1021" w:type="dxa"/>
          </w:tcPr>
          <w:p w14:paraId="6EE4CF62" w14:textId="77777777" w:rsidR="00CA3C5B" w:rsidRDefault="00260033" w:rsidP="008A5C70">
            <w:pPr>
              <w:pStyle w:val="TableCopy"/>
              <w:jc w:val="right"/>
            </w:pPr>
            <w:r>
              <w:t>2,000</w:t>
            </w:r>
          </w:p>
        </w:tc>
        <w:tc>
          <w:tcPr>
            <w:tcW w:w="1475" w:type="dxa"/>
          </w:tcPr>
          <w:p w14:paraId="5AF4CA73" w14:textId="77777777" w:rsidR="00CA3C5B" w:rsidRDefault="00260033" w:rsidP="008A5C70">
            <w:pPr>
              <w:pStyle w:val="TableCopy"/>
              <w:jc w:val="right"/>
            </w:pPr>
            <w:r>
              <w:t>138.3%</w:t>
            </w:r>
          </w:p>
        </w:tc>
        <w:tc>
          <w:tcPr>
            <w:tcW w:w="794" w:type="dxa"/>
          </w:tcPr>
          <w:p w14:paraId="7C0794AF" w14:textId="6C094625" w:rsidR="00CA3C5B" w:rsidRDefault="00A732AB" w:rsidP="008A5C70">
            <w:pPr>
              <w:pStyle w:val="TableCopy"/>
              <w:jc w:val="right"/>
            </w:pPr>
            <w:r>
              <w:t>1</w:t>
            </w:r>
          </w:p>
        </w:tc>
      </w:tr>
      <w:tr w:rsidR="00CA3C5B" w14:paraId="4127DA67" w14:textId="77777777" w:rsidTr="003A78CF">
        <w:trPr>
          <w:cantSplit/>
        </w:trPr>
        <w:tc>
          <w:tcPr>
            <w:tcW w:w="4479" w:type="dxa"/>
          </w:tcPr>
          <w:p w14:paraId="5EA0C7A4" w14:textId="77777777" w:rsidR="00CA3C5B" w:rsidRDefault="00260033" w:rsidP="00A732AB">
            <w:pPr>
              <w:pStyle w:val="TableHeading"/>
            </w:pPr>
            <w:r>
              <w:t>Quality</w:t>
            </w:r>
          </w:p>
        </w:tc>
        <w:tc>
          <w:tcPr>
            <w:tcW w:w="1186" w:type="dxa"/>
          </w:tcPr>
          <w:p w14:paraId="5917C262" w14:textId="77777777" w:rsidR="00CA3C5B" w:rsidRDefault="00CA3C5B" w:rsidP="00A732AB">
            <w:pPr>
              <w:pStyle w:val="TableCopy"/>
              <w:rPr>
                <w:lang w:val="en-AU"/>
              </w:rPr>
            </w:pPr>
          </w:p>
        </w:tc>
        <w:tc>
          <w:tcPr>
            <w:tcW w:w="963" w:type="dxa"/>
          </w:tcPr>
          <w:p w14:paraId="7F890157" w14:textId="77777777" w:rsidR="00CA3C5B" w:rsidRDefault="00CA3C5B" w:rsidP="008A5C70">
            <w:pPr>
              <w:pStyle w:val="TableCopy"/>
              <w:jc w:val="right"/>
              <w:rPr>
                <w:lang w:val="en-AU"/>
              </w:rPr>
            </w:pPr>
          </w:p>
        </w:tc>
        <w:tc>
          <w:tcPr>
            <w:tcW w:w="1021" w:type="dxa"/>
          </w:tcPr>
          <w:p w14:paraId="46055B58" w14:textId="77777777" w:rsidR="00CA3C5B" w:rsidRDefault="00CA3C5B" w:rsidP="008A5C70">
            <w:pPr>
              <w:pStyle w:val="TableCopy"/>
              <w:jc w:val="right"/>
              <w:rPr>
                <w:lang w:val="en-AU"/>
              </w:rPr>
            </w:pPr>
          </w:p>
        </w:tc>
        <w:tc>
          <w:tcPr>
            <w:tcW w:w="1475" w:type="dxa"/>
          </w:tcPr>
          <w:p w14:paraId="568E18CF" w14:textId="77777777" w:rsidR="00CA3C5B" w:rsidRDefault="00CA3C5B" w:rsidP="008A5C70">
            <w:pPr>
              <w:pStyle w:val="TableCopy"/>
              <w:jc w:val="right"/>
              <w:rPr>
                <w:lang w:val="en-AU"/>
              </w:rPr>
            </w:pPr>
          </w:p>
        </w:tc>
        <w:tc>
          <w:tcPr>
            <w:tcW w:w="794" w:type="dxa"/>
          </w:tcPr>
          <w:p w14:paraId="245A8EE0" w14:textId="77777777" w:rsidR="00CA3C5B" w:rsidRDefault="00CA3C5B" w:rsidP="008A5C70">
            <w:pPr>
              <w:pStyle w:val="TableCopy"/>
              <w:jc w:val="right"/>
              <w:rPr>
                <w:lang w:val="en-AU"/>
              </w:rPr>
            </w:pPr>
          </w:p>
        </w:tc>
      </w:tr>
      <w:tr w:rsidR="00CA3C5B" w14:paraId="136059C1" w14:textId="77777777" w:rsidTr="003A78CF">
        <w:trPr>
          <w:cantSplit/>
        </w:trPr>
        <w:tc>
          <w:tcPr>
            <w:tcW w:w="4479" w:type="dxa"/>
          </w:tcPr>
          <w:p w14:paraId="30F26FA5" w14:textId="1B53EF7A" w:rsidR="00CA3C5B" w:rsidRDefault="00260033" w:rsidP="00A732AB">
            <w:pPr>
              <w:pStyle w:val="TableCopy"/>
            </w:pPr>
            <w:r>
              <w:t>Client</w:t>
            </w:r>
            <w:r w:rsidR="00932420">
              <w:t xml:space="preserve"> </w:t>
            </w:r>
            <w:r>
              <w:t>satisfaction</w:t>
            </w:r>
            <w:r w:rsidR="00932420">
              <w:t xml:space="preserve"> </w:t>
            </w:r>
            <w:r>
              <w:t>with</w:t>
            </w:r>
            <w:r w:rsidR="00932420">
              <w:t xml:space="preserve"> </w:t>
            </w:r>
            <w:r>
              <w:t>investor,</w:t>
            </w:r>
            <w:r w:rsidR="00932420">
              <w:t xml:space="preserve"> </w:t>
            </w:r>
            <w:r>
              <w:t>business</w:t>
            </w:r>
            <w:r w:rsidR="00932420">
              <w:t xml:space="preserve"> </w:t>
            </w:r>
            <w:r>
              <w:t>and</w:t>
            </w:r>
            <w:r w:rsidR="00932420">
              <w:t xml:space="preserve"> </w:t>
            </w:r>
            <w:r>
              <w:t>skilled</w:t>
            </w:r>
            <w:r w:rsidR="00932420">
              <w:t xml:space="preserve"> </w:t>
            </w:r>
            <w:r>
              <w:t>migration</w:t>
            </w:r>
            <w:r w:rsidR="00932420">
              <w:t xml:space="preserve"> </w:t>
            </w:r>
            <w:r>
              <w:t>services</w:t>
            </w:r>
            <w:r w:rsidR="00932420">
              <w:t xml:space="preserve"> </w:t>
            </w:r>
            <w:r>
              <w:t>provided</w:t>
            </w:r>
          </w:p>
        </w:tc>
        <w:tc>
          <w:tcPr>
            <w:tcW w:w="1186" w:type="dxa"/>
          </w:tcPr>
          <w:p w14:paraId="5FB1D8B1" w14:textId="5058081F" w:rsidR="00CA3C5B" w:rsidRDefault="00260033" w:rsidP="00A732AB">
            <w:pPr>
              <w:pStyle w:val="TableCopy"/>
            </w:pPr>
            <w:r>
              <w:t>per</w:t>
            </w:r>
            <w:r w:rsidR="00932420">
              <w:t xml:space="preserve"> </w:t>
            </w:r>
            <w:r>
              <w:t>cent</w:t>
            </w:r>
          </w:p>
        </w:tc>
        <w:tc>
          <w:tcPr>
            <w:tcW w:w="963" w:type="dxa"/>
          </w:tcPr>
          <w:p w14:paraId="44D2F0A4" w14:textId="77777777" w:rsidR="00CA3C5B" w:rsidRDefault="00260033" w:rsidP="008A5C70">
            <w:pPr>
              <w:pStyle w:val="TableCopy"/>
              <w:jc w:val="right"/>
            </w:pPr>
            <w:r>
              <w:t>87</w:t>
            </w:r>
          </w:p>
        </w:tc>
        <w:tc>
          <w:tcPr>
            <w:tcW w:w="1021" w:type="dxa"/>
          </w:tcPr>
          <w:p w14:paraId="6B66A475" w14:textId="77777777" w:rsidR="00CA3C5B" w:rsidRDefault="00260033" w:rsidP="008A5C70">
            <w:pPr>
              <w:pStyle w:val="TableCopy"/>
              <w:jc w:val="right"/>
            </w:pPr>
            <w:r>
              <w:t>85</w:t>
            </w:r>
          </w:p>
        </w:tc>
        <w:tc>
          <w:tcPr>
            <w:tcW w:w="1475" w:type="dxa"/>
          </w:tcPr>
          <w:p w14:paraId="5BC01763" w14:textId="77777777" w:rsidR="00CA3C5B" w:rsidRDefault="00260033" w:rsidP="008A5C70">
            <w:pPr>
              <w:pStyle w:val="TableCopy"/>
              <w:jc w:val="right"/>
            </w:pPr>
            <w:r>
              <w:t>2.4%</w:t>
            </w:r>
          </w:p>
        </w:tc>
        <w:tc>
          <w:tcPr>
            <w:tcW w:w="794" w:type="dxa"/>
          </w:tcPr>
          <w:p w14:paraId="734E069B" w14:textId="153B1A8E" w:rsidR="00CA3C5B" w:rsidRDefault="00A732AB" w:rsidP="008A5C70">
            <w:pPr>
              <w:pStyle w:val="TableCopy"/>
              <w:jc w:val="right"/>
            </w:pPr>
            <w:r>
              <w:t>1</w:t>
            </w:r>
          </w:p>
        </w:tc>
      </w:tr>
      <w:tr w:rsidR="00CA3C5B" w14:paraId="2DF44A59" w14:textId="77777777" w:rsidTr="003A78CF">
        <w:trPr>
          <w:cantSplit/>
        </w:trPr>
        <w:tc>
          <w:tcPr>
            <w:tcW w:w="4479" w:type="dxa"/>
          </w:tcPr>
          <w:p w14:paraId="725FF4E3" w14:textId="11631783" w:rsidR="00CA3C5B" w:rsidRDefault="00260033" w:rsidP="00A732AB">
            <w:pPr>
              <w:pStyle w:val="TableCopy"/>
            </w:pPr>
            <w:r>
              <w:t>Jobseeker</w:t>
            </w:r>
            <w:r w:rsidR="00932420">
              <w:t xml:space="preserve"> </w:t>
            </w:r>
            <w:r>
              <w:t>satisfaction</w:t>
            </w:r>
            <w:r w:rsidR="00932420">
              <w:t xml:space="preserve"> </w:t>
            </w:r>
            <w:r>
              <w:t>with</w:t>
            </w:r>
            <w:r w:rsidR="00932420">
              <w:t xml:space="preserve"> </w:t>
            </w:r>
            <w:r>
              <w:t>Jobs</w:t>
            </w:r>
            <w:r w:rsidR="00932420">
              <w:t xml:space="preserve"> </w:t>
            </w:r>
            <w:r>
              <w:t>Victoria</w:t>
            </w:r>
            <w:r w:rsidR="00932420">
              <w:t xml:space="preserve"> </w:t>
            </w:r>
            <w:r>
              <w:t>Services</w:t>
            </w:r>
          </w:p>
        </w:tc>
        <w:tc>
          <w:tcPr>
            <w:tcW w:w="1186" w:type="dxa"/>
          </w:tcPr>
          <w:p w14:paraId="66429602" w14:textId="39E0F199" w:rsidR="00CA3C5B" w:rsidRDefault="00260033" w:rsidP="00A732AB">
            <w:pPr>
              <w:pStyle w:val="TableCopy"/>
            </w:pPr>
            <w:r>
              <w:t>per</w:t>
            </w:r>
            <w:r w:rsidR="00932420">
              <w:t xml:space="preserve"> </w:t>
            </w:r>
            <w:r>
              <w:t>cent</w:t>
            </w:r>
          </w:p>
        </w:tc>
        <w:tc>
          <w:tcPr>
            <w:tcW w:w="963" w:type="dxa"/>
          </w:tcPr>
          <w:p w14:paraId="2381BA26" w14:textId="77777777" w:rsidR="00CA3C5B" w:rsidRDefault="00260033" w:rsidP="008A5C70">
            <w:pPr>
              <w:pStyle w:val="TableCopy"/>
              <w:jc w:val="right"/>
            </w:pPr>
            <w:r>
              <w:t>70</w:t>
            </w:r>
          </w:p>
        </w:tc>
        <w:tc>
          <w:tcPr>
            <w:tcW w:w="1021" w:type="dxa"/>
          </w:tcPr>
          <w:p w14:paraId="42CEFB1A" w14:textId="77777777" w:rsidR="00CA3C5B" w:rsidRDefault="00260033" w:rsidP="008A5C70">
            <w:pPr>
              <w:pStyle w:val="TableCopy"/>
              <w:jc w:val="right"/>
            </w:pPr>
            <w:r>
              <w:t>70</w:t>
            </w:r>
          </w:p>
        </w:tc>
        <w:tc>
          <w:tcPr>
            <w:tcW w:w="1475" w:type="dxa"/>
          </w:tcPr>
          <w:p w14:paraId="1983F03C" w14:textId="77777777" w:rsidR="00CA3C5B" w:rsidRDefault="00260033" w:rsidP="008A5C70">
            <w:pPr>
              <w:pStyle w:val="TableCopy"/>
              <w:jc w:val="right"/>
            </w:pPr>
            <w:r>
              <w:t>0.0%</w:t>
            </w:r>
          </w:p>
        </w:tc>
        <w:tc>
          <w:tcPr>
            <w:tcW w:w="794" w:type="dxa"/>
          </w:tcPr>
          <w:p w14:paraId="75A3F4D3" w14:textId="3905C529" w:rsidR="00CA3C5B" w:rsidRDefault="00A732AB" w:rsidP="008A5C70">
            <w:pPr>
              <w:pStyle w:val="TableCopy"/>
              <w:jc w:val="right"/>
            </w:pPr>
            <w:r>
              <w:t>1</w:t>
            </w:r>
          </w:p>
        </w:tc>
      </w:tr>
      <w:tr w:rsidR="00A732AB" w14:paraId="373587AB" w14:textId="77777777" w:rsidTr="003A78CF">
        <w:trPr>
          <w:cantSplit/>
        </w:trPr>
        <w:tc>
          <w:tcPr>
            <w:tcW w:w="4479" w:type="dxa"/>
          </w:tcPr>
          <w:p w14:paraId="3E02C403" w14:textId="2FA96B5D" w:rsidR="00A732AB" w:rsidRDefault="00A732AB" w:rsidP="00A732AB">
            <w:pPr>
              <w:pStyle w:val="TableHeading"/>
            </w:pPr>
            <w:r>
              <w:t>Timeliness</w:t>
            </w:r>
          </w:p>
        </w:tc>
        <w:tc>
          <w:tcPr>
            <w:tcW w:w="1186" w:type="dxa"/>
          </w:tcPr>
          <w:p w14:paraId="0B268714" w14:textId="77777777" w:rsidR="00A732AB" w:rsidRPr="00A732AB" w:rsidRDefault="00A732AB" w:rsidP="00A732AB">
            <w:pPr>
              <w:pStyle w:val="TableCopy"/>
            </w:pPr>
          </w:p>
        </w:tc>
        <w:tc>
          <w:tcPr>
            <w:tcW w:w="963" w:type="dxa"/>
          </w:tcPr>
          <w:p w14:paraId="6018B187" w14:textId="77777777" w:rsidR="00A732AB" w:rsidRPr="00A732AB" w:rsidRDefault="00A732AB" w:rsidP="008A5C70">
            <w:pPr>
              <w:pStyle w:val="TableCopy"/>
              <w:jc w:val="right"/>
            </w:pPr>
          </w:p>
        </w:tc>
        <w:tc>
          <w:tcPr>
            <w:tcW w:w="1021" w:type="dxa"/>
          </w:tcPr>
          <w:p w14:paraId="2E5F68C7" w14:textId="77777777" w:rsidR="00A732AB" w:rsidRPr="00A732AB" w:rsidRDefault="00A732AB" w:rsidP="008A5C70">
            <w:pPr>
              <w:pStyle w:val="TableCopy"/>
              <w:jc w:val="right"/>
            </w:pPr>
          </w:p>
        </w:tc>
        <w:tc>
          <w:tcPr>
            <w:tcW w:w="1475" w:type="dxa"/>
          </w:tcPr>
          <w:p w14:paraId="1D4360E1" w14:textId="77777777" w:rsidR="00A732AB" w:rsidRPr="00A732AB" w:rsidRDefault="00A732AB" w:rsidP="008A5C70">
            <w:pPr>
              <w:pStyle w:val="TableCopy"/>
              <w:jc w:val="right"/>
            </w:pPr>
          </w:p>
        </w:tc>
        <w:tc>
          <w:tcPr>
            <w:tcW w:w="794" w:type="dxa"/>
          </w:tcPr>
          <w:p w14:paraId="3CE84F43" w14:textId="77777777" w:rsidR="00A732AB" w:rsidRPr="00A732AB" w:rsidRDefault="00A732AB" w:rsidP="008A5C70">
            <w:pPr>
              <w:pStyle w:val="TableCopy"/>
              <w:jc w:val="right"/>
            </w:pPr>
          </w:p>
        </w:tc>
      </w:tr>
      <w:tr w:rsidR="00CA3C5B" w14:paraId="4F5D09DB" w14:textId="77777777" w:rsidTr="003A78CF">
        <w:trPr>
          <w:cantSplit/>
        </w:trPr>
        <w:tc>
          <w:tcPr>
            <w:tcW w:w="4479" w:type="dxa"/>
          </w:tcPr>
          <w:p w14:paraId="09785701" w14:textId="77777777" w:rsidR="00CA3C5B" w:rsidRDefault="00260033" w:rsidP="00A732AB">
            <w:pPr>
              <w:pStyle w:val="TableCopy"/>
            </w:pPr>
            <w:r>
              <w:t>Average</w:t>
            </w:r>
            <w:r w:rsidR="00932420">
              <w:t xml:space="preserve"> </w:t>
            </w:r>
            <w:r>
              <w:t>processing</w:t>
            </w:r>
            <w:r w:rsidR="00932420">
              <w:t xml:space="preserve"> </w:t>
            </w:r>
            <w:r>
              <w:t>time</w:t>
            </w:r>
            <w:r w:rsidR="00932420">
              <w:t xml:space="preserve"> </w:t>
            </w:r>
            <w:r>
              <w:t>for</w:t>
            </w:r>
            <w:r w:rsidR="00932420">
              <w:t xml:space="preserve"> </w:t>
            </w:r>
            <w:r>
              <w:t>investor,</w:t>
            </w:r>
            <w:r w:rsidR="00932420">
              <w:t xml:space="preserve"> </w:t>
            </w:r>
            <w:proofErr w:type="gramStart"/>
            <w:r>
              <w:t>business</w:t>
            </w:r>
            <w:proofErr w:type="gramEnd"/>
            <w:r w:rsidR="00932420">
              <w:t xml:space="preserve"> </w:t>
            </w:r>
            <w:r>
              <w:t>and</w:t>
            </w:r>
            <w:r w:rsidR="00932420">
              <w:t xml:space="preserve"> </w:t>
            </w:r>
            <w:r>
              <w:t>skilled</w:t>
            </w:r>
            <w:r w:rsidR="00932420">
              <w:t xml:space="preserve"> </w:t>
            </w:r>
            <w:r>
              <w:t>migration</w:t>
            </w:r>
            <w:r w:rsidR="00932420">
              <w:t xml:space="preserve"> </w:t>
            </w:r>
            <w:r>
              <w:t>visa</w:t>
            </w:r>
            <w:r w:rsidR="00932420">
              <w:t xml:space="preserve"> </w:t>
            </w:r>
            <w:r>
              <w:t>nomination</w:t>
            </w:r>
            <w:r w:rsidR="00932420">
              <w:t xml:space="preserve"> </w:t>
            </w:r>
            <w:r>
              <w:t>applications</w:t>
            </w:r>
          </w:p>
          <w:p w14:paraId="26C4600C" w14:textId="02612737" w:rsidR="00A732AB" w:rsidRPr="00A732AB" w:rsidRDefault="00A732AB" w:rsidP="00A732AB">
            <w:pPr>
              <w:pStyle w:val="TableCopy"/>
              <w:rPr>
                <w:i/>
                <w:iCs/>
              </w:rPr>
            </w:pPr>
            <w:r w:rsidRPr="00A732AB">
              <w:rPr>
                <w:i/>
                <w:iCs/>
              </w:rPr>
              <w:t xml:space="preserve">Higher result due to a combination of additional staff, training, </w:t>
            </w:r>
            <w:proofErr w:type="gramStart"/>
            <w:r w:rsidRPr="00A732AB">
              <w:rPr>
                <w:i/>
                <w:iCs/>
              </w:rPr>
              <w:t>system</w:t>
            </w:r>
            <w:proofErr w:type="gramEnd"/>
            <w:r w:rsidRPr="00A732AB">
              <w:rPr>
                <w:i/>
                <w:iCs/>
              </w:rPr>
              <w:t xml:space="preserve"> and program enhancements.</w:t>
            </w:r>
          </w:p>
        </w:tc>
        <w:tc>
          <w:tcPr>
            <w:tcW w:w="1186" w:type="dxa"/>
          </w:tcPr>
          <w:p w14:paraId="56A571AB" w14:textId="77777777" w:rsidR="00CA3C5B" w:rsidRDefault="00260033" w:rsidP="00A732AB">
            <w:pPr>
              <w:pStyle w:val="TableCopy"/>
            </w:pPr>
            <w:r>
              <w:t>days</w:t>
            </w:r>
          </w:p>
        </w:tc>
        <w:tc>
          <w:tcPr>
            <w:tcW w:w="963" w:type="dxa"/>
          </w:tcPr>
          <w:p w14:paraId="240687A3" w14:textId="77777777" w:rsidR="00CA3C5B" w:rsidRDefault="00260033" w:rsidP="008A5C70">
            <w:pPr>
              <w:pStyle w:val="TableCopy"/>
              <w:jc w:val="right"/>
            </w:pPr>
            <w:r>
              <w:t>14</w:t>
            </w:r>
          </w:p>
        </w:tc>
        <w:tc>
          <w:tcPr>
            <w:tcW w:w="1021" w:type="dxa"/>
          </w:tcPr>
          <w:p w14:paraId="298E3BE0" w14:textId="77777777" w:rsidR="00CA3C5B" w:rsidRDefault="00260033" w:rsidP="008A5C70">
            <w:pPr>
              <w:pStyle w:val="TableCopy"/>
              <w:jc w:val="right"/>
            </w:pPr>
            <w:r>
              <w:t>20</w:t>
            </w:r>
          </w:p>
        </w:tc>
        <w:tc>
          <w:tcPr>
            <w:tcW w:w="1475" w:type="dxa"/>
          </w:tcPr>
          <w:p w14:paraId="509BDB0A" w14:textId="77777777" w:rsidR="00CA3C5B" w:rsidRDefault="00260033" w:rsidP="008A5C70">
            <w:pPr>
              <w:pStyle w:val="TableCopy"/>
              <w:jc w:val="right"/>
            </w:pPr>
            <w:r>
              <w:t>30.0%</w:t>
            </w:r>
          </w:p>
        </w:tc>
        <w:tc>
          <w:tcPr>
            <w:tcW w:w="794" w:type="dxa"/>
          </w:tcPr>
          <w:p w14:paraId="062EE03C" w14:textId="45BED0D7" w:rsidR="00CA3C5B" w:rsidRDefault="00A732AB" w:rsidP="008A5C70">
            <w:pPr>
              <w:pStyle w:val="TableCopy"/>
              <w:jc w:val="right"/>
            </w:pPr>
            <w:r>
              <w:t>1</w:t>
            </w:r>
          </w:p>
        </w:tc>
      </w:tr>
      <w:tr w:rsidR="00CA3C5B" w14:paraId="63B983B2" w14:textId="77777777" w:rsidTr="003A78CF">
        <w:trPr>
          <w:cantSplit/>
        </w:trPr>
        <w:tc>
          <w:tcPr>
            <w:tcW w:w="4479" w:type="dxa"/>
          </w:tcPr>
          <w:p w14:paraId="56AC3DE4" w14:textId="5CA32032" w:rsidR="00CA3C5B" w:rsidRDefault="00260033" w:rsidP="00A732AB">
            <w:pPr>
              <w:pStyle w:val="TableCopy"/>
            </w:pPr>
            <w:r>
              <w:lastRenderedPageBreak/>
              <w:t>Percentage</w:t>
            </w:r>
            <w:r w:rsidR="00932420">
              <w:t xml:space="preserve"> </w:t>
            </w:r>
            <w:r>
              <w:t>of</w:t>
            </w:r>
            <w:r w:rsidR="00932420">
              <w:t xml:space="preserve"> </w:t>
            </w:r>
            <w:r>
              <w:t>successful</w:t>
            </w:r>
            <w:r w:rsidR="00932420">
              <w:t xml:space="preserve"> </w:t>
            </w:r>
            <w:r>
              <w:t>Sick</w:t>
            </w:r>
            <w:r w:rsidR="00932420">
              <w:t xml:space="preserve"> </w:t>
            </w:r>
            <w:r>
              <w:t>Pay</w:t>
            </w:r>
            <w:r w:rsidR="00932420">
              <w:t xml:space="preserve"> </w:t>
            </w:r>
            <w:r>
              <w:t>Guarantee</w:t>
            </w:r>
            <w:r w:rsidR="00932420">
              <w:t xml:space="preserve"> </w:t>
            </w:r>
            <w:r>
              <w:t>claims</w:t>
            </w:r>
            <w:r w:rsidR="00932420">
              <w:t xml:space="preserve"> </w:t>
            </w:r>
            <w:r>
              <w:t>approved</w:t>
            </w:r>
            <w:r w:rsidR="00932420">
              <w:t xml:space="preserve"> </w:t>
            </w:r>
            <w:r>
              <w:t>by</w:t>
            </w:r>
            <w:r w:rsidR="00932420">
              <w:t xml:space="preserve"> </w:t>
            </w:r>
            <w:r>
              <w:t>DJSIR</w:t>
            </w:r>
            <w:r w:rsidR="00932420">
              <w:t xml:space="preserve"> </w:t>
            </w:r>
            <w:r>
              <w:t>within</w:t>
            </w:r>
            <w:r w:rsidR="00932420">
              <w:t xml:space="preserve"> </w:t>
            </w:r>
            <w:r>
              <w:t>5</w:t>
            </w:r>
            <w:r w:rsidR="00932420">
              <w:t xml:space="preserve"> </w:t>
            </w:r>
            <w:r>
              <w:t>business</w:t>
            </w:r>
            <w:r w:rsidR="00932420">
              <w:t xml:space="preserve"> </w:t>
            </w:r>
            <w:r>
              <w:t>days</w:t>
            </w:r>
          </w:p>
        </w:tc>
        <w:tc>
          <w:tcPr>
            <w:tcW w:w="1186" w:type="dxa"/>
          </w:tcPr>
          <w:p w14:paraId="28CF4964" w14:textId="01BF09D5" w:rsidR="00CA3C5B" w:rsidRDefault="00260033" w:rsidP="00A732AB">
            <w:pPr>
              <w:pStyle w:val="TableCopy"/>
            </w:pPr>
            <w:r>
              <w:t>per</w:t>
            </w:r>
            <w:r w:rsidR="00932420">
              <w:t xml:space="preserve"> </w:t>
            </w:r>
            <w:r>
              <w:t>cent</w:t>
            </w:r>
          </w:p>
        </w:tc>
        <w:tc>
          <w:tcPr>
            <w:tcW w:w="963" w:type="dxa"/>
          </w:tcPr>
          <w:p w14:paraId="333F5AF2" w14:textId="77777777" w:rsidR="00CA3C5B" w:rsidRDefault="00260033" w:rsidP="008A5C70">
            <w:pPr>
              <w:pStyle w:val="TableCopy"/>
              <w:jc w:val="right"/>
            </w:pPr>
            <w:r>
              <w:t>92</w:t>
            </w:r>
          </w:p>
        </w:tc>
        <w:tc>
          <w:tcPr>
            <w:tcW w:w="1021" w:type="dxa"/>
          </w:tcPr>
          <w:p w14:paraId="2090B2AF" w14:textId="77777777" w:rsidR="00CA3C5B" w:rsidRDefault="00260033" w:rsidP="008A5C70">
            <w:pPr>
              <w:pStyle w:val="TableCopy"/>
              <w:jc w:val="right"/>
            </w:pPr>
            <w:r>
              <w:t>90</w:t>
            </w:r>
          </w:p>
        </w:tc>
        <w:tc>
          <w:tcPr>
            <w:tcW w:w="1475" w:type="dxa"/>
          </w:tcPr>
          <w:p w14:paraId="6A23A2F6" w14:textId="77777777" w:rsidR="00CA3C5B" w:rsidRDefault="00260033" w:rsidP="008A5C70">
            <w:pPr>
              <w:pStyle w:val="TableCopy"/>
              <w:jc w:val="right"/>
            </w:pPr>
            <w:r>
              <w:t>2.2%</w:t>
            </w:r>
          </w:p>
        </w:tc>
        <w:tc>
          <w:tcPr>
            <w:tcW w:w="794" w:type="dxa"/>
          </w:tcPr>
          <w:p w14:paraId="742FAAD4" w14:textId="7CC83A79" w:rsidR="00CA3C5B" w:rsidRDefault="00A732AB" w:rsidP="008A5C70">
            <w:pPr>
              <w:pStyle w:val="TableCopy"/>
              <w:jc w:val="right"/>
            </w:pPr>
            <w:r>
              <w:t>1</w:t>
            </w:r>
          </w:p>
        </w:tc>
      </w:tr>
      <w:tr w:rsidR="00CA3C5B" w14:paraId="1501CD9E" w14:textId="77777777" w:rsidTr="003A78CF">
        <w:trPr>
          <w:cantSplit/>
        </w:trPr>
        <w:tc>
          <w:tcPr>
            <w:tcW w:w="4479" w:type="dxa"/>
          </w:tcPr>
          <w:p w14:paraId="5EFE2718" w14:textId="77777777" w:rsidR="00CA3C5B" w:rsidRDefault="00260033" w:rsidP="00A732AB">
            <w:pPr>
              <w:pStyle w:val="TableHeading"/>
            </w:pPr>
            <w:r>
              <w:t>Cost</w:t>
            </w:r>
          </w:p>
        </w:tc>
        <w:tc>
          <w:tcPr>
            <w:tcW w:w="1186" w:type="dxa"/>
          </w:tcPr>
          <w:p w14:paraId="572E9EFB" w14:textId="77777777" w:rsidR="00CA3C5B" w:rsidRDefault="00CA3C5B" w:rsidP="00A732AB">
            <w:pPr>
              <w:pStyle w:val="TableCopy"/>
              <w:rPr>
                <w:lang w:val="en-AU"/>
              </w:rPr>
            </w:pPr>
          </w:p>
        </w:tc>
        <w:tc>
          <w:tcPr>
            <w:tcW w:w="963" w:type="dxa"/>
          </w:tcPr>
          <w:p w14:paraId="3295E62A" w14:textId="77777777" w:rsidR="00CA3C5B" w:rsidRDefault="00CA3C5B" w:rsidP="008A5C70">
            <w:pPr>
              <w:pStyle w:val="TableCopy"/>
              <w:jc w:val="right"/>
              <w:rPr>
                <w:lang w:val="en-AU"/>
              </w:rPr>
            </w:pPr>
          </w:p>
        </w:tc>
        <w:tc>
          <w:tcPr>
            <w:tcW w:w="1021" w:type="dxa"/>
          </w:tcPr>
          <w:p w14:paraId="3BABB113" w14:textId="77777777" w:rsidR="00CA3C5B" w:rsidRDefault="00CA3C5B" w:rsidP="008A5C70">
            <w:pPr>
              <w:pStyle w:val="TableCopy"/>
              <w:jc w:val="right"/>
              <w:rPr>
                <w:lang w:val="en-AU"/>
              </w:rPr>
            </w:pPr>
          </w:p>
        </w:tc>
        <w:tc>
          <w:tcPr>
            <w:tcW w:w="1475" w:type="dxa"/>
          </w:tcPr>
          <w:p w14:paraId="44B4FB3F" w14:textId="77777777" w:rsidR="00CA3C5B" w:rsidRDefault="00CA3C5B" w:rsidP="008A5C70">
            <w:pPr>
              <w:pStyle w:val="TableCopy"/>
              <w:jc w:val="right"/>
              <w:rPr>
                <w:lang w:val="en-AU"/>
              </w:rPr>
            </w:pPr>
          </w:p>
        </w:tc>
        <w:tc>
          <w:tcPr>
            <w:tcW w:w="794" w:type="dxa"/>
          </w:tcPr>
          <w:p w14:paraId="6E177574" w14:textId="77777777" w:rsidR="00CA3C5B" w:rsidRDefault="00CA3C5B" w:rsidP="008A5C70">
            <w:pPr>
              <w:pStyle w:val="TableCopy"/>
              <w:jc w:val="right"/>
              <w:rPr>
                <w:lang w:val="en-AU"/>
              </w:rPr>
            </w:pPr>
          </w:p>
        </w:tc>
      </w:tr>
      <w:tr w:rsidR="00CA3C5B" w:rsidRPr="00A732AB" w14:paraId="50F82426" w14:textId="77777777" w:rsidTr="003A78CF">
        <w:trPr>
          <w:cantSplit/>
        </w:trPr>
        <w:tc>
          <w:tcPr>
            <w:tcW w:w="4479" w:type="dxa"/>
          </w:tcPr>
          <w:p w14:paraId="0139DE39" w14:textId="44A5EE24" w:rsidR="00CA3C5B" w:rsidRPr="00A732AB" w:rsidRDefault="00260033" w:rsidP="00A732AB">
            <w:pPr>
              <w:pStyle w:val="TableCopy"/>
              <w:rPr>
                <w:b/>
                <w:bCs/>
              </w:rPr>
            </w:pPr>
            <w:r w:rsidRPr="00A732AB">
              <w:rPr>
                <w:b/>
                <w:bCs/>
              </w:rPr>
              <w:t>Total</w:t>
            </w:r>
            <w:r w:rsidR="00932420" w:rsidRPr="00A732AB">
              <w:rPr>
                <w:b/>
                <w:bCs/>
              </w:rPr>
              <w:t xml:space="preserve"> </w:t>
            </w:r>
            <w:r w:rsidRPr="00A732AB">
              <w:rPr>
                <w:b/>
                <w:bCs/>
              </w:rPr>
              <w:t>output</w:t>
            </w:r>
            <w:r w:rsidR="00932420" w:rsidRPr="00A732AB">
              <w:rPr>
                <w:b/>
                <w:bCs/>
              </w:rPr>
              <w:t xml:space="preserve"> </w:t>
            </w:r>
            <w:r w:rsidRPr="00A732AB">
              <w:rPr>
                <w:b/>
                <w:bCs/>
              </w:rPr>
              <w:t>cost</w:t>
            </w:r>
          </w:p>
        </w:tc>
        <w:tc>
          <w:tcPr>
            <w:tcW w:w="1186" w:type="dxa"/>
          </w:tcPr>
          <w:p w14:paraId="240EF08C" w14:textId="211ED4BB" w:rsidR="00CA3C5B" w:rsidRPr="00A732AB" w:rsidRDefault="00260033" w:rsidP="00A732AB">
            <w:pPr>
              <w:pStyle w:val="TableCopy"/>
              <w:rPr>
                <w:b/>
                <w:bCs/>
              </w:rPr>
            </w:pPr>
            <w:r w:rsidRPr="00A732AB">
              <w:rPr>
                <w:b/>
                <w:bCs/>
              </w:rPr>
              <w:t>$</w:t>
            </w:r>
            <w:r w:rsidR="00932420" w:rsidRPr="00A732AB">
              <w:rPr>
                <w:b/>
                <w:bCs/>
              </w:rPr>
              <w:t xml:space="preserve"> </w:t>
            </w:r>
            <w:r w:rsidRPr="00A732AB">
              <w:rPr>
                <w:b/>
                <w:bCs/>
              </w:rPr>
              <w:t>million</w:t>
            </w:r>
          </w:p>
        </w:tc>
        <w:tc>
          <w:tcPr>
            <w:tcW w:w="963" w:type="dxa"/>
          </w:tcPr>
          <w:p w14:paraId="6C2EFB68" w14:textId="77777777" w:rsidR="00CA3C5B" w:rsidRPr="00A732AB" w:rsidRDefault="00260033" w:rsidP="008A5C70">
            <w:pPr>
              <w:pStyle w:val="TableCopy"/>
              <w:jc w:val="right"/>
              <w:rPr>
                <w:b/>
                <w:bCs/>
              </w:rPr>
            </w:pPr>
            <w:r w:rsidRPr="00A732AB">
              <w:rPr>
                <w:b/>
                <w:bCs/>
              </w:rPr>
              <w:t>430.1</w:t>
            </w:r>
          </w:p>
        </w:tc>
        <w:tc>
          <w:tcPr>
            <w:tcW w:w="1021" w:type="dxa"/>
          </w:tcPr>
          <w:p w14:paraId="616FB43C" w14:textId="77777777" w:rsidR="00CA3C5B" w:rsidRPr="00A732AB" w:rsidRDefault="00260033" w:rsidP="008A5C70">
            <w:pPr>
              <w:pStyle w:val="TableCopy"/>
              <w:jc w:val="right"/>
              <w:rPr>
                <w:b/>
                <w:bCs/>
              </w:rPr>
            </w:pPr>
            <w:r w:rsidRPr="00A732AB">
              <w:rPr>
                <w:b/>
                <w:bCs/>
              </w:rPr>
              <w:t>389.3</w:t>
            </w:r>
          </w:p>
        </w:tc>
        <w:tc>
          <w:tcPr>
            <w:tcW w:w="1475" w:type="dxa"/>
          </w:tcPr>
          <w:p w14:paraId="1562562A" w14:textId="77777777" w:rsidR="00CA3C5B" w:rsidRPr="00A732AB" w:rsidRDefault="00260033" w:rsidP="008A5C70">
            <w:pPr>
              <w:pStyle w:val="TableCopy"/>
              <w:jc w:val="right"/>
              <w:rPr>
                <w:b/>
                <w:bCs/>
              </w:rPr>
            </w:pPr>
            <w:r w:rsidRPr="00A732AB">
              <w:rPr>
                <w:b/>
                <w:bCs/>
              </w:rPr>
              <w:t>10.5%</w:t>
            </w:r>
          </w:p>
        </w:tc>
        <w:tc>
          <w:tcPr>
            <w:tcW w:w="794" w:type="dxa"/>
          </w:tcPr>
          <w:p w14:paraId="7890401A" w14:textId="7A0EEE07" w:rsidR="00CA3C5B" w:rsidRPr="008A5C70" w:rsidRDefault="008A5C70" w:rsidP="008A5C70">
            <w:pPr>
              <w:pStyle w:val="TableCopy"/>
              <w:jc w:val="right"/>
              <w:rPr>
                <w:b/>
                <w:bCs/>
              </w:rPr>
            </w:pPr>
            <w:r w:rsidRPr="008A5C70">
              <w:rPr>
                <w:b/>
                <w:bCs/>
              </w:rPr>
              <w:t>3</w:t>
            </w:r>
          </w:p>
        </w:tc>
      </w:tr>
      <w:tr w:rsidR="00A732AB" w:rsidRPr="00A732AB" w14:paraId="03ECB278" w14:textId="77777777" w:rsidTr="003A78CF">
        <w:trPr>
          <w:cantSplit/>
        </w:trPr>
        <w:tc>
          <w:tcPr>
            <w:tcW w:w="4479" w:type="dxa"/>
          </w:tcPr>
          <w:p w14:paraId="7649989C" w14:textId="54EE6EF9" w:rsidR="00A732AB" w:rsidRPr="00A732AB" w:rsidRDefault="00A732AB" w:rsidP="00A732AB">
            <w:pPr>
              <w:pStyle w:val="TableCopy"/>
              <w:rPr>
                <w:i/>
                <w:iCs/>
              </w:rPr>
            </w:pPr>
            <w:r w:rsidRPr="00A732AB">
              <w:rPr>
                <w:i/>
                <w:iCs/>
              </w:rPr>
              <w:t>The 2022–23 result is higher than the 2022–23 budget mainly due to funding released for the Jobs for Victoria initiative and additional funding for the Pandemic Leave Disaster Payment initiative.</w:t>
            </w:r>
          </w:p>
        </w:tc>
        <w:tc>
          <w:tcPr>
            <w:tcW w:w="1186" w:type="dxa"/>
          </w:tcPr>
          <w:p w14:paraId="00709788" w14:textId="77777777" w:rsidR="00A732AB" w:rsidRPr="00A732AB" w:rsidRDefault="00A732AB" w:rsidP="00A732AB">
            <w:pPr>
              <w:pStyle w:val="TableCopy"/>
            </w:pPr>
          </w:p>
        </w:tc>
        <w:tc>
          <w:tcPr>
            <w:tcW w:w="963" w:type="dxa"/>
          </w:tcPr>
          <w:p w14:paraId="7A71DD72" w14:textId="77777777" w:rsidR="00A732AB" w:rsidRPr="00A732AB" w:rsidRDefault="00A732AB" w:rsidP="008A5C70">
            <w:pPr>
              <w:pStyle w:val="TableCopy"/>
              <w:jc w:val="right"/>
            </w:pPr>
          </w:p>
        </w:tc>
        <w:tc>
          <w:tcPr>
            <w:tcW w:w="1021" w:type="dxa"/>
          </w:tcPr>
          <w:p w14:paraId="7D496296" w14:textId="77777777" w:rsidR="00A732AB" w:rsidRPr="00A732AB" w:rsidRDefault="00A732AB" w:rsidP="008A5C70">
            <w:pPr>
              <w:pStyle w:val="TableCopy"/>
              <w:jc w:val="right"/>
            </w:pPr>
          </w:p>
        </w:tc>
        <w:tc>
          <w:tcPr>
            <w:tcW w:w="1475" w:type="dxa"/>
          </w:tcPr>
          <w:p w14:paraId="035809C2" w14:textId="77777777" w:rsidR="00A732AB" w:rsidRPr="00A732AB" w:rsidRDefault="00A732AB" w:rsidP="008A5C70">
            <w:pPr>
              <w:pStyle w:val="TableCopy"/>
              <w:jc w:val="right"/>
            </w:pPr>
          </w:p>
        </w:tc>
        <w:tc>
          <w:tcPr>
            <w:tcW w:w="794" w:type="dxa"/>
          </w:tcPr>
          <w:p w14:paraId="637B154A" w14:textId="77777777" w:rsidR="00A732AB" w:rsidRPr="00A732AB" w:rsidRDefault="00A732AB" w:rsidP="008A5C70">
            <w:pPr>
              <w:pStyle w:val="TableCopy"/>
              <w:jc w:val="right"/>
              <w:rPr>
                <w:rFonts w:ascii="Wingdings" w:hAnsi="Wingdings" w:cs="Wingdings" w:hint="eastAsia"/>
              </w:rPr>
            </w:pPr>
          </w:p>
        </w:tc>
      </w:tr>
    </w:tbl>
    <w:p w14:paraId="57100816" w14:textId="77777777" w:rsidR="00A732AB" w:rsidRDefault="00A732AB" w:rsidP="008A5C70">
      <w:pPr>
        <w:pStyle w:val="FootnoteText"/>
        <w:spacing w:before="120"/>
      </w:pPr>
      <w:r>
        <w:t>Note:</w:t>
      </w:r>
    </w:p>
    <w:p w14:paraId="3F2FE438" w14:textId="671550E6" w:rsidR="00A732AB" w:rsidRPr="008A5C70" w:rsidRDefault="008A5C70" w:rsidP="008A5C70">
      <w:pPr>
        <w:pStyle w:val="FootnoteText"/>
      </w:pPr>
      <w:r w:rsidRPr="008A5C70">
        <w:t>1</w:t>
      </w:r>
      <w:r w:rsidR="00A732AB" w:rsidRPr="008A5C70">
        <w:t xml:space="preserve"> Performance target achieved or exceeded</w:t>
      </w:r>
    </w:p>
    <w:p w14:paraId="7135AC7D" w14:textId="626DD431" w:rsidR="00A732AB" w:rsidRPr="008A5C70" w:rsidRDefault="008A5C70" w:rsidP="008A5C70">
      <w:pPr>
        <w:pStyle w:val="FootnoteText"/>
      </w:pPr>
      <w:r w:rsidRPr="008A5C70">
        <w:t>2</w:t>
      </w:r>
      <w:r w:rsidR="00A732AB" w:rsidRPr="008A5C70">
        <w:t xml:space="preserve"> Performance target not achieved – but within 5% variance</w:t>
      </w:r>
    </w:p>
    <w:p w14:paraId="2A3454ED" w14:textId="7B863A7A" w:rsidR="00CA3C5B" w:rsidRPr="008A5C70" w:rsidRDefault="008A5C70" w:rsidP="008A5C70">
      <w:pPr>
        <w:pStyle w:val="FootnoteText"/>
        <w:spacing w:after="280"/>
      </w:pPr>
      <w:r w:rsidRPr="008A5C70">
        <w:t>3</w:t>
      </w:r>
      <w:r w:rsidR="00A732AB" w:rsidRPr="008A5C70">
        <w:t xml:space="preserve"> Performance target not achieved – exceeds 5% variance</w:t>
      </w:r>
    </w:p>
    <w:p w14:paraId="18C4BBB8" w14:textId="61D165DE" w:rsidR="00CA3C5B" w:rsidRDefault="00260033" w:rsidP="00896C86">
      <w:pPr>
        <w:pStyle w:val="Heading2"/>
      </w:pPr>
      <w:bookmarkStart w:id="6" w:name="_Toc152067212"/>
      <w:r>
        <w:t>Objective</w:t>
      </w:r>
      <w:r w:rsidR="00932420">
        <w:t xml:space="preserve"> </w:t>
      </w:r>
      <w:r>
        <w:t>2:</w:t>
      </w:r>
      <w:r w:rsidR="00932420">
        <w:t xml:space="preserve"> </w:t>
      </w:r>
      <w:r>
        <w:t>Foster</w:t>
      </w:r>
      <w:r w:rsidR="00932420">
        <w:t xml:space="preserve"> </w:t>
      </w:r>
      <w:r>
        <w:t>a</w:t>
      </w:r>
      <w:r w:rsidR="00932420">
        <w:t xml:space="preserve"> </w:t>
      </w:r>
      <w:r>
        <w:t>competitive</w:t>
      </w:r>
      <w:r w:rsidR="00932420">
        <w:t xml:space="preserve"> </w:t>
      </w:r>
      <w:r>
        <w:t>business</w:t>
      </w:r>
      <w:r w:rsidR="00932420">
        <w:t xml:space="preserve"> </w:t>
      </w:r>
      <w:r>
        <w:t>environment</w:t>
      </w:r>
      <w:bookmarkEnd w:id="6"/>
    </w:p>
    <w:p w14:paraId="4E623ACA" w14:textId="6C32BC19" w:rsidR="00CA3C5B" w:rsidRDefault="00260033" w:rsidP="00963DE9">
      <w:r>
        <w:t>This</w:t>
      </w:r>
      <w:r w:rsidR="00932420">
        <w:t xml:space="preserve"> </w:t>
      </w:r>
      <w:r>
        <w:t>objective</w:t>
      </w:r>
      <w:r w:rsidR="00932420">
        <w:t xml:space="preserve"> </w:t>
      </w:r>
      <w:r>
        <w:t>seeks</w:t>
      </w:r>
      <w:r w:rsidR="00932420">
        <w:t xml:space="preserve"> </w:t>
      </w:r>
      <w:r>
        <w:t>to</w:t>
      </w:r>
      <w:r w:rsidR="00932420">
        <w:t xml:space="preserve"> </w:t>
      </w:r>
      <w:r>
        <w:t>grow</w:t>
      </w:r>
      <w:r w:rsidR="00932420">
        <w:t xml:space="preserve"> </w:t>
      </w:r>
      <w:r>
        <w:t>Victorian</w:t>
      </w:r>
      <w:r w:rsidR="00932420">
        <w:t xml:space="preserve"> </w:t>
      </w:r>
      <w:r>
        <w:t>industries</w:t>
      </w:r>
      <w:r w:rsidR="00932420">
        <w:t xml:space="preserve"> </w:t>
      </w:r>
      <w:r>
        <w:t>and</w:t>
      </w:r>
      <w:r w:rsidR="00932420">
        <w:t xml:space="preserve"> </w:t>
      </w:r>
      <w:r>
        <w:t>businesses</w:t>
      </w:r>
      <w:r w:rsidR="00932420">
        <w:t xml:space="preserve"> </w:t>
      </w:r>
      <w:r>
        <w:t>by</w:t>
      </w:r>
      <w:r w:rsidR="00932420">
        <w:t xml:space="preserve"> </w:t>
      </w:r>
      <w:r>
        <w:t>working</w:t>
      </w:r>
      <w:r w:rsidR="00932420">
        <w:t xml:space="preserve"> </w:t>
      </w:r>
      <w:r>
        <w:t>with</w:t>
      </w:r>
      <w:r w:rsidR="00932420">
        <w:t xml:space="preserve"> </w:t>
      </w:r>
      <w:r>
        <w:t>priority</w:t>
      </w:r>
      <w:r w:rsidR="00932420">
        <w:t xml:space="preserve"> </w:t>
      </w:r>
      <w:r>
        <w:t>industry</w:t>
      </w:r>
      <w:r w:rsidR="00932420">
        <w:t xml:space="preserve"> </w:t>
      </w:r>
      <w:r>
        <w:t>sectors,</w:t>
      </w:r>
      <w:r w:rsidR="00932420">
        <w:t xml:space="preserve"> </w:t>
      </w:r>
      <w:r>
        <w:t>supporting</w:t>
      </w:r>
      <w:r w:rsidR="00932420">
        <w:t xml:space="preserve"> </w:t>
      </w:r>
      <w:r>
        <w:t>growth</w:t>
      </w:r>
      <w:r w:rsidR="00932420">
        <w:t xml:space="preserve"> </w:t>
      </w:r>
      <w:r>
        <w:t>and</w:t>
      </w:r>
      <w:r w:rsidR="00932420">
        <w:t xml:space="preserve"> </w:t>
      </w:r>
      <w:r>
        <w:t>innovation</w:t>
      </w:r>
      <w:r w:rsidR="00932420">
        <w:t xml:space="preserve"> </w:t>
      </w:r>
      <w:r>
        <w:t>opportunities</w:t>
      </w:r>
      <w:r w:rsidR="00932420">
        <w:t xml:space="preserve"> </w:t>
      </w:r>
      <w:r>
        <w:t>for</w:t>
      </w:r>
      <w:r w:rsidR="00932420">
        <w:t xml:space="preserve"> </w:t>
      </w:r>
      <w:r>
        <w:t>industry,</w:t>
      </w:r>
      <w:r w:rsidR="00932420">
        <w:t xml:space="preserve"> </w:t>
      </w:r>
      <w:r>
        <w:t>supporting</w:t>
      </w:r>
      <w:r w:rsidR="00932420">
        <w:t xml:space="preserve"> </w:t>
      </w:r>
      <w:proofErr w:type="spellStart"/>
      <w:r>
        <w:t>startups</w:t>
      </w:r>
      <w:proofErr w:type="spellEnd"/>
      <w:r w:rsidR="00932420">
        <w:t xml:space="preserve"> </w:t>
      </w:r>
      <w:r>
        <w:t>and</w:t>
      </w:r>
      <w:r w:rsidR="00932420">
        <w:t xml:space="preserve"> </w:t>
      </w:r>
      <w:r>
        <w:t>small</w:t>
      </w:r>
      <w:r w:rsidR="00932420">
        <w:t xml:space="preserve"> </w:t>
      </w:r>
      <w:r>
        <w:t>businesses,</w:t>
      </w:r>
      <w:r w:rsidR="00932420">
        <w:t xml:space="preserve"> </w:t>
      </w:r>
      <w:r>
        <w:t>and</w:t>
      </w:r>
      <w:r w:rsidR="00932420">
        <w:t xml:space="preserve"> </w:t>
      </w:r>
      <w:r>
        <w:t>assisting</w:t>
      </w:r>
      <w:r w:rsidR="00932420">
        <w:t xml:space="preserve"> </w:t>
      </w:r>
      <w:r>
        <w:t>industries</w:t>
      </w:r>
      <w:r w:rsidR="00932420">
        <w:t xml:space="preserve"> </w:t>
      </w:r>
      <w:r>
        <w:t>in</w:t>
      </w:r>
      <w:r w:rsidR="00932420">
        <w:t xml:space="preserve"> </w:t>
      </w:r>
      <w:r>
        <w:t>transition.</w:t>
      </w:r>
    </w:p>
    <w:p w14:paraId="29763306" w14:textId="1AD010AD" w:rsidR="00CA3C5B" w:rsidRDefault="00260033" w:rsidP="00963DE9">
      <w:pPr>
        <w:pStyle w:val="Heading3"/>
      </w:pPr>
      <w:r>
        <w:t>Progress</w:t>
      </w:r>
      <w:r w:rsidR="00932420">
        <w:t xml:space="preserve"> </w:t>
      </w:r>
      <w:r>
        <w:t>towards</w:t>
      </w:r>
      <w:r w:rsidR="00932420">
        <w:t xml:space="preserve"> </w:t>
      </w:r>
      <w:r>
        <w:t>achieving</w:t>
      </w:r>
      <w:r w:rsidR="00932420">
        <w:t xml:space="preserve"> </w:t>
      </w:r>
      <w:r>
        <w:t>this</w:t>
      </w:r>
      <w:r w:rsidR="00932420">
        <w:t xml:space="preserve"> </w:t>
      </w:r>
      <w:r>
        <w:t>objective</w:t>
      </w:r>
    </w:p>
    <w:p w14:paraId="36902647" w14:textId="08353C05" w:rsidR="00CA3C5B" w:rsidRDefault="00260033" w:rsidP="00963DE9">
      <w:pPr>
        <w:pStyle w:val="Normalbeforebullets"/>
      </w:pPr>
      <w:r>
        <w:t>In</w:t>
      </w:r>
      <w:r w:rsidR="00932420">
        <w:t xml:space="preserve"> </w:t>
      </w:r>
      <w:r>
        <w:t>2022–23,</w:t>
      </w:r>
      <w:r w:rsidR="00932420">
        <w:t xml:space="preserve"> </w:t>
      </w:r>
      <w:r>
        <w:t>the</w:t>
      </w:r>
      <w:r w:rsidR="00932420">
        <w:t xml:space="preserve"> </w:t>
      </w:r>
      <w:r>
        <w:t>department</w:t>
      </w:r>
      <w:r w:rsidR="00932420">
        <w:t xml:space="preserve"> </w:t>
      </w:r>
      <w:r>
        <w:t>reported</w:t>
      </w:r>
      <w:r w:rsidR="00932420">
        <w:t xml:space="preserve"> </w:t>
      </w:r>
      <w:r>
        <w:t>progress</w:t>
      </w:r>
      <w:r w:rsidR="00932420">
        <w:t xml:space="preserve"> </w:t>
      </w:r>
      <w:r>
        <w:t>against</w:t>
      </w:r>
      <w:r w:rsidR="00932420">
        <w:t xml:space="preserve"> </w:t>
      </w:r>
      <w:r>
        <w:t>this</w:t>
      </w:r>
      <w:r w:rsidR="00932420">
        <w:t xml:space="preserve"> </w:t>
      </w:r>
      <w:r>
        <w:t>objective</w:t>
      </w:r>
      <w:r w:rsidR="00932420">
        <w:t xml:space="preserve"> </w:t>
      </w:r>
      <w:r>
        <w:t>using</w:t>
      </w:r>
      <w:r w:rsidR="00932420">
        <w:t xml:space="preserve"> </w:t>
      </w:r>
      <w:r>
        <w:t>the</w:t>
      </w:r>
      <w:r w:rsidR="00932420">
        <w:t xml:space="preserve"> </w:t>
      </w:r>
      <w:r>
        <w:t>following</w:t>
      </w:r>
      <w:r w:rsidR="00932420">
        <w:t xml:space="preserve"> </w:t>
      </w:r>
      <w:r>
        <w:t>objective</w:t>
      </w:r>
      <w:r w:rsidR="00932420">
        <w:t xml:space="preserve"> </w:t>
      </w:r>
      <w:r>
        <w:t>indicators</w:t>
      </w:r>
      <w:r w:rsidR="00932420">
        <w:t xml:space="preserve"> </w:t>
      </w:r>
      <w:r>
        <w:t>and</w:t>
      </w:r>
      <w:r w:rsidR="00932420">
        <w:t xml:space="preserve"> </w:t>
      </w:r>
      <w:r>
        <w:t>outputs:</w:t>
      </w:r>
    </w:p>
    <w:p w14:paraId="53193501" w14:textId="714D301B" w:rsidR="00CA3C5B" w:rsidRPr="00963DE9" w:rsidRDefault="00260033" w:rsidP="00963DE9">
      <w:pPr>
        <w:pStyle w:val="Normalbeforebullets"/>
        <w:rPr>
          <w:b/>
          <w:bCs/>
        </w:rPr>
      </w:pPr>
      <w:r w:rsidRPr="00963DE9">
        <w:rPr>
          <w:b/>
          <w:bCs/>
        </w:rPr>
        <w:t>Objective</w:t>
      </w:r>
      <w:r w:rsidR="00932420" w:rsidRPr="00963DE9">
        <w:rPr>
          <w:b/>
          <w:bCs/>
        </w:rPr>
        <w:t xml:space="preserve"> </w:t>
      </w:r>
      <w:r w:rsidRPr="00963DE9">
        <w:rPr>
          <w:b/>
          <w:bCs/>
        </w:rPr>
        <w:t>Indicators</w:t>
      </w:r>
    </w:p>
    <w:p w14:paraId="09133E95" w14:textId="3021C8B4" w:rsidR="00CA3C5B" w:rsidRDefault="00260033" w:rsidP="00963DE9">
      <w:pPr>
        <w:pStyle w:val="Bullet"/>
      </w:pPr>
      <w:r>
        <w:t>Change</w:t>
      </w:r>
      <w:r w:rsidR="00932420">
        <w:t xml:space="preserve"> </w:t>
      </w:r>
      <w:r>
        <w:t>in</w:t>
      </w:r>
      <w:r w:rsidR="00932420">
        <w:t xml:space="preserve"> </w:t>
      </w:r>
      <w:r>
        <w:t>Victoria’s</w:t>
      </w:r>
      <w:r w:rsidR="00932420">
        <w:t xml:space="preserve"> </w:t>
      </w:r>
      <w:r>
        <w:t>real</w:t>
      </w:r>
      <w:r w:rsidR="00932420">
        <w:t xml:space="preserve"> </w:t>
      </w:r>
      <w:r>
        <w:t>gross</w:t>
      </w:r>
      <w:r w:rsidR="00932420">
        <w:t xml:space="preserve"> </w:t>
      </w:r>
      <w:r>
        <w:t>state</w:t>
      </w:r>
      <w:r w:rsidR="00932420">
        <w:t xml:space="preserve"> </w:t>
      </w:r>
      <w:r>
        <w:t>product</w:t>
      </w:r>
    </w:p>
    <w:p w14:paraId="42549E17" w14:textId="3359AC4A" w:rsidR="00CA3C5B" w:rsidRDefault="00260033" w:rsidP="00963DE9">
      <w:pPr>
        <w:pStyle w:val="Bulletlast"/>
      </w:pPr>
      <w:r>
        <w:t>Engagement</w:t>
      </w:r>
      <w:r w:rsidR="00932420">
        <w:t xml:space="preserve"> </w:t>
      </w:r>
      <w:r>
        <w:t>with</w:t>
      </w:r>
      <w:r w:rsidR="00932420">
        <w:t xml:space="preserve"> </w:t>
      </w:r>
      <w:r>
        <w:t>businesses</w:t>
      </w:r>
    </w:p>
    <w:p w14:paraId="4341A887" w14:textId="77777777" w:rsidR="00CA3C5B" w:rsidRPr="00963DE9" w:rsidRDefault="00260033" w:rsidP="00963DE9">
      <w:pPr>
        <w:pStyle w:val="Normalbeforebullets"/>
        <w:rPr>
          <w:b/>
          <w:bCs/>
        </w:rPr>
      </w:pPr>
      <w:r w:rsidRPr="00963DE9">
        <w:rPr>
          <w:b/>
          <w:bCs/>
        </w:rPr>
        <w:t>Outputs</w:t>
      </w:r>
    </w:p>
    <w:p w14:paraId="48EB2A85" w14:textId="45DB7B81" w:rsidR="00CA3C5B" w:rsidRDefault="00260033" w:rsidP="00963DE9">
      <w:pPr>
        <w:pStyle w:val="Bulletlast"/>
      </w:pPr>
      <w:r>
        <w:t>Industry,</w:t>
      </w:r>
      <w:r w:rsidR="00932420">
        <w:t xml:space="preserve"> </w:t>
      </w:r>
      <w:r>
        <w:t>Innovation,</w:t>
      </w:r>
      <w:r w:rsidR="00932420">
        <w:t xml:space="preserve"> </w:t>
      </w:r>
      <w:r>
        <w:t>and</w:t>
      </w:r>
      <w:r w:rsidR="00932420">
        <w:t xml:space="preserve"> </w:t>
      </w:r>
      <w:r>
        <w:t>Small</w:t>
      </w:r>
      <w:r w:rsidR="00932420">
        <w:t xml:space="preserve"> </w:t>
      </w:r>
      <w:r>
        <w:t>Business</w:t>
      </w:r>
    </w:p>
    <w:p w14:paraId="076E5C6C" w14:textId="5E2736FA" w:rsidR="00CA3C5B" w:rsidRDefault="00260033" w:rsidP="00963DE9">
      <w:pPr>
        <w:pStyle w:val="Heading2"/>
      </w:pPr>
      <w:bookmarkStart w:id="7" w:name="_Toc152067213"/>
      <w:r>
        <w:lastRenderedPageBreak/>
        <w:t>Indicator:</w:t>
      </w:r>
      <w:r w:rsidR="00932420">
        <w:t xml:space="preserve"> </w:t>
      </w:r>
      <w:r>
        <w:t>Change</w:t>
      </w:r>
      <w:r w:rsidR="00932420">
        <w:t xml:space="preserve"> </w:t>
      </w:r>
      <w:r>
        <w:t>in</w:t>
      </w:r>
      <w:r w:rsidR="00932420">
        <w:t xml:space="preserve"> </w:t>
      </w:r>
      <w:r>
        <w:t>Victoria’s</w:t>
      </w:r>
      <w:r w:rsidR="00932420">
        <w:t xml:space="preserve"> </w:t>
      </w:r>
      <w:r>
        <w:t>real</w:t>
      </w:r>
      <w:r w:rsidR="00932420">
        <w:t xml:space="preserve"> </w:t>
      </w:r>
      <w:r>
        <w:t>gross</w:t>
      </w:r>
      <w:r w:rsidR="00932420">
        <w:t xml:space="preserve"> </w:t>
      </w:r>
      <w:r>
        <w:t>state</w:t>
      </w:r>
      <w:r w:rsidR="00932420">
        <w:t xml:space="preserve"> </w:t>
      </w:r>
      <w:r>
        <w:t>product</w:t>
      </w:r>
      <w:bookmarkEnd w:id="7"/>
    </w:p>
    <w:p w14:paraId="2FDC60EC" w14:textId="22F75232" w:rsidR="00CA3C5B" w:rsidRDefault="00260033" w:rsidP="00963DE9">
      <w:pPr>
        <w:pStyle w:val="TableHeading"/>
      </w:pPr>
      <w:r>
        <w:t>Table</w:t>
      </w:r>
      <w:r w:rsidR="00932420">
        <w:t xml:space="preserve"> </w:t>
      </w:r>
      <w:r>
        <w:t>3:</w:t>
      </w:r>
      <w:r w:rsidR="00932420">
        <w:t xml:space="preserve"> </w:t>
      </w:r>
      <w:r>
        <w:t>Change</w:t>
      </w:r>
      <w:r w:rsidR="00932420">
        <w:t xml:space="preserve"> </w:t>
      </w:r>
      <w:r>
        <w:t>in</w:t>
      </w:r>
      <w:r w:rsidR="00932420">
        <w:t xml:space="preserve"> </w:t>
      </w:r>
      <w:r>
        <w:t>Victoria’s</w:t>
      </w:r>
      <w:r w:rsidR="00932420">
        <w:t xml:space="preserve"> </w:t>
      </w:r>
      <w:r>
        <w:t>real</w:t>
      </w:r>
      <w:r w:rsidR="00932420">
        <w:t xml:space="preserve"> </w:t>
      </w:r>
      <w:r>
        <w:t>gross</w:t>
      </w:r>
      <w:r w:rsidR="00932420">
        <w:t xml:space="preserve"> </w:t>
      </w:r>
      <w:r>
        <w:t>state</w:t>
      </w:r>
      <w:r w:rsidR="00932420">
        <w:t xml:space="preserve"> </w:t>
      </w:r>
      <w:r>
        <w:t>product</w:t>
      </w:r>
    </w:p>
    <w:tbl>
      <w:tblPr>
        <w:tblStyle w:val="TableGrid"/>
        <w:tblW w:w="9638" w:type="dxa"/>
        <w:tblLayout w:type="fixed"/>
        <w:tblLook w:val="0020" w:firstRow="1" w:lastRow="0" w:firstColumn="0" w:lastColumn="0" w:noHBand="0" w:noVBand="0"/>
      </w:tblPr>
      <w:tblGrid>
        <w:gridCol w:w="4248"/>
        <w:gridCol w:w="1347"/>
        <w:gridCol w:w="1348"/>
        <w:gridCol w:w="1347"/>
        <w:gridCol w:w="1348"/>
      </w:tblGrid>
      <w:tr w:rsidR="00CA3C5B" w14:paraId="02DC1BB2" w14:textId="77777777" w:rsidTr="00963DE9">
        <w:trPr>
          <w:trHeight w:val="333"/>
        </w:trPr>
        <w:tc>
          <w:tcPr>
            <w:tcW w:w="4248" w:type="dxa"/>
          </w:tcPr>
          <w:p w14:paraId="347EF9DE" w14:textId="6F1F7AB1" w:rsidR="00CA3C5B" w:rsidRDefault="00260033" w:rsidP="00963DE9">
            <w:pPr>
              <w:pStyle w:val="TableColumnHeading"/>
            </w:pPr>
            <w:bookmarkStart w:id="8" w:name="ColumnTitle_3"/>
            <w:bookmarkEnd w:id="8"/>
            <w:r>
              <w:t>Measure</w:t>
            </w:r>
            <w:r w:rsidR="00932420">
              <w:t xml:space="preserve"> </w:t>
            </w:r>
            <w:r>
              <w:t>(unit</w:t>
            </w:r>
            <w:r w:rsidR="00932420">
              <w:t xml:space="preserve"> </w:t>
            </w:r>
            <w:r>
              <w:t>of</w:t>
            </w:r>
            <w:r w:rsidR="00932420">
              <w:t xml:space="preserve"> </w:t>
            </w:r>
            <w:r>
              <w:t>measure)</w:t>
            </w:r>
          </w:p>
        </w:tc>
        <w:tc>
          <w:tcPr>
            <w:tcW w:w="1347" w:type="dxa"/>
          </w:tcPr>
          <w:p w14:paraId="0644775B" w14:textId="77777777" w:rsidR="00CA3C5B" w:rsidRDefault="00260033" w:rsidP="00963DE9">
            <w:pPr>
              <w:pStyle w:val="TableColumnHeading"/>
              <w:jc w:val="right"/>
            </w:pPr>
            <w:r>
              <w:t>2019–20</w:t>
            </w:r>
          </w:p>
        </w:tc>
        <w:tc>
          <w:tcPr>
            <w:tcW w:w="1348" w:type="dxa"/>
          </w:tcPr>
          <w:p w14:paraId="0BA394A6" w14:textId="77777777" w:rsidR="00CA3C5B" w:rsidRDefault="00260033" w:rsidP="00963DE9">
            <w:pPr>
              <w:pStyle w:val="TableColumnHeading"/>
              <w:jc w:val="right"/>
            </w:pPr>
            <w:r>
              <w:t>2020–21*</w:t>
            </w:r>
          </w:p>
        </w:tc>
        <w:tc>
          <w:tcPr>
            <w:tcW w:w="1347" w:type="dxa"/>
          </w:tcPr>
          <w:p w14:paraId="1D8A5114" w14:textId="77777777" w:rsidR="00CA3C5B" w:rsidRDefault="00260033" w:rsidP="00963DE9">
            <w:pPr>
              <w:pStyle w:val="TableColumnHeading"/>
              <w:jc w:val="right"/>
            </w:pPr>
            <w:r>
              <w:t>2021–22</w:t>
            </w:r>
          </w:p>
        </w:tc>
        <w:tc>
          <w:tcPr>
            <w:tcW w:w="1348" w:type="dxa"/>
          </w:tcPr>
          <w:p w14:paraId="5E5520E7" w14:textId="77777777" w:rsidR="00CA3C5B" w:rsidRDefault="00260033" w:rsidP="00963DE9">
            <w:pPr>
              <w:pStyle w:val="TableColumnHeading"/>
              <w:jc w:val="right"/>
            </w:pPr>
            <w:r>
              <w:rPr>
                <w:lang w:val="en-US"/>
              </w:rPr>
              <w:t>2022–23</w:t>
            </w:r>
          </w:p>
        </w:tc>
      </w:tr>
      <w:tr w:rsidR="00CA3C5B" w14:paraId="447B6F19" w14:textId="77777777" w:rsidTr="00963DE9">
        <w:trPr>
          <w:trHeight w:val="333"/>
        </w:trPr>
        <w:tc>
          <w:tcPr>
            <w:tcW w:w="4248" w:type="dxa"/>
          </w:tcPr>
          <w:p w14:paraId="511F2852" w14:textId="60FB48A4" w:rsidR="00CA3C5B" w:rsidRDefault="00260033" w:rsidP="00963DE9">
            <w:pPr>
              <w:pStyle w:val="TableCopy"/>
            </w:pPr>
            <w:r>
              <w:t>Change</w:t>
            </w:r>
            <w:r w:rsidR="00932420">
              <w:t xml:space="preserve"> </w:t>
            </w:r>
            <w:r>
              <w:t>in</w:t>
            </w:r>
            <w:r w:rsidR="00932420">
              <w:t xml:space="preserve"> </w:t>
            </w:r>
            <w:r>
              <w:t>Victoria’s</w:t>
            </w:r>
            <w:r w:rsidR="00932420">
              <w:t xml:space="preserve"> </w:t>
            </w:r>
            <w:r>
              <w:t>real</w:t>
            </w:r>
            <w:r w:rsidR="00932420">
              <w:t xml:space="preserve"> </w:t>
            </w:r>
            <w:r>
              <w:t>gross</w:t>
            </w:r>
            <w:r w:rsidR="00932420">
              <w:t xml:space="preserve"> </w:t>
            </w:r>
            <w:r>
              <w:t>state</w:t>
            </w:r>
            <w:r w:rsidR="00932420">
              <w:t xml:space="preserve"> </w:t>
            </w:r>
            <w:r>
              <w:t>product</w:t>
            </w:r>
            <w:r w:rsidR="00932420">
              <w:t xml:space="preserve"> </w:t>
            </w:r>
            <w:r>
              <w:t>(%)</w:t>
            </w:r>
          </w:p>
        </w:tc>
        <w:tc>
          <w:tcPr>
            <w:tcW w:w="1347" w:type="dxa"/>
          </w:tcPr>
          <w:p w14:paraId="335AB586" w14:textId="231EA454" w:rsidR="00CA3C5B" w:rsidRDefault="00260033" w:rsidP="00963DE9">
            <w:pPr>
              <w:pStyle w:val="TableCopy"/>
              <w:jc w:val="right"/>
            </w:pPr>
            <w:r>
              <w:t>0.1</w:t>
            </w:r>
          </w:p>
        </w:tc>
        <w:tc>
          <w:tcPr>
            <w:tcW w:w="1348" w:type="dxa"/>
          </w:tcPr>
          <w:p w14:paraId="39F29718" w14:textId="77777777" w:rsidR="00CA3C5B" w:rsidRDefault="00260033" w:rsidP="00963DE9">
            <w:pPr>
              <w:pStyle w:val="TableCopy"/>
              <w:jc w:val="right"/>
            </w:pPr>
            <w:r>
              <w:t>-0.3</w:t>
            </w:r>
          </w:p>
        </w:tc>
        <w:tc>
          <w:tcPr>
            <w:tcW w:w="1347" w:type="dxa"/>
          </w:tcPr>
          <w:p w14:paraId="2A9B3D26" w14:textId="77777777" w:rsidR="00CA3C5B" w:rsidRDefault="00260033" w:rsidP="00963DE9">
            <w:pPr>
              <w:pStyle w:val="TableCopy"/>
              <w:jc w:val="right"/>
            </w:pPr>
            <w:r>
              <w:t>5.6</w:t>
            </w:r>
          </w:p>
        </w:tc>
        <w:tc>
          <w:tcPr>
            <w:tcW w:w="1348" w:type="dxa"/>
          </w:tcPr>
          <w:p w14:paraId="2085B4F2" w14:textId="06A21A01" w:rsidR="00CA3C5B" w:rsidRDefault="00260033" w:rsidP="00963DE9">
            <w:pPr>
              <w:pStyle w:val="TableCopy"/>
              <w:jc w:val="right"/>
            </w:pPr>
            <w:r>
              <w:rPr>
                <w:lang w:val="en-US"/>
              </w:rPr>
              <w:t>Data</w:t>
            </w:r>
            <w:r w:rsidR="00932420">
              <w:rPr>
                <w:rFonts w:cs="Times New Roman"/>
                <w:rtl/>
                <w:lang w:bidi="ar-YE"/>
              </w:rPr>
              <w:t xml:space="preserve"> </w:t>
            </w:r>
            <w:r>
              <w:rPr>
                <w:lang w:val="en-US"/>
              </w:rPr>
              <w:t>available</w:t>
            </w:r>
            <w:r w:rsidR="00932420">
              <w:rPr>
                <w:rFonts w:cs="Times New Roman"/>
                <w:rtl/>
                <w:lang w:bidi="ar-YE"/>
              </w:rPr>
              <w:t xml:space="preserve"> </w:t>
            </w:r>
            <w:r>
              <w:rPr>
                <w:lang w:val="en-US"/>
              </w:rPr>
              <w:t>in</w:t>
            </w:r>
            <w:r w:rsidR="00932420">
              <w:rPr>
                <w:lang w:val="en-US"/>
              </w:rPr>
              <w:t xml:space="preserve"> </w:t>
            </w:r>
            <w:r>
              <w:rPr>
                <w:lang w:val="en-US"/>
              </w:rPr>
              <w:t>November</w:t>
            </w:r>
            <w:r w:rsidR="00932420">
              <w:rPr>
                <w:lang w:val="en-US"/>
              </w:rPr>
              <w:t xml:space="preserve"> </w:t>
            </w:r>
            <w:r>
              <w:rPr>
                <w:lang w:val="en-US"/>
              </w:rPr>
              <w:t>2023</w:t>
            </w:r>
          </w:p>
        </w:tc>
      </w:tr>
    </w:tbl>
    <w:p w14:paraId="72CE89E1" w14:textId="6C94DDF2" w:rsidR="00CA3C5B" w:rsidRDefault="00963DE9" w:rsidP="00963DE9">
      <w:pPr>
        <w:pStyle w:val="FootnoteText"/>
        <w:spacing w:before="120" w:after="280"/>
      </w:pPr>
      <w:r>
        <w:t>*</w:t>
      </w:r>
      <w:r w:rsidR="003A78CF">
        <w:t xml:space="preserve"> </w:t>
      </w:r>
      <w:r>
        <w:t>This is the latest available data. Changes to the inputs used to produce this data have resulted in revised historical estimates that should not be compared to previously published results.</w:t>
      </w:r>
    </w:p>
    <w:p w14:paraId="788C6962" w14:textId="0D10A10B" w:rsidR="00CA3C5B" w:rsidRDefault="00260033" w:rsidP="00963DE9">
      <w:pPr>
        <w:pStyle w:val="FigureHeading"/>
      </w:pPr>
      <w:r>
        <w:t>Figure</w:t>
      </w:r>
      <w:r w:rsidR="00932420">
        <w:t xml:space="preserve"> </w:t>
      </w:r>
      <w:r>
        <w:t>2:</w:t>
      </w:r>
      <w:r w:rsidR="00932420">
        <w:t xml:space="preserve"> </w:t>
      </w:r>
      <w:r>
        <w:t>Change</w:t>
      </w:r>
      <w:r w:rsidR="00932420">
        <w:t xml:space="preserve"> </w:t>
      </w:r>
      <w:r>
        <w:t>in</w:t>
      </w:r>
      <w:r w:rsidR="00932420">
        <w:t xml:space="preserve"> </w:t>
      </w:r>
      <w:r>
        <w:t>Victoria’s</w:t>
      </w:r>
      <w:r w:rsidR="00932420">
        <w:t xml:space="preserve"> </w:t>
      </w:r>
      <w:r>
        <w:t>real</w:t>
      </w:r>
      <w:r w:rsidR="00932420">
        <w:t xml:space="preserve"> </w:t>
      </w:r>
      <w:r>
        <w:t>gross</w:t>
      </w:r>
      <w:r w:rsidR="00932420">
        <w:t xml:space="preserve"> </w:t>
      </w:r>
      <w:r>
        <w:t>state</w:t>
      </w:r>
      <w:r w:rsidR="00932420">
        <w:t xml:space="preserve"> </w:t>
      </w:r>
      <w:r>
        <w:t>product</w:t>
      </w:r>
    </w:p>
    <w:p w14:paraId="3DB3BD21" w14:textId="55A13EE6" w:rsidR="00CA3C5B" w:rsidRDefault="00963DE9" w:rsidP="00963DE9">
      <w:r>
        <w:rPr>
          <w:noProof/>
        </w:rPr>
        <w:drawing>
          <wp:inline distT="0" distB="0" distL="0" distR="0" wp14:anchorId="25F6E64E" wp14:editId="62402C88">
            <wp:extent cx="3223550" cy="2156680"/>
            <wp:effectExtent l="0" t="0" r="0" b="0"/>
            <wp:docPr id="2" name="Picture 2" descr="Figure 2: Change in Victoria’s real gross state product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Change in Victoria’s real gross state product graph. Data in table above."/>
                    <pic:cNvPicPr/>
                  </pic:nvPicPr>
                  <pic:blipFill>
                    <a:blip r:embed="rId11"/>
                    <a:stretch>
                      <a:fillRect/>
                    </a:stretch>
                  </pic:blipFill>
                  <pic:spPr>
                    <a:xfrm>
                      <a:off x="0" y="0"/>
                      <a:ext cx="3262335" cy="2182629"/>
                    </a:xfrm>
                    <a:prstGeom prst="rect">
                      <a:avLst/>
                    </a:prstGeom>
                  </pic:spPr>
                </pic:pic>
              </a:graphicData>
            </a:graphic>
          </wp:inline>
        </w:drawing>
      </w:r>
    </w:p>
    <w:p w14:paraId="336B5D73" w14:textId="602088AE" w:rsidR="00CA3C5B" w:rsidRDefault="00260033" w:rsidP="002C0E0B">
      <w:r>
        <w:t>Victoria</w:t>
      </w:r>
      <w:r w:rsidR="00932420">
        <w:t xml:space="preserve"> </w:t>
      </w:r>
      <w:r>
        <w:t>recorded</w:t>
      </w:r>
      <w:r w:rsidR="00932420">
        <w:t xml:space="preserve"> </w:t>
      </w:r>
      <w:r>
        <w:t>an</w:t>
      </w:r>
      <w:r w:rsidR="00932420">
        <w:t xml:space="preserve"> </w:t>
      </w:r>
      <w:r>
        <w:t>increase</w:t>
      </w:r>
      <w:r w:rsidR="00932420">
        <w:t xml:space="preserve"> </w:t>
      </w:r>
      <w:r>
        <w:t>in</w:t>
      </w:r>
      <w:r w:rsidR="00932420">
        <w:t xml:space="preserve"> </w:t>
      </w:r>
      <w:r>
        <w:t>real</w:t>
      </w:r>
      <w:r w:rsidR="00932420">
        <w:t xml:space="preserve"> </w:t>
      </w:r>
      <w:r>
        <w:t>gross</w:t>
      </w:r>
      <w:r w:rsidR="00932420">
        <w:t xml:space="preserve"> </w:t>
      </w:r>
      <w:r>
        <w:t>state</w:t>
      </w:r>
      <w:r w:rsidR="00932420">
        <w:t xml:space="preserve"> </w:t>
      </w:r>
      <w:r>
        <w:t>product</w:t>
      </w:r>
      <w:r w:rsidR="00932420">
        <w:t xml:space="preserve"> </w:t>
      </w:r>
      <w:r>
        <w:t>(GSP)</w:t>
      </w:r>
      <w:r w:rsidR="00932420">
        <w:t xml:space="preserve"> </w:t>
      </w:r>
      <w:r>
        <w:t>of</w:t>
      </w:r>
      <w:r w:rsidR="00932420">
        <w:t xml:space="preserve"> </w:t>
      </w:r>
      <w:r>
        <w:t>5.6%</w:t>
      </w:r>
      <w:r w:rsidR="00932420">
        <w:t xml:space="preserve"> </w:t>
      </w:r>
      <w:r>
        <w:t>in</w:t>
      </w:r>
      <w:r w:rsidR="00932420">
        <w:t xml:space="preserve"> </w:t>
      </w:r>
      <w:r>
        <w:t>2021–22</w:t>
      </w:r>
      <w:r w:rsidR="00932420">
        <w:t xml:space="preserve"> </w:t>
      </w:r>
      <w:r>
        <w:t>–</w:t>
      </w:r>
      <w:r w:rsidR="00932420">
        <w:t xml:space="preserve"> </w:t>
      </w:r>
      <w:r>
        <w:t>the</w:t>
      </w:r>
      <w:r w:rsidR="00932420">
        <w:t xml:space="preserve"> </w:t>
      </w:r>
      <w:r>
        <w:t>strongest</w:t>
      </w:r>
      <w:r w:rsidR="00932420">
        <w:t xml:space="preserve"> </w:t>
      </w:r>
      <w:r>
        <w:t>growth</w:t>
      </w:r>
      <w:r w:rsidR="00932420">
        <w:t xml:space="preserve"> </w:t>
      </w:r>
      <w:r>
        <w:t>of</w:t>
      </w:r>
      <w:r w:rsidR="00932420">
        <w:t xml:space="preserve"> </w:t>
      </w:r>
      <w:r>
        <w:t>any</w:t>
      </w:r>
      <w:r w:rsidR="00932420">
        <w:t xml:space="preserve"> </w:t>
      </w:r>
      <w:r>
        <w:t>state</w:t>
      </w:r>
      <w:r w:rsidR="00932420">
        <w:t xml:space="preserve"> </w:t>
      </w:r>
      <w:r>
        <w:t>or</w:t>
      </w:r>
      <w:r w:rsidR="00932420">
        <w:t xml:space="preserve"> </w:t>
      </w:r>
      <w:r>
        <w:t>territory.</w:t>
      </w:r>
      <w:r w:rsidR="00932420">
        <w:t xml:space="preserve"> </w:t>
      </w:r>
      <w:r>
        <w:t>The</w:t>
      </w:r>
      <w:r w:rsidR="00932420">
        <w:t xml:space="preserve"> </w:t>
      </w:r>
      <w:r>
        <w:t>increase</w:t>
      </w:r>
      <w:r w:rsidR="00932420">
        <w:t xml:space="preserve"> </w:t>
      </w:r>
      <w:r>
        <w:t>follows</w:t>
      </w:r>
      <w:r w:rsidR="00932420">
        <w:t xml:space="preserve"> </w:t>
      </w:r>
      <w:r>
        <w:t>a</w:t>
      </w:r>
      <w:r w:rsidR="00932420">
        <w:t xml:space="preserve"> </w:t>
      </w:r>
      <w:r>
        <w:t>fall</w:t>
      </w:r>
      <w:r w:rsidR="00932420">
        <w:t xml:space="preserve"> </w:t>
      </w:r>
      <w:r>
        <w:t>of</w:t>
      </w:r>
      <w:r w:rsidR="00932420">
        <w:t xml:space="preserve"> </w:t>
      </w:r>
      <w:r>
        <w:t>0.3%</w:t>
      </w:r>
      <w:r w:rsidR="00932420">
        <w:t xml:space="preserve"> </w:t>
      </w:r>
      <w:r>
        <w:t>in</w:t>
      </w:r>
      <w:r w:rsidR="00932420">
        <w:t xml:space="preserve"> </w:t>
      </w:r>
      <w:r>
        <w:t>2020–21</w:t>
      </w:r>
      <w:r w:rsidR="00932420">
        <w:t xml:space="preserve"> </w:t>
      </w:r>
      <w:r>
        <w:t>and</w:t>
      </w:r>
      <w:r w:rsidR="00932420">
        <w:t xml:space="preserve"> </w:t>
      </w:r>
      <w:r>
        <w:t>a</w:t>
      </w:r>
      <w:r w:rsidR="00932420">
        <w:t xml:space="preserve"> </w:t>
      </w:r>
      <w:r>
        <w:t>small</w:t>
      </w:r>
      <w:r w:rsidR="00932420">
        <w:t xml:space="preserve"> </w:t>
      </w:r>
      <w:r>
        <w:t>rise</w:t>
      </w:r>
      <w:r w:rsidR="00932420">
        <w:t xml:space="preserve"> </w:t>
      </w:r>
      <w:r>
        <w:t>of</w:t>
      </w:r>
      <w:r w:rsidR="00932420">
        <w:t xml:space="preserve"> </w:t>
      </w:r>
      <w:r>
        <w:t>0.1%</w:t>
      </w:r>
      <w:r w:rsidR="00932420">
        <w:t xml:space="preserve"> </w:t>
      </w:r>
      <w:r>
        <w:t>in</w:t>
      </w:r>
      <w:r w:rsidR="00932420">
        <w:t xml:space="preserve"> </w:t>
      </w:r>
      <w:r>
        <w:t>2019–20</w:t>
      </w:r>
      <w:r w:rsidR="00932420">
        <w:t xml:space="preserve"> </w:t>
      </w:r>
      <w:r>
        <w:t>when</w:t>
      </w:r>
      <w:r w:rsidR="00932420">
        <w:t xml:space="preserve"> </w:t>
      </w:r>
      <w:r>
        <w:t>economic</w:t>
      </w:r>
      <w:r w:rsidR="00932420">
        <w:t xml:space="preserve"> </w:t>
      </w:r>
      <w:r>
        <w:t>activity</w:t>
      </w:r>
      <w:r w:rsidR="00932420">
        <w:t xml:space="preserve"> </w:t>
      </w:r>
      <w:r>
        <w:t>was</w:t>
      </w:r>
      <w:r w:rsidR="00932420">
        <w:t xml:space="preserve"> </w:t>
      </w:r>
      <w:r>
        <w:t>constrained</w:t>
      </w:r>
      <w:r w:rsidR="00932420">
        <w:t xml:space="preserve"> </w:t>
      </w:r>
      <w:r>
        <w:t>by</w:t>
      </w:r>
      <w:r w:rsidR="00932420">
        <w:t xml:space="preserve"> </w:t>
      </w:r>
      <w:r>
        <w:t>COVID-19.</w:t>
      </w:r>
      <w:r w:rsidR="00932420">
        <w:t xml:space="preserve"> </w:t>
      </w:r>
      <w:r>
        <w:t>Leading</w:t>
      </w:r>
      <w:r w:rsidR="00932420">
        <w:t xml:space="preserve"> </w:t>
      </w:r>
      <w:r>
        <w:t>the</w:t>
      </w:r>
      <w:r w:rsidR="00932420">
        <w:t xml:space="preserve"> </w:t>
      </w:r>
      <w:r>
        <w:t>recovery</w:t>
      </w:r>
      <w:r w:rsidR="00932420">
        <w:t xml:space="preserve"> </w:t>
      </w:r>
      <w:r>
        <w:t>were</w:t>
      </w:r>
      <w:r w:rsidR="00932420">
        <w:t xml:space="preserve"> </w:t>
      </w:r>
      <w:r>
        <w:t>the</w:t>
      </w:r>
      <w:r w:rsidR="00932420">
        <w:t xml:space="preserve"> </w:t>
      </w:r>
      <w:r>
        <w:t>construction</w:t>
      </w:r>
      <w:r w:rsidR="00932420">
        <w:t xml:space="preserve"> </w:t>
      </w:r>
      <w:r>
        <w:t>(7.6%),</w:t>
      </w:r>
      <w:r w:rsidR="00932420">
        <w:t xml:space="preserve"> </w:t>
      </w:r>
      <w:r>
        <w:t>healthcare</w:t>
      </w:r>
      <w:r w:rsidR="00932420">
        <w:t xml:space="preserve"> </w:t>
      </w:r>
      <w:r>
        <w:t>and</w:t>
      </w:r>
      <w:r w:rsidR="00932420">
        <w:t xml:space="preserve"> </w:t>
      </w:r>
      <w:r>
        <w:t>social</w:t>
      </w:r>
      <w:r w:rsidR="00932420">
        <w:t xml:space="preserve"> </w:t>
      </w:r>
      <w:r>
        <w:t>assistance</w:t>
      </w:r>
      <w:r w:rsidR="00932420">
        <w:t xml:space="preserve"> </w:t>
      </w:r>
      <w:r>
        <w:t>(6.6%)</w:t>
      </w:r>
      <w:r w:rsidR="00932420">
        <w:t xml:space="preserve"> </w:t>
      </w:r>
      <w:r>
        <w:t>and</w:t>
      </w:r>
      <w:r w:rsidR="00932420">
        <w:t xml:space="preserve"> </w:t>
      </w:r>
      <w:r>
        <w:t>transport,</w:t>
      </w:r>
      <w:r w:rsidR="00932420">
        <w:t xml:space="preserve"> </w:t>
      </w:r>
      <w:r>
        <w:t>postal</w:t>
      </w:r>
      <w:r w:rsidR="00932420">
        <w:t xml:space="preserve"> </w:t>
      </w:r>
      <w:r>
        <w:t>and</w:t>
      </w:r>
      <w:r w:rsidR="00932420">
        <w:t xml:space="preserve"> </w:t>
      </w:r>
      <w:r>
        <w:t>warehousing</w:t>
      </w:r>
      <w:r w:rsidR="00932420">
        <w:t xml:space="preserve"> </w:t>
      </w:r>
      <w:r>
        <w:t>(12.5%)</w:t>
      </w:r>
      <w:r w:rsidR="00932420">
        <w:t xml:space="preserve"> </w:t>
      </w:r>
      <w:r>
        <w:t>industries.</w:t>
      </w:r>
    </w:p>
    <w:p w14:paraId="38ECE30A" w14:textId="7416C96B" w:rsidR="00CA3C5B" w:rsidRDefault="00260033" w:rsidP="002C0E0B">
      <w:r>
        <w:t>Construction,</w:t>
      </w:r>
      <w:r w:rsidR="00932420">
        <w:t xml:space="preserve"> </w:t>
      </w:r>
      <w:r>
        <w:t>both</w:t>
      </w:r>
      <w:r w:rsidR="00932420">
        <w:t xml:space="preserve"> </w:t>
      </w:r>
      <w:r>
        <w:t>residential</w:t>
      </w:r>
      <w:r w:rsidR="00932420">
        <w:t xml:space="preserve"> </w:t>
      </w:r>
      <w:r>
        <w:t>and</w:t>
      </w:r>
      <w:r w:rsidR="00932420">
        <w:t xml:space="preserve"> </w:t>
      </w:r>
      <w:r>
        <w:t>non-residential,</w:t>
      </w:r>
      <w:r w:rsidR="00932420">
        <w:t xml:space="preserve"> </w:t>
      </w:r>
      <w:r>
        <w:t>increased</w:t>
      </w:r>
      <w:r w:rsidR="00932420">
        <w:t xml:space="preserve"> </w:t>
      </w:r>
      <w:r>
        <w:t>with</w:t>
      </w:r>
      <w:r w:rsidR="00932420">
        <w:t xml:space="preserve"> </w:t>
      </w:r>
      <w:r>
        <w:t>strong</w:t>
      </w:r>
      <w:r w:rsidR="00932420">
        <w:t xml:space="preserve"> </w:t>
      </w:r>
      <w:r>
        <w:t>demand</w:t>
      </w:r>
      <w:r w:rsidR="00932420">
        <w:t xml:space="preserve"> </w:t>
      </w:r>
      <w:r>
        <w:t>from</w:t>
      </w:r>
      <w:r w:rsidR="00932420">
        <w:t xml:space="preserve"> </w:t>
      </w:r>
      <w:r>
        <w:t>private</w:t>
      </w:r>
      <w:r w:rsidR="00932420">
        <w:t xml:space="preserve"> </w:t>
      </w:r>
      <w:r>
        <w:t>and</w:t>
      </w:r>
      <w:r w:rsidR="00932420">
        <w:t xml:space="preserve"> </w:t>
      </w:r>
      <w:r>
        <w:t>public</w:t>
      </w:r>
      <w:r w:rsidR="00932420">
        <w:t xml:space="preserve"> </w:t>
      </w:r>
      <w:r>
        <w:t>sectors.</w:t>
      </w:r>
      <w:r w:rsidR="00932420">
        <w:t xml:space="preserve"> </w:t>
      </w:r>
      <w:r>
        <w:t>Dwelling</w:t>
      </w:r>
      <w:r w:rsidR="00932420">
        <w:t xml:space="preserve"> </w:t>
      </w:r>
      <w:r>
        <w:t>investment</w:t>
      </w:r>
      <w:r w:rsidR="00932420">
        <w:t xml:space="preserve"> </w:t>
      </w:r>
      <w:r>
        <w:t>was</w:t>
      </w:r>
      <w:r w:rsidR="00932420">
        <w:t xml:space="preserve"> </w:t>
      </w:r>
      <w:r>
        <w:t>a</w:t>
      </w:r>
      <w:r w:rsidR="00932420">
        <w:t xml:space="preserve"> </w:t>
      </w:r>
      <w:r>
        <w:t>major</w:t>
      </w:r>
      <w:r w:rsidR="00932420">
        <w:t xml:space="preserve"> </w:t>
      </w:r>
      <w:r>
        <w:t>driver</w:t>
      </w:r>
      <w:r w:rsidR="00932420">
        <w:t xml:space="preserve"> </w:t>
      </w:r>
      <w:r>
        <w:t>as</w:t>
      </w:r>
      <w:r w:rsidR="00932420">
        <w:t xml:space="preserve"> </w:t>
      </w:r>
      <w:r>
        <w:t>the</w:t>
      </w:r>
      <w:r w:rsidR="00932420">
        <w:t xml:space="preserve"> </w:t>
      </w:r>
      <w:r>
        <w:t>industry</w:t>
      </w:r>
      <w:r w:rsidR="00932420">
        <w:t xml:space="preserve"> </w:t>
      </w:r>
      <w:r>
        <w:t>worked</w:t>
      </w:r>
      <w:r w:rsidR="00932420">
        <w:t xml:space="preserve"> </w:t>
      </w:r>
      <w:r>
        <w:t>through</w:t>
      </w:r>
      <w:r w:rsidR="00932420">
        <w:t xml:space="preserve"> </w:t>
      </w:r>
      <w:r>
        <w:t>a</w:t>
      </w:r>
      <w:r w:rsidR="00932420">
        <w:t xml:space="preserve"> </w:t>
      </w:r>
      <w:r>
        <w:t>backlog</w:t>
      </w:r>
      <w:r w:rsidR="00932420">
        <w:t xml:space="preserve"> </w:t>
      </w:r>
      <w:r>
        <w:t>of</w:t>
      </w:r>
      <w:r w:rsidR="00932420">
        <w:t xml:space="preserve"> </w:t>
      </w:r>
      <w:r>
        <w:t>projects</w:t>
      </w:r>
      <w:r w:rsidR="00932420">
        <w:t xml:space="preserve"> </w:t>
      </w:r>
      <w:r>
        <w:t>delayed</w:t>
      </w:r>
      <w:r w:rsidR="00932420">
        <w:t xml:space="preserve"> </w:t>
      </w:r>
      <w:r>
        <w:t>due</w:t>
      </w:r>
      <w:r w:rsidR="00932420">
        <w:t xml:space="preserve"> </w:t>
      </w:r>
      <w:r>
        <w:t>to</w:t>
      </w:r>
      <w:r w:rsidR="00932420">
        <w:t xml:space="preserve"> </w:t>
      </w:r>
      <w:r>
        <w:t>COVID-19</w:t>
      </w:r>
      <w:r w:rsidR="00932420">
        <w:t xml:space="preserve"> </w:t>
      </w:r>
      <w:r>
        <w:t>disruptions.</w:t>
      </w:r>
    </w:p>
    <w:p w14:paraId="72CEBD70" w14:textId="15848DFB" w:rsidR="00CA3C5B" w:rsidRDefault="00260033" w:rsidP="002C0E0B">
      <w:r>
        <w:t>Healthcare</w:t>
      </w:r>
      <w:r w:rsidR="00932420">
        <w:t xml:space="preserve"> </w:t>
      </w:r>
      <w:r>
        <w:t>and</w:t>
      </w:r>
      <w:r w:rsidR="00932420">
        <w:t xml:space="preserve"> </w:t>
      </w:r>
      <w:r>
        <w:t>social</w:t>
      </w:r>
      <w:r w:rsidR="00932420">
        <w:t xml:space="preserve"> </w:t>
      </w:r>
      <w:r>
        <w:t>assistance</w:t>
      </w:r>
      <w:r w:rsidR="00932420">
        <w:t xml:space="preserve"> </w:t>
      </w:r>
      <w:r>
        <w:t>continued</w:t>
      </w:r>
      <w:r w:rsidR="00932420">
        <w:t xml:space="preserve"> </w:t>
      </w:r>
      <w:r>
        <w:t>to</w:t>
      </w:r>
      <w:r w:rsidR="00932420">
        <w:t xml:space="preserve"> </w:t>
      </w:r>
      <w:r>
        <w:t>grow</w:t>
      </w:r>
      <w:r w:rsidR="00932420">
        <w:t xml:space="preserve"> </w:t>
      </w:r>
      <w:r>
        <w:t>as</w:t>
      </w:r>
      <w:r w:rsidR="00932420">
        <w:t xml:space="preserve"> </w:t>
      </w:r>
      <w:r>
        <w:t>output</w:t>
      </w:r>
      <w:r w:rsidR="00932420">
        <w:t xml:space="preserve"> </w:t>
      </w:r>
      <w:r>
        <w:t>increased</w:t>
      </w:r>
      <w:r w:rsidR="00932420">
        <w:t xml:space="preserve"> </w:t>
      </w:r>
      <w:r>
        <w:t>in</w:t>
      </w:r>
      <w:r w:rsidR="00932420">
        <w:t xml:space="preserve"> </w:t>
      </w:r>
      <w:r>
        <w:t>response</w:t>
      </w:r>
      <w:r w:rsidR="00932420">
        <w:t xml:space="preserve"> </w:t>
      </w:r>
      <w:r>
        <w:t>to</w:t>
      </w:r>
      <w:r w:rsidR="00932420">
        <w:t xml:space="preserve"> </w:t>
      </w:r>
      <w:r>
        <w:t>COVID-19</w:t>
      </w:r>
      <w:r w:rsidR="00932420">
        <w:t xml:space="preserve"> </w:t>
      </w:r>
      <w:r>
        <w:t>challenges.</w:t>
      </w:r>
      <w:r w:rsidR="00932420">
        <w:t xml:space="preserve"> </w:t>
      </w:r>
    </w:p>
    <w:p w14:paraId="0046647B" w14:textId="7051F417" w:rsidR="00CA3C5B" w:rsidRDefault="00260033" w:rsidP="002C0E0B">
      <w:r>
        <w:t>Transport</w:t>
      </w:r>
      <w:r w:rsidR="00932420">
        <w:t xml:space="preserve"> </w:t>
      </w:r>
      <w:r>
        <w:t>services</w:t>
      </w:r>
      <w:r w:rsidR="00932420">
        <w:t xml:space="preserve"> </w:t>
      </w:r>
      <w:r>
        <w:t>grew</w:t>
      </w:r>
      <w:r w:rsidR="00932420">
        <w:t xml:space="preserve"> </w:t>
      </w:r>
      <w:proofErr w:type="gramStart"/>
      <w:r>
        <w:t>as</w:t>
      </w:r>
      <w:r w:rsidR="00932420">
        <w:t xml:space="preserve"> </w:t>
      </w:r>
      <w:r>
        <w:t>a</w:t>
      </w:r>
      <w:r w:rsidR="00932420">
        <w:t xml:space="preserve"> </w:t>
      </w:r>
      <w:r>
        <w:t>result</w:t>
      </w:r>
      <w:r w:rsidR="00932420">
        <w:t xml:space="preserve"> </w:t>
      </w:r>
      <w:r>
        <w:t>of</w:t>
      </w:r>
      <w:proofErr w:type="gramEnd"/>
      <w:r w:rsidR="00932420">
        <w:t xml:space="preserve"> </w:t>
      </w:r>
      <w:r>
        <w:t>the</w:t>
      </w:r>
      <w:r w:rsidR="00932420">
        <w:t xml:space="preserve"> </w:t>
      </w:r>
      <w:r>
        <w:t>removal</w:t>
      </w:r>
      <w:r w:rsidR="00932420">
        <w:t xml:space="preserve"> </w:t>
      </w:r>
      <w:r>
        <w:t>of</w:t>
      </w:r>
      <w:r w:rsidR="00932420">
        <w:t xml:space="preserve"> </w:t>
      </w:r>
      <w:r>
        <w:t>lockdowns</w:t>
      </w:r>
      <w:r w:rsidR="00932420">
        <w:t xml:space="preserve"> </w:t>
      </w:r>
      <w:r>
        <w:t>and</w:t>
      </w:r>
      <w:r w:rsidR="00932420">
        <w:t xml:space="preserve"> </w:t>
      </w:r>
      <w:r>
        <w:t>travel</w:t>
      </w:r>
      <w:r w:rsidR="00932420">
        <w:t xml:space="preserve"> </w:t>
      </w:r>
      <w:r>
        <w:t>restrictions</w:t>
      </w:r>
      <w:r w:rsidR="00932420">
        <w:t xml:space="preserve"> </w:t>
      </w:r>
      <w:r>
        <w:t>on</w:t>
      </w:r>
      <w:r w:rsidR="00932420">
        <w:t xml:space="preserve"> </w:t>
      </w:r>
      <w:r>
        <w:t>Victorian</w:t>
      </w:r>
      <w:r w:rsidR="00932420">
        <w:t xml:space="preserve"> </w:t>
      </w:r>
      <w:r>
        <w:t>households</w:t>
      </w:r>
      <w:r w:rsidR="00932420">
        <w:t xml:space="preserve"> </w:t>
      </w:r>
      <w:r>
        <w:t>and</w:t>
      </w:r>
      <w:r w:rsidR="00932420">
        <w:t xml:space="preserve"> </w:t>
      </w:r>
      <w:r>
        <w:t>businesses.</w:t>
      </w:r>
      <w:r w:rsidR="00932420">
        <w:t xml:space="preserve"> </w:t>
      </w:r>
      <w:r>
        <w:t>Increased</w:t>
      </w:r>
      <w:r w:rsidR="00932420">
        <w:t xml:space="preserve"> </w:t>
      </w:r>
      <w:r>
        <w:t>mobility</w:t>
      </w:r>
      <w:r w:rsidR="00932420">
        <w:t xml:space="preserve"> </w:t>
      </w:r>
      <w:r>
        <w:t>throughout</w:t>
      </w:r>
      <w:r w:rsidR="00932420">
        <w:t xml:space="preserve"> </w:t>
      </w:r>
      <w:r>
        <w:t>the</w:t>
      </w:r>
      <w:r w:rsidR="00932420">
        <w:t xml:space="preserve"> </w:t>
      </w:r>
      <w:r>
        <w:t>state</w:t>
      </w:r>
      <w:r w:rsidR="00932420">
        <w:t xml:space="preserve"> </w:t>
      </w:r>
      <w:r>
        <w:t>led</w:t>
      </w:r>
      <w:r w:rsidR="00932420">
        <w:t xml:space="preserve"> </w:t>
      </w:r>
      <w:r>
        <w:t>to</w:t>
      </w:r>
      <w:r w:rsidR="00932420">
        <w:t xml:space="preserve"> </w:t>
      </w:r>
      <w:r>
        <w:t>a</w:t>
      </w:r>
      <w:r w:rsidR="00932420">
        <w:t xml:space="preserve"> </w:t>
      </w:r>
      <w:r>
        <w:t>rise</w:t>
      </w:r>
      <w:r w:rsidR="00932420">
        <w:t xml:space="preserve"> </w:t>
      </w:r>
      <w:r>
        <w:t>in</w:t>
      </w:r>
      <w:r w:rsidR="00932420">
        <w:t xml:space="preserve"> </w:t>
      </w:r>
      <w:r>
        <w:t>public</w:t>
      </w:r>
      <w:r w:rsidR="00932420">
        <w:t xml:space="preserve"> </w:t>
      </w:r>
      <w:r>
        <w:t>transport</w:t>
      </w:r>
      <w:r w:rsidR="00932420">
        <w:t xml:space="preserve"> </w:t>
      </w:r>
      <w:r>
        <w:t>services</w:t>
      </w:r>
      <w:r w:rsidR="00932420">
        <w:t xml:space="preserve"> </w:t>
      </w:r>
      <w:r>
        <w:t>as</w:t>
      </w:r>
      <w:r w:rsidR="00932420">
        <w:t xml:space="preserve"> </w:t>
      </w:r>
      <w:r>
        <w:t>well</w:t>
      </w:r>
      <w:r w:rsidR="00932420">
        <w:t xml:space="preserve"> </w:t>
      </w:r>
      <w:r>
        <w:t>as</w:t>
      </w:r>
      <w:r w:rsidR="00932420">
        <w:t xml:space="preserve"> </w:t>
      </w:r>
      <w:r>
        <w:t>use</w:t>
      </w:r>
      <w:r w:rsidR="00932420">
        <w:t xml:space="preserve"> </w:t>
      </w:r>
      <w:r>
        <w:t>of</w:t>
      </w:r>
      <w:r w:rsidR="00932420">
        <w:t xml:space="preserve"> </w:t>
      </w:r>
      <w:r>
        <w:t>toll</w:t>
      </w:r>
      <w:r w:rsidR="00932420">
        <w:t xml:space="preserve"> </w:t>
      </w:r>
      <w:r>
        <w:t>roads.</w:t>
      </w:r>
    </w:p>
    <w:p w14:paraId="278980A7" w14:textId="0915238E" w:rsidR="00CA3C5B" w:rsidRDefault="00260033" w:rsidP="002C0E0B">
      <w:r>
        <w:t>Industries</w:t>
      </w:r>
      <w:r w:rsidR="00932420">
        <w:t xml:space="preserve"> </w:t>
      </w:r>
      <w:r>
        <w:t>dependent</w:t>
      </w:r>
      <w:r w:rsidR="00932420">
        <w:t xml:space="preserve"> </w:t>
      </w:r>
      <w:r>
        <w:t>on</w:t>
      </w:r>
      <w:r w:rsidR="00932420">
        <w:t xml:space="preserve"> </w:t>
      </w:r>
      <w:r>
        <w:t>household</w:t>
      </w:r>
      <w:r w:rsidR="00932420">
        <w:t xml:space="preserve"> </w:t>
      </w:r>
      <w:r>
        <w:t>spending</w:t>
      </w:r>
      <w:r w:rsidR="00932420">
        <w:t xml:space="preserve"> </w:t>
      </w:r>
      <w:r>
        <w:t>rebounded</w:t>
      </w:r>
      <w:r w:rsidR="00932420">
        <w:t xml:space="preserve"> </w:t>
      </w:r>
      <w:r>
        <w:t>in</w:t>
      </w:r>
      <w:r w:rsidR="00932420">
        <w:t xml:space="preserve"> </w:t>
      </w:r>
      <w:r>
        <w:t>2021–22</w:t>
      </w:r>
      <w:r w:rsidR="00932420">
        <w:t xml:space="preserve"> </w:t>
      </w:r>
      <w:r>
        <w:t>after</w:t>
      </w:r>
      <w:r w:rsidR="00932420">
        <w:t xml:space="preserve"> </w:t>
      </w:r>
      <w:r>
        <w:t>2</w:t>
      </w:r>
      <w:r w:rsidR="00932420">
        <w:t xml:space="preserve"> </w:t>
      </w:r>
      <w:r>
        <w:t>difficult</w:t>
      </w:r>
      <w:r w:rsidR="00932420">
        <w:t xml:space="preserve"> </w:t>
      </w:r>
      <w:r>
        <w:t>years</w:t>
      </w:r>
      <w:r w:rsidR="00932420">
        <w:t xml:space="preserve"> </w:t>
      </w:r>
      <w:r>
        <w:t>impacted</w:t>
      </w:r>
      <w:r w:rsidR="00932420">
        <w:t xml:space="preserve"> </w:t>
      </w:r>
      <w:r>
        <w:t>by</w:t>
      </w:r>
      <w:r w:rsidR="00932420">
        <w:t xml:space="preserve"> </w:t>
      </w:r>
      <w:r>
        <w:t>COVID-19</w:t>
      </w:r>
      <w:r w:rsidR="00932420">
        <w:t xml:space="preserve"> </w:t>
      </w:r>
      <w:r>
        <w:t>trading</w:t>
      </w:r>
      <w:r w:rsidR="00932420">
        <w:t xml:space="preserve"> </w:t>
      </w:r>
      <w:r>
        <w:t>restrictions.</w:t>
      </w:r>
      <w:r w:rsidR="00932420">
        <w:t xml:space="preserve"> </w:t>
      </w:r>
      <w:r>
        <w:t>Strong</w:t>
      </w:r>
      <w:r w:rsidR="00932420">
        <w:t xml:space="preserve"> </w:t>
      </w:r>
      <w:r>
        <w:t>growth</w:t>
      </w:r>
      <w:r w:rsidR="00932420">
        <w:t xml:space="preserve"> </w:t>
      </w:r>
      <w:r>
        <w:t>was</w:t>
      </w:r>
      <w:r w:rsidR="00932420">
        <w:t xml:space="preserve"> </w:t>
      </w:r>
      <w:r>
        <w:rPr>
          <w:spacing w:val="1"/>
        </w:rPr>
        <w:t>recorded</w:t>
      </w:r>
      <w:r w:rsidR="00932420">
        <w:rPr>
          <w:spacing w:val="1"/>
        </w:rPr>
        <w:t xml:space="preserve"> </w:t>
      </w:r>
      <w:r>
        <w:rPr>
          <w:spacing w:val="1"/>
        </w:rPr>
        <w:t>in</w:t>
      </w:r>
      <w:r w:rsidR="00932420">
        <w:rPr>
          <w:spacing w:val="1"/>
        </w:rPr>
        <w:t xml:space="preserve"> </w:t>
      </w:r>
      <w:r>
        <w:rPr>
          <w:spacing w:val="1"/>
        </w:rPr>
        <w:t>retail</w:t>
      </w:r>
      <w:r w:rsidR="00932420">
        <w:rPr>
          <w:spacing w:val="1"/>
        </w:rPr>
        <w:t xml:space="preserve"> </w:t>
      </w:r>
      <w:r>
        <w:rPr>
          <w:spacing w:val="1"/>
        </w:rPr>
        <w:t>trade</w:t>
      </w:r>
      <w:r w:rsidR="00932420">
        <w:rPr>
          <w:spacing w:val="1"/>
        </w:rPr>
        <w:t xml:space="preserve"> </w:t>
      </w:r>
      <w:r>
        <w:rPr>
          <w:spacing w:val="1"/>
        </w:rPr>
        <w:lastRenderedPageBreak/>
        <w:t>gross</w:t>
      </w:r>
      <w:r w:rsidR="00932420">
        <w:rPr>
          <w:spacing w:val="1"/>
        </w:rPr>
        <w:t xml:space="preserve"> </w:t>
      </w:r>
      <w:r>
        <w:rPr>
          <w:spacing w:val="1"/>
        </w:rPr>
        <w:t>value</w:t>
      </w:r>
      <w:r w:rsidR="00932420">
        <w:rPr>
          <w:spacing w:val="1"/>
        </w:rPr>
        <w:t xml:space="preserve"> </w:t>
      </w:r>
      <w:r>
        <w:rPr>
          <w:spacing w:val="1"/>
        </w:rPr>
        <w:t>added</w:t>
      </w:r>
      <w:r w:rsidR="00932420">
        <w:rPr>
          <w:spacing w:val="1"/>
        </w:rPr>
        <w:t xml:space="preserve"> </w:t>
      </w:r>
      <w:r>
        <w:rPr>
          <w:spacing w:val="1"/>
        </w:rPr>
        <w:t>(GVA)</w:t>
      </w:r>
      <w:r w:rsidR="00932420">
        <w:rPr>
          <w:spacing w:val="1"/>
        </w:rPr>
        <w:t xml:space="preserve"> </w:t>
      </w:r>
      <w:r>
        <w:rPr>
          <w:spacing w:val="1"/>
        </w:rPr>
        <w:t>(8.8%),</w:t>
      </w:r>
      <w:r w:rsidR="00932420">
        <w:rPr>
          <w:spacing w:val="1"/>
        </w:rPr>
        <w:t xml:space="preserve"> </w:t>
      </w:r>
      <w:r>
        <w:rPr>
          <w:spacing w:val="1"/>
        </w:rPr>
        <w:t>accommodation</w:t>
      </w:r>
      <w:r w:rsidR="00932420">
        <w:rPr>
          <w:spacing w:val="1"/>
        </w:rPr>
        <w:t xml:space="preserve"> </w:t>
      </w:r>
      <w:r>
        <w:rPr>
          <w:spacing w:val="1"/>
        </w:rPr>
        <w:t>and</w:t>
      </w:r>
      <w:r w:rsidR="00932420">
        <w:rPr>
          <w:spacing w:val="1"/>
        </w:rPr>
        <w:t xml:space="preserve"> </w:t>
      </w:r>
      <w:r>
        <w:rPr>
          <w:spacing w:val="1"/>
        </w:rPr>
        <w:t>food</w:t>
      </w:r>
      <w:r w:rsidR="00932420">
        <w:rPr>
          <w:spacing w:val="1"/>
        </w:rPr>
        <w:t xml:space="preserve"> </w:t>
      </w:r>
      <w:r>
        <w:rPr>
          <w:spacing w:val="1"/>
        </w:rPr>
        <w:t>services</w:t>
      </w:r>
      <w:r w:rsidR="00932420">
        <w:rPr>
          <w:spacing w:val="1"/>
        </w:rPr>
        <w:t xml:space="preserve"> </w:t>
      </w:r>
      <w:r>
        <w:rPr>
          <w:spacing w:val="1"/>
        </w:rPr>
        <w:t>GVA</w:t>
      </w:r>
      <w:r w:rsidR="00932420">
        <w:rPr>
          <w:spacing w:val="1"/>
        </w:rPr>
        <w:t xml:space="preserve"> </w:t>
      </w:r>
      <w:r>
        <w:t>(10.6%)</w:t>
      </w:r>
      <w:r w:rsidR="00932420">
        <w:t xml:space="preserve"> </w:t>
      </w:r>
      <w:r>
        <w:t>and</w:t>
      </w:r>
      <w:r w:rsidR="00932420">
        <w:t xml:space="preserve"> </w:t>
      </w:r>
      <w:r>
        <w:t>arts</w:t>
      </w:r>
      <w:r w:rsidR="00932420">
        <w:t xml:space="preserve"> </w:t>
      </w:r>
      <w:r>
        <w:t>and</w:t>
      </w:r>
      <w:r w:rsidR="00932420">
        <w:t xml:space="preserve"> </w:t>
      </w:r>
      <w:r>
        <w:t>recreation</w:t>
      </w:r>
      <w:r w:rsidR="00932420">
        <w:t xml:space="preserve"> </w:t>
      </w:r>
      <w:r>
        <w:t>services</w:t>
      </w:r>
      <w:r w:rsidR="00932420">
        <w:t xml:space="preserve"> </w:t>
      </w:r>
      <w:r>
        <w:t>GVA</w:t>
      </w:r>
      <w:r w:rsidR="00932420">
        <w:t xml:space="preserve"> </w:t>
      </w:r>
      <w:r>
        <w:t>(15.7%).</w:t>
      </w:r>
    </w:p>
    <w:p w14:paraId="61194276" w14:textId="62646AD7" w:rsidR="00CA3C5B" w:rsidRDefault="00260033" w:rsidP="002C0E0B">
      <w:pPr>
        <w:pStyle w:val="Heading2"/>
      </w:pPr>
      <w:bookmarkStart w:id="9" w:name="_Toc152067214"/>
      <w:r>
        <w:t>Indicator:</w:t>
      </w:r>
      <w:r w:rsidR="00932420">
        <w:t xml:space="preserve"> </w:t>
      </w:r>
      <w:r>
        <w:t>Engagement</w:t>
      </w:r>
      <w:r w:rsidR="00932420">
        <w:t xml:space="preserve"> </w:t>
      </w:r>
      <w:r>
        <w:t>with</w:t>
      </w:r>
      <w:r w:rsidR="00932420">
        <w:t xml:space="preserve"> </w:t>
      </w:r>
      <w:r>
        <w:t>businesses</w:t>
      </w:r>
      <w:bookmarkEnd w:id="9"/>
    </w:p>
    <w:p w14:paraId="21178F26" w14:textId="3FA5D167" w:rsidR="00CA3C5B" w:rsidRDefault="00260033" w:rsidP="002C0E0B">
      <w:pPr>
        <w:pStyle w:val="TableHeading"/>
      </w:pPr>
      <w:r>
        <w:t>Table</w:t>
      </w:r>
      <w:r w:rsidR="00932420">
        <w:t xml:space="preserve"> </w:t>
      </w:r>
      <w:r>
        <w:t>4:</w:t>
      </w:r>
      <w:r w:rsidR="00932420">
        <w:t xml:space="preserve"> </w:t>
      </w:r>
      <w:r>
        <w:t>Engagement</w:t>
      </w:r>
      <w:r w:rsidR="00932420">
        <w:t xml:space="preserve"> </w:t>
      </w:r>
      <w:r>
        <w:t>with</w:t>
      </w:r>
      <w:r w:rsidR="00932420">
        <w:t xml:space="preserve"> </w:t>
      </w:r>
      <w:r w:rsidR="002C0E0B">
        <w:t>Businesses</w:t>
      </w:r>
    </w:p>
    <w:tbl>
      <w:tblPr>
        <w:tblStyle w:val="TableGrid"/>
        <w:tblW w:w="9638" w:type="dxa"/>
        <w:tblLayout w:type="fixed"/>
        <w:tblLook w:val="0020" w:firstRow="1" w:lastRow="0" w:firstColumn="0" w:lastColumn="0" w:noHBand="0" w:noVBand="0"/>
      </w:tblPr>
      <w:tblGrid>
        <w:gridCol w:w="4815"/>
        <w:gridCol w:w="1205"/>
        <w:gridCol w:w="1206"/>
        <w:gridCol w:w="1206"/>
        <w:gridCol w:w="1206"/>
      </w:tblGrid>
      <w:tr w:rsidR="00CA3C5B" w14:paraId="74CF758F" w14:textId="77777777" w:rsidTr="002C0E0B">
        <w:trPr>
          <w:trHeight w:val="333"/>
        </w:trPr>
        <w:tc>
          <w:tcPr>
            <w:tcW w:w="4815" w:type="dxa"/>
          </w:tcPr>
          <w:p w14:paraId="1FDB55F6" w14:textId="28102F1F" w:rsidR="00CA3C5B" w:rsidRDefault="00260033" w:rsidP="002C0E0B">
            <w:pPr>
              <w:pStyle w:val="TableColumnHeading"/>
            </w:pPr>
            <w:bookmarkStart w:id="10" w:name="ColumnTitle_4"/>
            <w:bookmarkEnd w:id="10"/>
            <w:r>
              <w:t>Measure</w:t>
            </w:r>
            <w:r w:rsidR="00932420">
              <w:t xml:space="preserve"> </w:t>
            </w:r>
            <w:r>
              <w:t>(unit</w:t>
            </w:r>
            <w:r w:rsidR="00932420">
              <w:t xml:space="preserve"> </w:t>
            </w:r>
            <w:r>
              <w:t>of</w:t>
            </w:r>
            <w:r w:rsidR="00932420">
              <w:t xml:space="preserve"> </w:t>
            </w:r>
            <w:r>
              <w:t>measure)</w:t>
            </w:r>
          </w:p>
        </w:tc>
        <w:tc>
          <w:tcPr>
            <w:tcW w:w="1205" w:type="dxa"/>
          </w:tcPr>
          <w:p w14:paraId="3C7D77D6" w14:textId="77777777" w:rsidR="00CA3C5B" w:rsidRDefault="00260033" w:rsidP="002C0E0B">
            <w:pPr>
              <w:pStyle w:val="TableColumnHeading"/>
              <w:jc w:val="right"/>
            </w:pPr>
            <w:r>
              <w:t>2019–20</w:t>
            </w:r>
          </w:p>
        </w:tc>
        <w:tc>
          <w:tcPr>
            <w:tcW w:w="1206" w:type="dxa"/>
          </w:tcPr>
          <w:p w14:paraId="346B32CC" w14:textId="77777777" w:rsidR="00CA3C5B" w:rsidRDefault="00260033" w:rsidP="002C0E0B">
            <w:pPr>
              <w:pStyle w:val="TableColumnHeading"/>
              <w:jc w:val="right"/>
            </w:pPr>
            <w:r>
              <w:t>2020–21</w:t>
            </w:r>
          </w:p>
        </w:tc>
        <w:tc>
          <w:tcPr>
            <w:tcW w:w="1206" w:type="dxa"/>
          </w:tcPr>
          <w:p w14:paraId="0F887EB9" w14:textId="77777777" w:rsidR="00CA3C5B" w:rsidRDefault="00260033" w:rsidP="002C0E0B">
            <w:pPr>
              <w:pStyle w:val="TableColumnHeading"/>
              <w:jc w:val="right"/>
            </w:pPr>
            <w:r>
              <w:t>2021–22</w:t>
            </w:r>
          </w:p>
        </w:tc>
        <w:tc>
          <w:tcPr>
            <w:tcW w:w="1206" w:type="dxa"/>
          </w:tcPr>
          <w:p w14:paraId="0272450B" w14:textId="77777777" w:rsidR="00CA3C5B" w:rsidRDefault="00260033" w:rsidP="002C0E0B">
            <w:pPr>
              <w:pStyle w:val="TableColumnHeading"/>
              <w:jc w:val="right"/>
            </w:pPr>
            <w:r>
              <w:t>2022–23</w:t>
            </w:r>
          </w:p>
        </w:tc>
      </w:tr>
      <w:tr w:rsidR="00CA3C5B" w14:paraId="78F60992" w14:textId="77777777" w:rsidTr="002C0E0B">
        <w:trPr>
          <w:trHeight w:val="60"/>
        </w:trPr>
        <w:tc>
          <w:tcPr>
            <w:tcW w:w="4815" w:type="dxa"/>
          </w:tcPr>
          <w:p w14:paraId="55DDE27D" w14:textId="575F3A60" w:rsidR="00CA3C5B" w:rsidRDefault="00260033" w:rsidP="002C0E0B">
            <w:pPr>
              <w:pStyle w:val="TableCopy"/>
            </w:pPr>
            <w:r>
              <w:t>Engagement</w:t>
            </w:r>
            <w:r w:rsidR="00932420">
              <w:t xml:space="preserve"> </w:t>
            </w:r>
            <w:r>
              <w:t>with</w:t>
            </w:r>
            <w:r w:rsidR="00932420">
              <w:t xml:space="preserve"> </w:t>
            </w:r>
            <w:r>
              <w:t>businesses</w:t>
            </w:r>
            <w:r w:rsidR="00932420">
              <w:t xml:space="preserve"> </w:t>
            </w:r>
            <w:r>
              <w:t>(number)</w:t>
            </w:r>
          </w:p>
        </w:tc>
        <w:tc>
          <w:tcPr>
            <w:tcW w:w="1205" w:type="dxa"/>
          </w:tcPr>
          <w:p w14:paraId="3C46C9C6" w14:textId="77777777" w:rsidR="00CA3C5B" w:rsidRDefault="00260033" w:rsidP="002C0E0B">
            <w:pPr>
              <w:pStyle w:val="TableCopy"/>
              <w:jc w:val="right"/>
            </w:pPr>
            <w:r>
              <w:t>12,344</w:t>
            </w:r>
          </w:p>
        </w:tc>
        <w:tc>
          <w:tcPr>
            <w:tcW w:w="1206" w:type="dxa"/>
          </w:tcPr>
          <w:p w14:paraId="02B78E25" w14:textId="77777777" w:rsidR="00CA3C5B" w:rsidRDefault="00260033" w:rsidP="002C0E0B">
            <w:pPr>
              <w:pStyle w:val="TableCopy"/>
              <w:jc w:val="right"/>
            </w:pPr>
            <w:r>
              <w:t>14,772</w:t>
            </w:r>
          </w:p>
        </w:tc>
        <w:tc>
          <w:tcPr>
            <w:tcW w:w="1206" w:type="dxa"/>
          </w:tcPr>
          <w:p w14:paraId="56D4D36B" w14:textId="77777777" w:rsidR="00CA3C5B" w:rsidRDefault="00260033" w:rsidP="002C0E0B">
            <w:pPr>
              <w:pStyle w:val="TableCopy"/>
              <w:jc w:val="right"/>
            </w:pPr>
            <w:r>
              <w:t>15,142</w:t>
            </w:r>
          </w:p>
        </w:tc>
        <w:tc>
          <w:tcPr>
            <w:tcW w:w="1206" w:type="dxa"/>
          </w:tcPr>
          <w:p w14:paraId="3DBF8FA2" w14:textId="77777777" w:rsidR="00CA3C5B" w:rsidRDefault="00260033" w:rsidP="002C0E0B">
            <w:pPr>
              <w:pStyle w:val="TableCopy"/>
              <w:jc w:val="right"/>
            </w:pPr>
            <w:r>
              <w:t>15,034</w:t>
            </w:r>
          </w:p>
        </w:tc>
      </w:tr>
    </w:tbl>
    <w:p w14:paraId="11DA306F" w14:textId="77777777" w:rsidR="00CA3C5B" w:rsidRDefault="00CA3C5B" w:rsidP="002C0E0B"/>
    <w:p w14:paraId="7A80D8AE" w14:textId="7535D70E" w:rsidR="00CA3C5B" w:rsidRDefault="00260033" w:rsidP="002C0E0B">
      <w:pPr>
        <w:pStyle w:val="FigureHeading"/>
      </w:pPr>
      <w:r>
        <w:t>Figure</w:t>
      </w:r>
      <w:r w:rsidR="00932420">
        <w:t xml:space="preserve"> </w:t>
      </w:r>
      <w:r>
        <w:t>3:</w:t>
      </w:r>
      <w:r w:rsidR="00932420">
        <w:t xml:space="preserve"> </w:t>
      </w:r>
      <w:r>
        <w:t>Engagement</w:t>
      </w:r>
      <w:r w:rsidR="00932420">
        <w:t xml:space="preserve"> </w:t>
      </w:r>
      <w:r>
        <w:t>with</w:t>
      </w:r>
      <w:r w:rsidR="00932420">
        <w:t xml:space="preserve"> </w:t>
      </w:r>
      <w:r w:rsidR="002C0E0B">
        <w:t>Businesses</w:t>
      </w:r>
    </w:p>
    <w:p w14:paraId="3C057A8E" w14:textId="5BB29EFE" w:rsidR="00CA3C5B" w:rsidRDefault="002C0E0B" w:rsidP="002C0E0B">
      <w:r>
        <w:rPr>
          <w:noProof/>
        </w:rPr>
        <w:drawing>
          <wp:inline distT="0" distB="0" distL="0" distR="0" wp14:anchorId="6E8A605F" wp14:editId="72A21BA9">
            <wp:extent cx="3223550" cy="2156680"/>
            <wp:effectExtent l="0" t="0" r="0" b="0"/>
            <wp:docPr id="3" name="Picture 3" descr="Figure 3: Engagement with Businesse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Engagement with Businesses graph. Data in table above."/>
                    <pic:cNvPicPr/>
                  </pic:nvPicPr>
                  <pic:blipFill>
                    <a:blip r:embed="rId12"/>
                    <a:stretch>
                      <a:fillRect/>
                    </a:stretch>
                  </pic:blipFill>
                  <pic:spPr>
                    <a:xfrm>
                      <a:off x="0" y="0"/>
                      <a:ext cx="3251388" cy="2175305"/>
                    </a:xfrm>
                    <a:prstGeom prst="rect">
                      <a:avLst/>
                    </a:prstGeom>
                  </pic:spPr>
                </pic:pic>
              </a:graphicData>
            </a:graphic>
          </wp:inline>
        </w:drawing>
      </w:r>
    </w:p>
    <w:p w14:paraId="393B706E" w14:textId="6F0087D7" w:rsidR="00CA3C5B" w:rsidRDefault="00260033" w:rsidP="002C0E0B">
      <w:r>
        <w:t>In</w:t>
      </w:r>
      <w:r w:rsidR="00932420">
        <w:t xml:space="preserve"> </w:t>
      </w:r>
      <w:r>
        <w:t>2022–23,</w:t>
      </w:r>
      <w:r w:rsidR="00932420">
        <w:t xml:space="preserve"> </w:t>
      </w:r>
      <w:r>
        <w:t>the</w:t>
      </w:r>
      <w:r w:rsidR="00932420">
        <w:t xml:space="preserve"> </w:t>
      </w:r>
      <w:r>
        <w:t>department</w:t>
      </w:r>
      <w:r w:rsidR="00932420">
        <w:t xml:space="preserve"> </w:t>
      </w:r>
      <w:r>
        <w:t>recorded</w:t>
      </w:r>
      <w:r w:rsidR="00932420">
        <w:t xml:space="preserve"> </w:t>
      </w:r>
      <w:r>
        <w:t>over</w:t>
      </w:r>
      <w:r w:rsidR="00932420">
        <w:t xml:space="preserve"> </w:t>
      </w:r>
      <w:r>
        <w:t>15,000</w:t>
      </w:r>
      <w:r w:rsidR="00932420">
        <w:t xml:space="preserve"> </w:t>
      </w:r>
      <w:r>
        <w:t>interactions</w:t>
      </w:r>
      <w:r w:rsidR="00932420">
        <w:t xml:space="preserve"> </w:t>
      </w:r>
      <w:r>
        <w:t>with</w:t>
      </w:r>
      <w:r w:rsidR="00932420">
        <w:t xml:space="preserve"> </w:t>
      </w:r>
      <w:r>
        <w:t>businesses</w:t>
      </w:r>
      <w:r w:rsidR="00932420">
        <w:t xml:space="preserve"> </w:t>
      </w:r>
      <w:r>
        <w:t>through</w:t>
      </w:r>
      <w:r w:rsidR="00932420">
        <w:t xml:space="preserve"> </w:t>
      </w:r>
      <w:r>
        <w:t>meetings,</w:t>
      </w:r>
      <w:r w:rsidR="00932420">
        <w:t xml:space="preserve"> </w:t>
      </w:r>
      <w:r>
        <w:t>phone</w:t>
      </w:r>
      <w:r w:rsidR="00932420">
        <w:t xml:space="preserve"> </w:t>
      </w:r>
      <w:r>
        <w:t>calls</w:t>
      </w:r>
      <w:r w:rsidR="00932420">
        <w:t xml:space="preserve"> </w:t>
      </w:r>
      <w:r>
        <w:t>and</w:t>
      </w:r>
      <w:r w:rsidR="00932420">
        <w:t xml:space="preserve"> </w:t>
      </w:r>
      <w:r>
        <w:t>involvement</w:t>
      </w:r>
      <w:r w:rsidR="00932420">
        <w:t xml:space="preserve"> </w:t>
      </w:r>
      <w:r>
        <w:t>in</w:t>
      </w:r>
      <w:r w:rsidR="00932420">
        <w:t xml:space="preserve"> </w:t>
      </w:r>
      <w:r>
        <w:t>business</w:t>
      </w:r>
      <w:r w:rsidR="00932420">
        <w:t xml:space="preserve"> </w:t>
      </w:r>
      <w:r>
        <w:t>assistance</w:t>
      </w:r>
      <w:r w:rsidR="00932420">
        <w:t xml:space="preserve"> </w:t>
      </w:r>
      <w:r>
        <w:t>programs</w:t>
      </w:r>
      <w:r w:rsidR="00932420">
        <w:t xml:space="preserve"> </w:t>
      </w:r>
      <w:r>
        <w:t>–</w:t>
      </w:r>
      <w:r w:rsidR="00932420">
        <w:t xml:space="preserve"> </w:t>
      </w:r>
      <w:r>
        <w:t>an</w:t>
      </w:r>
      <w:r w:rsidR="00932420">
        <w:t xml:space="preserve"> </w:t>
      </w:r>
      <w:r>
        <w:t>increase</w:t>
      </w:r>
      <w:r w:rsidR="00932420">
        <w:t xml:space="preserve"> </w:t>
      </w:r>
      <w:r>
        <w:t>of</w:t>
      </w:r>
      <w:r w:rsidR="00932420">
        <w:t xml:space="preserve"> </w:t>
      </w:r>
      <w:r>
        <w:t>21.8%</w:t>
      </w:r>
      <w:r w:rsidR="00932420">
        <w:t xml:space="preserve"> </w:t>
      </w:r>
      <w:r>
        <w:t>over</w:t>
      </w:r>
      <w:r w:rsidR="00932420">
        <w:t xml:space="preserve"> </w:t>
      </w:r>
      <w:r>
        <w:t>the</w:t>
      </w:r>
      <w:r w:rsidR="00932420">
        <w:t xml:space="preserve"> </w:t>
      </w:r>
      <w:r>
        <w:t>2019–20</w:t>
      </w:r>
      <w:r w:rsidR="00932420">
        <w:t xml:space="preserve"> </w:t>
      </w:r>
      <w:r>
        <w:t>total</w:t>
      </w:r>
      <w:r w:rsidR="00932420">
        <w:t xml:space="preserve"> </w:t>
      </w:r>
      <w:r>
        <w:t>of</w:t>
      </w:r>
      <w:r w:rsidR="00932420">
        <w:t xml:space="preserve"> </w:t>
      </w:r>
      <w:r>
        <w:t>12,344</w:t>
      </w:r>
      <w:r w:rsidR="00932420">
        <w:t xml:space="preserve"> </w:t>
      </w:r>
      <w:r>
        <w:t>engagements.</w:t>
      </w:r>
      <w:r w:rsidR="00932420">
        <w:t xml:space="preserve"> </w:t>
      </w:r>
      <w:r>
        <w:t>These</w:t>
      </w:r>
      <w:r w:rsidR="00932420">
        <w:t xml:space="preserve"> </w:t>
      </w:r>
      <w:r>
        <w:t>engagements</w:t>
      </w:r>
      <w:r w:rsidR="00932420">
        <w:t xml:space="preserve"> </w:t>
      </w:r>
      <w:r>
        <w:t>reflect</w:t>
      </w:r>
      <w:r w:rsidR="00932420">
        <w:t xml:space="preserve"> </w:t>
      </w:r>
      <w:r>
        <w:t>a</w:t>
      </w:r>
      <w:r w:rsidR="00932420">
        <w:t xml:space="preserve"> </w:t>
      </w:r>
      <w:r>
        <w:t>range</w:t>
      </w:r>
      <w:r w:rsidR="00932420">
        <w:t xml:space="preserve"> </w:t>
      </w:r>
      <w:r>
        <w:t>of</w:t>
      </w:r>
      <w:r w:rsidR="00932420">
        <w:t xml:space="preserve"> </w:t>
      </w:r>
      <w:r>
        <w:t>activities</w:t>
      </w:r>
      <w:r w:rsidR="00932420">
        <w:t xml:space="preserve"> </w:t>
      </w:r>
      <w:r>
        <w:t>and</w:t>
      </w:r>
      <w:r w:rsidR="00932420">
        <w:t xml:space="preserve"> </w:t>
      </w:r>
      <w:r>
        <w:t>services</w:t>
      </w:r>
      <w:r w:rsidR="00932420">
        <w:t xml:space="preserve"> </w:t>
      </w:r>
      <w:r>
        <w:t>across</w:t>
      </w:r>
      <w:r w:rsidR="00932420">
        <w:t xml:space="preserve"> </w:t>
      </w:r>
      <w:r>
        <w:t>the</w:t>
      </w:r>
      <w:r w:rsidR="00932420">
        <w:t xml:space="preserve"> </w:t>
      </w:r>
      <w:r>
        <w:t>department.</w:t>
      </w:r>
      <w:r w:rsidR="00932420">
        <w:t xml:space="preserve"> </w:t>
      </w:r>
      <w:r>
        <w:t>Entities</w:t>
      </w:r>
      <w:r w:rsidR="00932420">
        <w:t xml:space="preserve"> </w:t>
      </w:r>
      <w:r>
        <w:t>engaged</w:t>
      </w:r>
      <w:r w:rsidR="00932420">
        <w:t xml:space="preserve"> </w:t>
      </w:r>
      <w:r>
        <w:t>range</w:t>
      </w:r>
      <w:r w:rsidR="00932420">
        <w:t xml:space="preserve"> </w:t>
      </w:r>
      <w:r>
        <w:t>from</w:t>
      </w:r>
      <w:r w:rsidR="00932420">
        <w:t xml:space="preserve"> </w:t>
      </w:r>
      <w:r>
        <w:t>small</w:t>
      </w:r>
      <w:r w:rsidR="00932420">
        <w:t xml:space="preserve"> </w:t>
      </w:r>
      <w:r>
        <w:t>businesses</w:t>
      </w:r>
      <w:r w:rsidR="00932420">
        <w:t xml:space="preserve"> </w:t>
      </w:r>
      <w:r>
        <w:t>to</w:t>
      </w:r>
      <w:r w:rsidR="00932420">
        <w:t xml:space="preserve"> </w:t>
      </w:r>
      <w:r>
        <w:t>large</w:t>
      </w:r>
      <w:r w:rsidR="00932420">
        <w:t xml:space="preserve"> </w:t>
      </w:r>
      <w:r>
        <w:t>employers</w:t>
      </w:r>
      <w:r w:rsidR="00932420">
        <w:t xml:space="preserve"> </w:t>
      </w:r>
      <w:r>
        <w:t>across</w:t>
      </w:r>
      <w:r w:rsidR="00932420">
        <w:t xml:space="preserve"> </w:t>
      </w:r>
      <w:r>
        <w:t>metropolitan</w:t>
      </w:r>
      <w:r w:rsidR="00932420">
        <w:t xml:space="preserve"> </w:t>
      </w:r>
      <w:r>
        <w:t>and</w:t>
      </w:r>
      <w:r w:rsidR="00932420">
        <w:t xml:space="preserve"> </w:t>
      </w:r>
      <w:r>
        <w:t>regional</w:t>
      </w:r>
      <w:r w:rsidR="00932420">
        <w:t xml:space="preserve"> </w:t>
      </w:r>
      <w:r>
        <w:t>Victoria,</w:t>
      </w:r>
      <w:r w:rsidR="00932420">
        <w:t xml:space="preserve"> </w:t>
      </w:r>
      <w:r>
        <w:t>in</w:t>
      </w:r>
      <w:r w:rsidR="00932420">
        <w:t xml:space="preserve"> </w:t>
      </w:r>
      <w:r>
        <w:t>areas</w:t>
      </w:r>
      <w:r w:rsidR="00932420">
        <w:t xml:space="preserve"> </w:t>
      </w:r>
      <w:r>
        <w:t>such</w:t>
      </w:r>
      <w:r w:rsidR="00932420">
        <w:t xml:space="preserve"> </w:t>
      </w:r>
      <w:r>
        <w:t>as</w:t>
      </w:r>
      <w:r w:rsidR="00932420">
        <w:t xml:space="preserve"> </w:t>
      </w:r>
      <w:r>
        <w:t>investment,</w:t>
      </w:r>
      <w:r w:rsidR="00932420">
        <w:t xml:space="preserve"> </w:t>
      </w:r>
      <w:r>
        <w:t>trade,</w:t>
      </w:r>
      <w:r w:rsidR="00932420">
        <w:t xml:space="preserve"> </w:t>
      </w:r>
      <w:r>
        <w:t>employment</w:t>
      </w:r>
      <w:r w:rsidR="00932420">
        <w:t xml:space="preserve"> </w:t>
      </w:r>
      <w:r>
        <w:t>and</w:t>
      </w:r>
      <w:r w:rsidR="00932420">
        <w:t xml:space="preserve"> </w:t>
      </w:r>
      <w:r>
        <w:t>skills,</w:t>
      </w:r>
      <w:r w:rsidR="00932420">
        <w:t xml:space="preserve"> </w:t>
      </w:r>
      <w:r>
        <w:t>agriculture,</w:t>
      </w:r>
      <w:r w:rsidR="00932420">
        <w:t xml:space="preserve"> </w:t>
      </w:r>
      <w:r>
        <w:t>digital</w:t>
      </w:r>
      <w:r w:rsidR="00932420">
        <w:t xml:space="preserve"> </w:t>
      </w:r>
      <w:r>
        <w:t>and</w:t>
      </w:r>
      <w:r w:rsidR="00932420">
        <w:t xml:space="preserve"> </w:t>
      </w:r>
      <w:r>
        <w:t>ICT,</w:t>
      </w:r>
      <w:r w:rsidR="00932420">
        <w:t xml:space="preserve"> </w:t>
      </w:r>
      <w:r>
        <w:t>creative</w:t>
      </w:r>
      <w:r w:rsidR="00932420">
        <w:t xml:space="preserve"> </w:t>
      </w:r>
      <w:r>
        <w:t>industries</w:t>
      </w:r>
      <w:r w:rsidR="00932420">
        <w:t xml:space="preserve"> </w:t>
      </w:r>
      <w:r>
        <w:t>and</w:t>
      </w:r>
      <w:r w:rsidR="00932420">
        <w:t xml:space="preserve"> </w:t>
      </w:r>
      <w:r>
        <w:t>tourism.</w:t>
      </w:r>
      <w:r w:rsidR="00932420">
        <w:t xml:space="preserve"> </w:t>
      </w:r>
    </w:p>
    <w:p w14:paraId="3854F371" w14:textId="2BEFD109" w:rsidR="00CA3C5B" w:rsidRDefault="00260033" w:rsidP="002C0E0B">
      <w:r>
        <w:t>In</w:t>
      </w:r>
      <w:r w:rsidR="00932420">
        <w:t xml:space="preserve"> </w:t>
      </w:r>
      <w:r>
        <w:t>addition</w:t>
      </w:r>
      <w:r w:rsidR="00932420">
        <w:t xml:space="preserve"> </w:t>
      </w:r>
      <w:r>
        <w:t>to</w:t>
      </w:r>
      <w:r w:rsidR="00932420">
        <w:t xml:space="preserve"> </w:t>
      </w:r>
      <w:r>
        <w:t>these</w:t>
      </w:r>
      <w:r w:rsidR="00932420">
        <w:t xml:space="preserve"> </w:t>
      </w:r>
      <w:r>
        <w:t>engagements</w:t>
      </w:r>
      <w:r w:rsidR="00932420">
        <w:t xml:space="preserve"> </w:t>
      </w:r>
      <w:r>
        <w:t>through</w:t>
      </w:r>
      <w:r w:rsidR="00932420">
        <w:t xml:space="preserve"> </w:t>
      </w:r>
      <w:r>
        <w:t>core</w:t>
      </w:r>
      <w:r w:rsidR="00932420">
        <w:t xml:space="preserve"> </w:t>
      </w:r>
      <w:r>
        <w:t>service</w:t>
      </w:r>
      <w:r w:rsidR="00932420">
        <w:t xml:space="preserve"> </w:t>
      </w:r>
      <w:r>
        <w:t>delivery,</w:t>
      </w:r>
      <w:r w:rsidR="00932420">
        <w:t xml:space="preserve"> </w:t>
      </w:r>
      <w:r>
        <w:t>a</w:t>
      </w:r>
      <w:r w:rsidR="00932420">
        <w:t xml:space="preserve"> </w:t>
      </w:r>
      <w:r>
        <w:t>high</w:t>
      </w:r>
      <w:r w:rsidR="00932420">
        <w:t xml:space="preserve"> </w:t>
      </w:r>
      <w:r>
        <w:t>volume</w:t>
      </w:r>
      <w:r w:rsidR="00932420">
        <w:t xml:space="preserve"> </w:t>
      </w:r>
      <w:r>
        <w:t>of</w:t>
      </w:r>
      <w:r w:rsidR="00932420">
        <w:t xml:space="preserve"> </w:t>
      </w:r>
      <w:r>
        <w:t>flood</w:t>
      </w:r>
      <w:r w:rsidR="00932420">
        <w:t xml:space="preserve"> </w:t>
      </w:r>
      <w:r>
        <w:t>relief-related</w:t>
      </w:r>
      <w:r w:rsidR="00932420">
        <w:t xml:space="preserve"> </w:t>
      </w:r>
      <w:r>
        <w:t>engagement</w:t>
      </w:r>
      <w:r w:rsidR="00932420">
        <w:t xml:space="preserve"> </w:t>
      </w:r>
      <w:r>
        <w:t>was</w:t>
      </w:r>
      <w:r w:rsidR="00932420">
        <w:t xml:space="preserve"> </w:t>
      </w:r>
      <w:r>
        <w:t>undertaken</w:t>
      </w:r>
      <w:r w:rsidR="00932420">
        <w:t xml:space="preserve"> </w:t>
      </w:r>
      <w:r>
        <w:t>to</w:t>
      </w:r>
      <w:r w:rsidR="00932420">
        <w:t xml:space="preserve"> </w:t>
      </w:r>
      <w:r>
        <w:t>support</w:t>
      </w:r>
      <w:r w:rsidR="00932420">
        <w:t xml:space="preserve"> </w:t>
      </w:r>
      <w:r>
        <w:t>impacted</w:t>
      </w:r>
      <w:r w:rsidR="00932420">
        <w:t xml:space="preserve"> </w:t>
      </w:r>
      <w:r>
        <w:t>businesses,</w:t>
      </w:r>
      <w:r w:rsidR="00932420">
        <w:t xml:space="preserve"> </w:t>
      </w:r>
      <w:r>
        <w:t>with</w:t>
      </w:r>
      <w:r w:rsidR="00932420">
        <w:t xml:space="preserve"> </w:t>
      </w:r>
      <w:r>
        <w:t>grant</w:t>
      </w:r>
      <w:r w:rsidR="00932420">
        <w:t xml:space="preserve"> </w:t>
      </w:r>
      <w:r>
        <w:t>payments</w:t>
      </w:r>
      <w:r w:rsidR="00932420">
        <w:t xml:space="preserve"> </w:t>
      </w:r>
      <w:r>
        <w:t>made</w:t>
      </w:r>
      <w:r w:rsidR="00932420">
        <w:t xml:space="preserve"> </w:t>
      </w:r>
      <w:r>
        <w:t>to</w:t>
      </w:r>
      <w:r w:rsidR="00932420">
        <w:t xml:space="preserve"> </w:t>
      </w:r>
      <w:r>
        <w:t>over</w:t>
      </w:r>
      <w:r w:rsidR="00932420">
        <w:t xml:space="preserve"> </w:t>
      </w:r>
      <w:r>
        <w:t>7,700</w:t>
      </w:r>
      <w:r w:rsidR="00932420">
        <w:t xml:space="preserve"> </w:t>
      </w:r>
      <w:r>
        <w:t>eligible</w:t>
      </w:r>
      <w:r w:rsidR="00932420">
        <w:t xml:space="preserve"> </w:t>
      </w:r>
      <w:r>
        <w:t>businesses.</w:t>
      </w:r>
      <w:r w:rsidR="00932420">
        <w:t xml:space="preserve"> </w:t>
      </w:r>
      <w:r>
        <w:t>This</w:t>
      </w:r>
      <w:r w:rsidR="00932420">
        <w:t xml:space="preserve"> </w:t>
      </w:r>
      <w:r>
        <w:t>was</w:t>
      </w:r>
      <w:r w:rsidR="00932420">
        <w:t xml:space="preserve"> </w:t>
      </w:r>
      <w:r>
        <w:t>due</w:t>
      </w:r>
      <w:r w:rsidR="00932420">
        <w:t xml:space="preserve"> </w:t>
      </w:r>
      <w:r>
        <w:t>to</w:t>
      </w:r>
      <w:r w:rsidR="00932420">
        <w:t xml:space="preserve"> </w:t>
      </w:r>
      <w:r>
        <w:t>the</w:t>
      </w:r>
      <w:r w:rsidR="00932420">
        <w:t xml:space="preserve"> </w:t>
      </w:r>
      <w:r>
        <w:t>one-off</w:t>
      </w:r>
      <w:r w:rsidR="00932420">
        <w:t xml:space="preserve"> </w:t>
      </w:r>
      <w:r>
        <w:t>nature</w:t>
      </w:r>
      <w:r w:rsidR="00932420">
        <w:t xml:space="preserve"> </w:t>
      </w:r>
      <w:r>
        <w:t>of</w:t>
      </w:r>
      <w:r w:rsidR="00932420">
        <w:t xml:space="preserve"> </w:t>
      </w:r>
      <w:r>
        <w:t>the</w:t>
      </w:r>
      <w:r w:rsidR="00932420">
        <w:t xml:space="preserve"> </w:t>
      </w:r>
      <w:r>
        <w:t>funded</w:t>
      </w:r>
      <w:r w:rsidR="00932420">
        <w:t xml:space="preserve"> </w:t>
      </w:r>
      <w:r>
        <w:t>programs</w:t>
      </w:r>
      <w:r w:rsidR="00932420">
        <w:t xml:space="preserve"> </w:t>
      </w:r>
      <w:r>
        <w:t>and</w:t>
      </w:r>
      <w:r w:rsidR="00932420">
        <w:t xml:space="preserve"> </w:t>
      </w:r>
      <w:r>
        <w:t>resourcing</w:t>
      </w:r>
      <w:r w:rsidR="00932420">
        <w:t xml:space="preserve"> </w:t>
      </w:r>
      <w:r>
        <w:t>specifically</w:t>
      </w:r>
      <w:r w:rsidR="00932420">
        <w:t xml:space="preserve"> </w:t>
      </w:r>
      <w:r>
        <w:t>directed</w:t>
      </w:r>
      <w:r w:rsidR="00932420">
        <w:t xml:space="preserve"> </w:t>
      </w:r>
      <w:r>
        <w:t>towards</w:t>
      </w:r>
      <w:r w:rsidR="00932420">
        <w:t xml:space="preserve"> </w:t>
      </w:r>
      <w:r>
        <w:t>supporting</w:t>
      </w:r>
      <w:r w:rsidR="00932420">
        <w:t xml:space="preserve"> </w:t>
      </w:r>
      <w:r>
        <w:t>businesses</w:t>
      </w:r>
      <w:r w:rsidR="00932420">
        <w:t xml:space="preserve"> </w:t>
      </w:r>
      <w:r>
        <w:t>affected</w:t>
      </w:r>
      <w:r w:rsidR="00932420">
        <w:t xml:space="preserve"> </w:t>
      </w:r>
      <w:r>
        <w:t>by</w:t>
      </w:r>
      <w:r w:rsidR="00932420">
        <w:t xml:space="preserve"> </w:t>
      </w:r>
      <w:r>
        <w:t>flood</w:t>
      </w:r>
      <w:r w:rsidR="00932420">
        <w:t xml:space="preserve"> </w:t>
      </w:r>
      <w:r>
        <w:t>events</w:t>
      </w:r>
      <w:r w:rsidR="00932420">
        <w:t xml:space="preserve"> </w:t>
      </w:r>
      <w:r>
        <w:t>during</w:t>
      </w:r>
      <w:r w:rsidR="00932420">
        <w:t xml:space="preserve"> </w:t>
      </w:r>
      <w:r>
        <w:t>this</w:t>
      </w:r>
      <w:r w:rsidR="00932420">
        <w:t xml:space="preserve"> </w:t>
      </w:r>
      <w:r>
        <w:t>period.</w:t>
      </w:r>
      <w:r w:rsidR="00932420">
        <w:t xml:space="preserve"> </w:t>
      </w:r>
    </w:p>
    <w:p w14:paraId="2E0C1AD5" w14:textId="342B2B7A" w:rsidR="00CA3C5B" w:rsidRDefault="00260033" w:rsidP="002C0E0B">
      <w:r>
        <w:t>The</w:t>
      </w:r>
      <w:r w:rsidR="00932420">
        <w:t xml:space="preserve"> </w:t>
      </w:r>
      <w:r>
        <w:t>Victorian</w:t>
      </w:r>
      <w:r w:rsidR="00932420">
        <w:t xml:space="preserve"> </w:t>
      </w:r>
      <w:r>
        <w:t>Government’s</w:t>
      </w:r>
      <w:r w:rsidR="00932420">
        <w:t xml:space="preserve"> </w:t>
      </w:r>
      <w:r>
        <w:t>annual</w:t>
      </w:r>
      <w:r w:rsidR="00932420">
        <w:t xml:space="preserve"> </w:t>
      </w:r>
      <w:r>
        <w:t>Digital</w:t>
      </w:r>
      <w:r w:rsidR="00932420">
        <w:t xml:space="preserve"> </w:t>
      </w:r>
      <w:r>
        <w:t>Innovation</w:t>
      </w:r>
      <w:r w:rsidR="00932420">
        <w:t xml:space="preserve"> </w:t>
      </w:r>
      <w:r>
        <w:t>Festival</w:t>
      </w:r>
      <w:r w:rsidR="00932420">
        <w:t xml:space="preserve"> </w:t>
      </w:r>
      <w:r>
        <w:t>offered</w:t>
      </w:r>
      <w:r w:rsidR="00932420">
        <w:t xml:space="preserve"> </w:t>
      </w:r>
      <w:r>
        <w:t>245</w:t>
      </w:r>
      <w:r w:rsidR="00932420">
        <w:t xml:space="preserve"> </w:t>
      </w:r>
      <w:r>
        <w:t>live</w:t>
      </w:r>
      <w:r w:rsidR="00932420">
        <w:t xml:space="preserve"> </w:t>
      </w:r>
      <w:r>
        <w:t>and</w:t>
      </w:r>
      <w:r w:rsidR="00932420">
        <w:t xml:space="preserve"> </w:t>
      </w:r>
      <w:r>
        <w:t>on-demand</w:t>
      </w:r>
      <w:r w:rsidR="00932420">
        <w:t xml:space="preserve"> </w:t>
      </w:r>
      <w:r>
        <w:t>sessions</w:t>
      </w:r>
      <w:r w:rsidR="00932420">
        <w:t xml:space="preserve"> </w:t>
      </w:r>
      <w:r>
        <w:t>supporting</w:t>
      </w:r>
      <w:r w:rsidR="00932420">
        <w:t xml:space="preserve"> </w:t>
      </w:r>
      <w:r>
        <w:t>20,000</w:t>
      </w:r>
      <w:r w:rsidR="00932420">
        <w:t xml:space="preserve"> </w:t>
      </w:r>
      <w:r>
        <w:t>Victorians</w:t>
      </w:r>
      <w:r w:rsidR="00932420">
        <w:t xml:space="preserve"> </w:t>
      </w:r>
      <w:r>
        <w:t>to</w:t>
      </w:r>
      <w:r w:rsidR="00932420">
        <w:t xml:space="preserve"> </w:t>
      </w:r>
      <w:r>
        <w:t>upskill,</w:t>
      </w:r>
      <w:r w:rsidR="00932420">
        <w:t xml:space="preserve"> </w:t>
      </w:r>
      <w:r>
        <w:t>connect</w:t>
      </w:r>
      <w:r w:rsidR="00932420">
        <w:t xml:space="preserve"> </w:t>
      </w:r>
      <w:r>
        <w:t>and</w:t>
      </w:r>
      <w:r w:rsidR="00932420">
        <w:t xml:space="preserve"> </w:t>
      </w:r>
      <w:r>
        <w:t>share</w:t>
      </w:r>
      <w:r w:rsidR="00932420">
        <w:t xml:space="preserve"> </w:t>
      </w:r>
      <w:r>
        <w:t>knowledge.</w:t>
      </w:r>
      <w:r w:rsidR="00932420">
        <w:t xml:space="preserve"> </w:t>
      </w:r>
      <w:r>
        <w:t>Other</w:t>
      </w:r>
      <w:r w:rsidR="00932420">
        <w:t xml:space="preserve"> </w:t>
      </w:r>
      <w:r>
        <w:t>industry</w:t>
      </w:r>
      <w:r w:rsidR="00932420">
        <w:t xml:space="preserve"> </w:t>
      </w:r>
      <w:r>
        <w:t>events</w:t>
      </w:r>
      <w:r w:rsidR="00932420">
        <w:t xml:space="preserve"> </w:t>
      </w:r>
      <w:r>
        <w:t>supported</w:t>
      </w:r>
      <w:r w:rsidR="00932420">
        <w:t xml:space="preserve"> </w:t>
      </w:r>
      <w:r>
        <w:t>by</w:t>
      </w:r>
      <w:r w:rsidR="00932420">
        <w:t xml:space="preserve"> </w:t>
      </w:r>
      <w:r>
        <w:t>the</w:t>
      </w:r>
      <w:r w:rsidR="00932420">
        <w:t xml:space="preserve"> </w:t>
      </w:r>
      <w:r>
        <w:t>department</w:t>
      </w:r>
      <w:r w:rsidR="00932420">
        <w:t xml:space="preserve"> </w:t>
      </w:r>
      <w:r>
        <w:t>further</w:t>
      </w:r>
      <w:r w:rsidR="00932420">
        <w:t xml:space="preserve"> </w:t>
      </w:r>
      <w:r>
        <w:t>stimulated</w:t>
      </w:r>
      <w:r w:rsidR="00932420">
        <w:t xml:space="preserve"> </w:t>
      </w:r>
      <w:r>
        <w:t>the</w:t>
      </w:r>
      <w:r w:rsidR="00932420">
        <w:t xml:space="preserve"> </w:t>
      </w:r>
      <w:r>
        <w:t>digital</w:t>
      </w:r>
      <w:r w:rsidR="00932420">
        <w:t xml:space="preserve"> </w:t>
      </w:r>
      <w:r>
        <w:t>economy,</w:t>
      </w:r>
      <w:r w:rsidR="00932420">
        <w:t xml:space="preserve"> </w:t>
      </w:r>
      <w:r>
        <w:t>including</w:t>
      </w:r>
      <w:r w:rsidR="00932420">
        <w:t xml:space="preserve"> </w:t>
      </w:r>
      <w:r>
        <w:t>the</w:t>
      </w:r>
      <w:r w:rsidR="00932420">
        <w:t xml:space="preserve"> </w:t>
      </w:r>
      <w:r>
        <w:t>AIIA</w:t>
      </w:r>
      <w:r w:rsidR="00932420">
        <w:t xml:space="preserve"> </w:t>
      </w:r>
      <w:r>
        <w:t>state</w:t>
      </w:r>
      <w:r w:rsidR="00932420">
        <w:t xml:space="preserve"> </w:t>
      </w:r>
      <w:r>
        <w:t>and</w:t>
      </w:r>
      <w:r w:rsidR="00932420">
        <w:t xml:space="preserve"> </w:t>
      </w:r>
      <w:r>
        <w:t>national</w:t>
      </w:r>
      <w:r w:rsidR="00932420">
        <w:t xml:space="preserve"> </w:t>
      </w:r>
      <w:proofErr w:type="spellStart"/>
      <w:r>
        <w:t>iAwards</w:t>
      </w:r>
      <w:proofErr w:type="spellEnd"/>
      <w:r>
        <w:t>,</w:t>
      </w:r>
      <w:r w:rsidR="00932420">
        <w:t xml:space="preserve"> </w:t>
      </w:r>
      <w:proofErr w:type="spellStart"/>
      <w:r>
        <w:t>Intersekt</w:t>
      </w:r>
      <w:proofErr w:type="spellEnd"/>
      <w:r w:rsidR="00932420">
        <w:t xml:space="preserve"> </w:t>
      </w:r>
      <w:r>
        <w:t>Fintech</w:t>
      </w:r>
      <w:r w:rsidR="00932420">
        <w:t xml:space="preserve"> </w:t>
      </w:r>
      <w:r>
        <w:t>Conference,</w:t>
      </w:r>
      <w:r w:rsidR="00932420">
        <w:t xml:space="preserve"> </w:t>
      </w:r>
      <w:r>
        <w:t>National</w:t>
      </w:r>
      <w:r w:rsidR="00932420">
        <w:t xml:space="preserve"> </w:t>
      </w:r>
      <w:proofErr w:type="spellStart"/>
      <w:r>
        <w:t>Finnies</w:t>
      </w:r>
      <w:proofErr w:type="spellEnd"/>
      <w:r w:rsidR="00932420">
        <w:t xml:space="preserve"> </w:t>
      </w:r>
      <w:r>
        <w:t>Fintech</w:t>
      </w:r>
      <w:r w:rsidR="00932420">
        <w:t xml:space="preserve"> </w:t>
      </w:r>
      <w:r>
        <w:t>Awards,</w:t>
      </w:r>
      <w:r w:rsidR="00932420">
        <w:t xml:space="preserve"> </w:t>
      </w:r>
      <w:r>
        <w:t>Australian</w:t>
      </w:r>
      <w:r w:rsidR="00932420">
        <w:t xml:space="preserve"> </w:t>
      </w:r>
      <w:r>
        <w:t>Cyber</w:t>
      </w:r>
      <w:r w:rsidR="00932420">
        <w:t xml:space="preserve"> </w:t>
      </w:r>
      <w:r>
        <w:t>Conference,</w:t>
      </w:r>
      <w:r w:rsidR="00932420">
        <w:t xml:space="preserve"> </w:t>
      </w:r>
      <w:proofErr w:type="gramStart"/>
      <w:r>
        <w:t>Connecting</w:t>
      </w:r>
      <w:r w:rsidR="00932420">
        <w:t xml:space="preserve"> </w:t>
      </w:r>
      <w:r>
        <w:t>Up</w:t>
      </w:r>
      <w:proofErr w:type="gramEnd"/>
      <w:r w:rsidR="00932420">
        <w:t xml:space="preserve"> </w:t>
      </w:r>
      <w:r>
        <w:t>Conference</w:t>
      </w:r>
      <w:r w:rsidR="00932420">
        <w:t xml:space="preserve"> </w:t>
      </w:r>
      <w:r>
        <w:t>and</w:t>
      </w:r>
      <w:r w:rsidR="00932420">
        <w:t xml:space="preserve"> </w:t>
      </w:r>
      <w:r>
        <w:t>Awards,</w:t>
      </w:r>
      <w:r w:rsidR="00932420">
        <w:t xml:space="preserve"> </w:t>
      </w:r>
      <w:r>
        <w:t>the</w:t>
      </w:r>
      <w:r w:rsidR="00932420">
        <w:t xml:space="preserve"> </w:t>
      </w:r>
      <w:r>
        <w:t>inaugural</w:t>
      </w:r>
      <w:r w:rsidR="00932420">
        <w:t xml:space="preserve"> </w:t>
      </w:r>
      <w:r>
        <w:t>Data</w:t>
      </w:r>
      <w:r w:rsidR="00932420">
        <w:t xml:space="preserve"> </w:t>
      </w:r>
      <w:r>
        <w:t>Informed</w:t>
      </w:r>
      <w:r w:rsidR="00932420">
        <w:t xml:space="preserve"> </w:t>
      </w:r>
      <w:r>
        <w:t>Design</w:t>
      </w:r>
      <w:r w:rsidR="00932420">
        <w:t xml:space="preserve"> </w:t>
      </w:r>
      <w:r>
        <w:t>Conference</w:t>
      </w:r>
      <w:r w:rsidR="00932420">
        <w:t xml:space="preserve"> </w:t>
      </w:r>
      <w:r>
        <w:t>and</w:t>
      </w:r>
      <w:r w:rsidR="00932420">
        <w:t xml:space="preserve"> </w:t>
      </w:r>
      <w:r>
        <w:t>the</w:t>
      </w:r>
      <w:r w:rsidR="00932420">
        <w:t xml:space="preserve"> </w:t>
      </w:r>
      <w:r>
        <w:t>Tech</w:t>
      </w:r>
      <w:r w:rsidR="00932420">
        <w:t xml:space="preserve"> </w:t>
      </w:r>
      <w:r>
        <w:t>Diversity</w:t>
      </w:r>
      <w:r w:rsidR="00932420">
        <w:t xml:space="preserve"> </w:t>
      </w:r>
      <w:r>
        <w:t>Awards.</w:t>
      </w:r>
    </w:p>
    <w:p w14:paraId="216E1C9F" w14:textId="40345AF0" w:rsidR="00CA3C5B" w:rsidRDefault="00260033" w:rsidP="002C0E0B">
      <w:r>
        <w:lastRenderedPageBreak/>
        <w:t>In</w:t>
      </w:r>
      <w:r w:rsidR="00932420">
        <w:t xml:space="preserve"> </w:t>
      </w:r>
      <w:r>
        <w:t>2022–23,</w:t>
      </w:r>
      <w:r w:rsidR="00932420">
        <w:t xml:space="preserve"> </w:t>
      </w:r>
      <w:r>
        <w:t>the</w:t>
      </w:r>
      <w:r w:rsidR="00932420">
        <w:t xml:space="preserve"> </w:t>
      </w:r>
      <w:r>
        <w:t>department</w:t>
      </w:r>
      <w:r w:rsidR="00932420">
        <w:t xml:space="preserve"> </w:t>
      </w:r>
      <w:r>
        <w:t>engaged</w:t>
      </w:r>
      <w:r w:rsidR="00932420">
        <w:t xml:space="preserve"> </w:t>
      </w:r>
      <w:r>
        <w:t>with</w:t>
      </w:r>
      <w:r w:rsidR="00932420">
        <w:t xml:space="preserve"> </w:t>
      </w:r>
      <w:r>
        <w:t>over</w:t>
      </w:r>
      <w:r w:rsidR="00932420">
        <w:t xml:space="preserve"> </w:t>
      </w:r>
      <w:r>
        <w:t>1,600</w:t>
      </w:r>
      <w:r w:rsidR="00932420">
        <w:t xml:space="preserve"> </w:t>
      </w:r>
      <w:r>
        <w:t>strategic</w:t>
      </w:r>
      <w:r w:rsidR="00932420">
        <w:t xml:space="preserve"> </w:t>
      </w:r>
      <w:r>
        <w:t>priority</w:t>
      </w:r>
      <w:r w:rsidR="00932420">
        <w:t xml:space="preserve"> </w:t>
      </w:r>
      <w:r>
        <w:t>businesses</w:t>
      </w:r>
      <w:r w:rsidR="00932420">
        <w:t xml:space="preserve"> </w:t>
      </w:r>
      <w:r>
        <w:t>regarding</w:t>
      </w:r>
      <w:r w:rsidR="00932420">
        <w:t xml:space="preserve"> </w:t>
      </w:r>
      <w:r>
        <w:t>investment</w:t>
      </w:r>
      <w:r w:rsidR="00932420">
        <w:t xml:space="preserve"> </w:t>
      </w:r>
      <w:r>
        <w:t>and</w:t>
      </w:r>
      <w:r w:rsidR="00932420">
        <w:t xml:space="preserve"> </w:t>
      </w:r>
      <w:r>
        <w:t>growth</w:t>
      </w:r>
      <w:r w:rsidR="00932420">
        <w:t xml:space="preserve"> </w:t>
      </w:r>
      <w:r>
        <w:t>opportunities</w:t>
      </w:r>
      <w:r w:rsidR="00932420">
        <w:t xml:space="preserve"> </w:t>
      </w:r>
      <w:r>
        <w:t>in</w:t>
      </w:r>
      <w:r w:rsidR="00932420">
        <w:t xml:space="preserve"> </w:t>
      </w:r>
      <w:r>
        <w:t>Victoria.</w:t>
      </w:r>
      <w:r w:rsidR="00932420">
        <w:t xml:space="preserve"> </w:t>
      </w:r>
      <w:r>
        <w:t>This</w:t>
      </w:r>
      <w:r w:rsidR="00932420">
        <w:t xml:space="preserve"> </w:t>
      </w:r>
      <w:r>
        <w:t>cohort</w:t>
      </w:r>
      <w:r w:rsidR="00932420">
        <w:t xml:space="preserve"> </w:t>
      </w:r>
      <w:r>
        <w:t>of</w:t>
      </w:r>
      <w:r w:rsidR="00932420">
        <w:t xml:space="preserve"> </w:t>
      </w:r>
      <w:r>
        <w:t>large,</w:t>
      </w:r>
      <w:r w:rsidR="00932420">
        <w:t xml:space="preserve"> </w:t>
      </w:r>
      <w:proofErr w:type="gramStart"/>
      <w:r>
        <w:t>medium</w:t>
      </w:r>
      <w:proofErr w:type="gramEnd"/>
      <w:r w:rsidR="00932420">
        <w:t xml:space="preserve"> </w:t>
      </w:r>
      <w:r>
        <w:t>and</w:t>
      </w:r>
      <w:r w:rsidR="00932420">
        <w:t xml:space="preserve"> </w:t>
      </w:r>
      <w:r>
        <w:t>growing</w:t>
      </w:r>
      <w:r w:rsidR="00932420">
        <w:t xml:space="preserve"> </w:t>
      </w:r>
      <w:r>
        <w:t>businesses</w:t>
      </w:r>
      <w:r w:rsidR="00932420">
        <w:t xml:space="preserve"> </w:t>
      </w:r>
      <w:r>
        <w:t>included</w:t>
      </w:r>
      <w:r w:rsidR="00932420">
        <w:t xml:space="preserve"> </w:t>
      </w:r>
      <w:r>
        <w:t>firms</w:t>
      </w:r>
      <w:r w:rsidR="00932420">
        <w:t xml:space="preserve"> </w:t>
      </w:r>
      <w:r>
        <w:t>considering</w:t>
      </w:r>
      <w:r w:rsidR="00932420">
        <w:t xml:space="preserve"> </w:t>
      </w:r>
      <w:r>
        <w:t>investment</w:t>
      </w:r>
      <w:r w:rsidR="00932420">
        <w:t xml:space="preserve"> </w:t>
      </w:r>
      <w:r>
        <w:t>as</w:t>
      </w:r>
      <w:r w:rsidR="00932420">
        <w:t xml:space="preserve"> </w:t>
      </w:r>
      <w:r>
        <w:t>well</w:t>
      </w:r>
      <w:r w:rsidR="00932420">
        <w:t xml:space="preserve"> </w:t>
      </w:r>
      <w:r>
        <w:t>as</w:t>
      </w:r>
      <w:r w:rsidR="00932420">
        <w:t xml:space="preserve"> </w:t>
      </w:r>
      <w:r>
        <w:t>employers</w:t>
      </w:r>
      <w:r w:rsidR="00932420">
        <w:t xml:space="preserve"> </w:t>
      </w:r>
      <w:r>
        <w:t>and</w:t>
      </w:r>
      <w:r w:rsidR="00932420">
        <w:t xml:space="preserve"> </w:t>
      </w:r>
      <w:r>
        <w:t>providers</w:t>
      </w:r>
      <w:r w:rsidR="00932420">
        <w:t xml:space="preserve"> </w:t>
      </w:r>
      <w:r>
        <w:t>of</w:t>
      </w:r>
      <w:r w:rsidR="00932420">
        <w:t xml:space="preserve"> </w:t>
      </w:r>
      <w:r>
        <w:t>critical</w:t>
      </w:r>
      <w:r w:rsidR="00932420">
        <w:t xml:space="preserve"> </w:t>
      </w:r>
      <w:r>
        <w:t>goods</w:t>
      </w:r>
      <w:r w:rsidR="00932420">
        <w:t xml:space="preserve"> </w:t>
      </w:r>
      <w:r>
        <w:t>and</w:t>
      </w:r>
      <w:r w:rsidR="00932420">
        <w:t xml:space="preserve"> </w:t>
      </w:r>
      <w:r>
        <w:t>services</w:t>
      </w:r>
      <w:r w:rsidR="00932420">
        <w:t xml:space="preserve"> </w:t>
      </w:r>
      <w:r>
        <w:t>of</w:t>
      </w:r>
      <w:r w:rsidR="00932420">
        <w:t xml:space="preserve"> </w:t>
      </w:r>
      <w:r>
        <w:t>strategic</w:t>
      </w:r>
      <w:r w:rsidR="00932420">
        <w:t xml:space="preserve"> </w:t>
      </w:r>
      <w:r>
        <w:t>importance</w:t>
      </w:r>
      <w:r w:rsidR="00932420">
        <w:t xml:space="preserve"> </w:t>
      </w:r>
      <w:r>
        <w:t>to</w:t>
      </w:r>
      <w:r w:rsidR="00932420">
        <w:t xml:space="preserve"> </w:t>
      </w:r>
      <w:r>
        <w:t>the</w:t>
      </w:r>
      <w:r w:rsidR="00932420">
        <w:t xml:space="preserve"> </w:t>
      </w:r>
      <w:r>
        <w:t>state.</w:t>
      </w:r>
      <w:r w:rsidR="00932420">
        <w:t xml:space="preserve"> </w:t>
      </w:r>
    </w:p>
    <w:p w14:paraId="184CBEEE" w14:textId="4EA4B3D9" w:rsidR="00CA3C5B" w:rsidRDefault="00260033" w:rsidP="002C0E0B">
      <w:r>
        <w:t>Small</w:t>
      </w:r>
      <w:r w:rsidR="00932420">
        <w:t xml:space="preserve"> </w:t>
      </w:r>
      <w:r>
        <w:t>Business</w:t>
      </w:r>
      <w:r w:rsidR="00932420">
        <w:t xml:space="preserve"> </w:t>
      </w:r>
      <w:r>
        <w:t>Victoria</w:t>
      </w:r>
      <w:r w:rsidR="00932420">
        <w:t xml:space="preserve"> </w:t>
      </w:r>
      <w:r>
        <w:t>continued</w:t>
      </w:r>
      <w:r w:rsidR="00932420">
        <w:t xml:space="preserve"> </w:t>
      </w:r>
      <w:r>
        <w:t>to</w:t>
      </w:r>
      <w:r w:rsidR="00932420">
        <w:t xml:space="preserve"> </w:t>
      </w:r>
      <w:r>
        <w:t>deliver</w:t>
      </w:r>
      <w:r w:rsidR="00932420">
        <w:t xml:space="preserve"> </w:t>
      </w:r>
      <w:r>
        <w:t>information,</w:t>
      </w:r>
      <w:r w:rsidR="00932420">
        <w:t xml:space="preserve"> </w:t>
      </w:r>
      <w:r>
        <w:t>training,</w:t>
      </w:r>
      <w:r w:rsidR="00932420">
        <w:t xml:space="preserve"> </w:t>
      </w:r>
      <w:r>
        <w:t>mentoring,</w:t>
      </w:r>
      <w:r w:rsidR="00932420">
        <w:t xml:space="preserve"> </w:t>
      </w:r>
      <w:r>
        <w:t>grant</w:t>
      </w:r>
      <w:r w:rsidR="00932420">
        <w:t xml:space="preserve"> </w:t>
      </w:r>
      <w:r>
        <w:t>programs</w:t>
      </w:r>
      <w:r w:rsidR="00932420">
        <w:t xml:space="preserve"> </w:t>
      </w:r>
      <w:r>
        <w:t>and</w:t>
      </w:r>
      <w:r w:rsidR="00932420">
        <w:t xml:space="preserve"> </w:t>
      </w:r>
      <w:r>
        <w:t>other</w:t>
      </w:r>
      <w:r w:rsidR="00932420">
        <w:t xml:space="preserve"> </w:t>
      </w:r>
      <w:r>
        <w:t>services,</w:t>
      </w:r>
      <w:r w:rsidR="00932420">
        <w:t xml:space="preserve"> </w:t>
      </w:r>
      <w:r>
        <w:t>such</w:t>
      </w:r>
      <w:r w:rsidR="00932420">
        <w:t xml:space="preserve"> </w:t>
      </w:r>
      <w:r>
        <w:t>as</w:t>
      </w:r>
      <w:r w:rsidR="00932420">
        <w:t xml:space="preserve"> </w:t>
      </w:r>
      <w:r>
        <w:t>emergency</w:t>
      </w:r>
      <w:r w:rsidR="00932420">
        <w:t xml:space="preserve"> </w:t>
      </w:r>
      <w:r>
        <w:t>recovery</w:t>
      </w:r>
      <w:r w:rsidR="00932420">
        <w:t xml:space="preserve"> </w:t>
      </w:r>
      <w:r>
        <w:t>and</w:t>
      </w:r>
      <w:r w:rsidR="00932420">
        <w:t xml:space="preserve"> </w:t>
      </w:r>
      <w:r>
        <w:t>mental</w:t>
      </w:r>
      <w:r w:rsidR="00932420">
        <w:t xml:space="preserve"> </w:t>
      </w:r>
      <w:r>
        <w:t>health</w:t>
      </w:r>
      <w:r w:rsidR="00932420">
        <w:t xml:space="preserve"> </w:t>
      </w:r>
      <w:r>
        <w:t>and</w:t>
      </w:r>
      <w:r w:rsidR="00932420">
        <w:t xml:space="preserve"> </w:t>
      </w:r>
      <w:r>
        <w:t>wellbeing</w:t>
      </w:r>
      <w:r w:rsidR="00932420">
        <w:t xml:space="preserve"> </w:t>
      </w:r>
      <w:r>
        <w:t>supports.</w:t>
      </w:r>
      <w:r w:rsidR="00932420">
        <w:t xml:space="preserve"> </w:t>
      </w:r>
      <w:r>
        <w:t>The</w:t>
      </w:r>
      <w:r w:rsidR="00932420">
        <w:t xml:space="preserve"> </w:t>
      </w:r>
      <w:r>
        <w:t>Business</w:t>
      </w:r>
      <w:r w:rsidR="00932420">
        <w:t xml:space="preserve"> </w:t>
      </w:r>
      <w:r>
        <w:t>Victoria</w:t>
      </w:r>
      <w:r w:rsidR="00932420">
        <w:t xml:space="preserve"> </w:t>
      </w:r>
      <w:r>
        <w:t>website</w:t>
      </w:r>
      <w:r w:rsidR="00932420">
        <w:t xml:space="preserve"> </w:t>
      </w:r>
      <w:r>
        <w:t>and</w:t>
      </w:r>
      <w:r w:rsidR="00932420">
        <w:t xml:space="preserve"> </w:t>
      </w:r>
      <w:r>
        <w:t>other</w:t>
      </w:r>
      <w:r w:rsidR="00932420">
        <w:t xml:space="preserve"> </w:t>
      </w:r>
      <w:r>
        <w:t>digital</w:t>
      </w:r>
      <w:r w:rsidR="00932420">
        <w:t xml:space="preserve"> </w:t>
      </w:r>
      <w:r>
        <w:t>channels</w:t>
      </w:r>
      <w:r w:rsidR="00932420">
        <w:t xml:space="preserve"> </w:t>
      </w:r>
      <w:r>
        <w:t>were</w:t>
      </w:r>
      <w:r w:rsidR="00932420">
        <w:t xml:space="preserve"> </w:t>
      </w:r>
      <w:r>
        <w:t>instrumental</w:t>
      </w:r>
      <w:r w:rsidR="00932420">
        <w:t xml:space="preserve"> </w:t>
      </w:r>
      <w:r>
        <w:t>in</w:t>
      </w:r>
      <w:r w:rsidR="00932420">
        <w:t xml:space="preserve"> </w:t>
      </w:r>
      <w:r>
        <w:t>providing</w:t>
      </w:r>
      <w:r w:rsidR="00932420">
        <w:t xml:space="preserve"> </w:t>
      </w:r>
      <w:r>
        <w:t>accurate</w:t>
      </w:r>
      <w:r w:rsidR="00932420">
        <w:t xml:space="preserve"> </w:t>
      </w:r>
      <w:r>
        <w:t>and</w:t>
      </w:r>
      <w:r w:rsidR="00932420">
        <w:t xml:space="preserve"> </w:t>
      </w:r>
      <w:r>
        <w:t>timely</w:t>
      </w:r>
      <w:r w:rsidR="00932420">
        <w:t xml:space="preserve"> </w:t>
      </w:r>
      <w:r>
        <w:t>information</w:t>
      </w:r>
      <w:r w:rsidR="00932420">
        <w:t xml:space="preserve"> </w:t>
      </w:r>
      <w:r>
        <w:t>to</w:t>
      </w:r>
      <w:r w:rsidR="00932420">
        <w:t xml:space="preserve"> </w:t>
      </w:r>
      <w:r>
        <w:t>Victorian</w:t>
      </w:r>
      <w:r w:rsidR="00932420">
        <w:t xml:space="preserve"> </w:t>
      </w:r>
      <w:r>
        <w:t>businesses,</w:t>
      </w:r>
      <w:r w:rsidR="00932420">
        <w:t xml:space="preserve"> </w:t>
      </w:r>
      <w:r>
        <w:t>along</w:t>
      </w:r>
      <w:r w:rsidR="00932420">
        <w:t xml:space="preserve"> </w:t>
      </w:r>
      <w:r>
        <w:t>with</w:t>
      </w:r>
      <w:r w:rsidR="00932420">
        <w:t xml:space="preserve"> </w:t>
      </w:r>
      <w:r>
        <w:t>the</w:t>
      </w:r>
      <w:r w:rsidR="00932420">
        <w:t xml:space="preserve"> </w:t>
      </w:r>
      <w:r>
        <w:t>Business</w:t>
      </w:r>
      <w:r w:rsidR="00932420">
        <w:t xml:space="preserve"> </w:t>
      </w:r>
      <w:r>
        <w:t>Victoria</w:t>
      </w:r>
      <w:r w:rsidR="00932420">
        <w:t xml:space="preserve"> </w:t>
      </w:r>
      <w:r>
        <w:t>newsletter</w:t>
      </w:r>
      <w:r w:rsidR="00932420">
        <w:t xml:space="preserve"> </w:t>
      </w:r>
      <w:r>
        <w:t>which</w:t>
      </w:r>
      <w:r w:rsidR="00932420">
        <w:t xml:space="preserve"> </w:t>
      </w:r>
      <w:r>
        <w:t>reached</w:t>
      </w:r>
      <w:r w:rsidR="00932420">
        <w:t xml:space="preserve"> </w:t>
      </w:r>
      <w:r>
        <w:t>more</w:t>
      </w:r>
      <w:r w:rsidR="00932420">
        <w:t xml:space="preserve"> </w:t>
      </w:r>
      <w:r>
        <w:t>than</w:t>
      </w:r>
      <w:r w:rsidR="00932420">
        <w:t xml:space="preserve"> </w:t>
      </w:r>
      <w:r>
        <w:t>145,000</w:t>
      </w:r>
      <w:r w:rsidR="00932420">
        <w:t xml:space="preserve"> </w:t>
      </w:r>
      <w:r>
        <w:t>subscribers.</w:t>
      </w:r>
      <w:r w:rsidR="00932420">
        <w:t xml:space="preserve"> </w:t>
      </w:r>
    </w:p>
    <w:p w14:paraId="534568A8" w14:textId="60CCB9B0" w:rsidR="00CA3C5B" w:rsidRDefault="00260033" w:rsidP="002C0E0B">
      <w:r>
        <w:t>The</w:t>
      </w:r>
      <w:r w:rsidR="00932420">
        <w:t xml:space="preserve"> </w:t>
      </w:r>
      <w:r>
        <w:t>Digital</w:t>
      </w:r>
      <w:r w:rsidR="00932420">
        <w:t xml:space="preserve"> </w:t>
      </w:r>
      <w:r>
        <w:t>Jobs</w:t>
      </w:r>
      <w:r w:rsidR="00932420">
        <w:t xml:space="preserve"> </w:t>
      </w:r>
      <w:r>
        <w:t>for</w:t>
      </w:r>
      <w:r w:rsidR="00932420">
        <w:t xml:space="preserve"> </w:t>
      </w:r>
      <w:r>
        <w:t>Manufacturing</w:t>
      </w:r>
      <w:r w:rsidR="00932420">
        <w:t xml:space="preserve"> </w:t>
      </w:r>
      <w:r>
        <w:t>program</w:t>
      </w:r>
      <w:r w:rsidR="00932420">
        <w:t xml:space="preserve"> </w:t>
      </w:r>
      <w:r>
        <w:t>engaged</w:t>
      </w:r>
      <w:r w:rsidR="00932420">
        <w:t xml:space="preserve"> </w:t>
      </w:r>
      <w:r>
        <w:t>with</w:t>
      </w:r>
      <w:r w:rsidR="00932420">
        <w:t xml:space="preserve"> </w:t>
      </w:r>
      <w:r>
        <w:t>the</w:t>
      </w:r>
      <w:r w:rsidR="00932420">
        <w:t xml:space="preserve"> </w:t>
      </w:r>
      <w:r>
        <w:t>Victorian</w:t>
      </w:r>
      <w:r w:rsidR="00932420">
        <w:t xml:space="preserve"> </w:t>
      </w:r>
      <w:r>
        <w:t>manufacturing</w:t>
      </w:r>
      <w:r w:rsidR="00932420">
        <w:t xml:space="preserve"> </w:t>
      </w:r>
      <w:r>
        <w:t>sector</w:t>
      </w:r>
      <w:r w:rsidR="00932420">
        <w:t xml:space="preserve"> </w:t>
      </w:r>
      <w:r>
        <w:t>through</w:t>
      </w:r>
      <w:r w:rsidR="00932420">
        <w:t xml:space="preserve"> </w:t>
      </w:r>
      <w:r>
        <w:t>a</w:t>
      </w:r>
      <w:r w:rsidR="00932420">
        <w:t xml:space="preserve"> </w:t>
      </w:r>
      <w:r>
        <w:t>range</w:t>
      </w:r>
      <w:r w:rsidR="00932420">
        <w:t xml:space="preserve"> </w:t>
      </w:r>
      <w:r>
        <w:t>of</w:t>
      </w:r>
      <w:r w:rsidR="00932420">
        <w:t xml:space="preserve"> </w:t>
      </w:r>
      <w:r>
        <w:t>industry-specific</w:t>
      </w:r>
      <w:r w:rsidR="00932420">
        <w:t xml:space="preserve"> </w:t>
      </w:r>
      <w:r>
        <w:t>conferences,</w:t>
      </w:r>
      <w:r w:rsidR="00932420">
        <w:t xml:space="preserve"> </w:t>
      </w:r>
      <w:proofErr w:type="gramStart"/>
      <w:r>
        <w:t>webinars</w:t>
      </w:r>
      <w:proofErr w:type="gramEnd"/>
      <w:r w:rsidR="00932420">
        <w:t xml:space="preserve"> </w:t>
      </w:r>
      <w:r>
        <w:t>and</w:t>
      </w:r>
      <w:r w:rsidR="00932420">
        <w:t xml:space="preserve"> </w:t>
      </w:r>
      <w:r>
        <w:t>information</w:t>
      </w:r>
      <w:r w:rsidR="00932420">
        <w:t xml:space="preserve"> </w:t>
      </w:r>
      <w:r>
        <w:t>sessions,</w:t>
      </w:r>
      <w:r w:rsidR="00932420">
        <w:t xml:space="preserve"> </w:t>
      </w:r>
      <w:r>
        <w:t>including</w:t>
      </w:r>
      <w:r w:rsidR="00932420">
        <w:t xml:space="preserve"> </w:t>
      </w:r>
      <w:r>
        <w:t>an</w:t>
      </w:r>
      <w:r w:rsidR="00932420">
        <w:t xml:space="preserve"> </w:t>
      </w:r>
      <w:r>
        <w:t>industry</w:t>
      </w:r>
      <w:r w:rsidR="00932420">
        <w:t xml:space="preserve"> </w:t>
      </w:r>
      <w:r>
        <w:t>briefing</w:t>
      </w:r>
      <w:r w:rsidR="00932420">
        <w:t xml:space="preserve"> </w:t>
      </w:r>
      <w:r>
        <w:t>at</w:t>
      </w:r>
      <w:r w:rsidR="00932420">
        <w:t xml:space="preserve"> </w:t>
      </w:r>
      <w:r>
        <w:t>Australian</w:t>
      </w:r>
      <w:r w:rsidR="00932420">
        <w:t xml:space="preserve"> </w:t>
      </w:r>
      <w:r>
        <w:t>Manufacturing</w:t>
      </w:r>
      <w:r w:rsidR="00932420">
        <w:t xml:space="preserve"> </w:t>
      </w:r>
      <w:r>
        <w:t>Week.</w:t>
      </w:r>
      <w:r w:rsidR="00932420">
        <w:t xml:space="preserve"> </w:t>
      </w:r>
      <w:r>
        <w:t>The</w:t>
      </w:r>
      <w:r w:rsidR="00932420">
        <w:t xml:space="preserve"> </w:t>
      </w:r>
      <w:r>
        <w:t>program</w:t>
      </w:r>
      <w:r w:rsidR="00932420">
        <w:t xml:space="preserve"> </w:t>
      </w:r>
      <w:r>
        <w:t>provided</w:t>
      </w:r>
      <w:r w:rsidR="00932420">
        <w:t xml:space="preserve"> </w:t>
      </w:r>
      <w:r>
        <w:t>grants</w:t>
      </w:r>
      <w:r w:rsidR="00932420">
        <w:t xml:space="preserve"> </w:t>
      </w:r>
      <w:r>
        <w:t>for</w:t>
      </w:r>
      <w:r w:rsidR="00932420">
        <w:t xml:space="preserve"> </w:t>
      </w:r>
      <w:r>
        <w:t>111</w:t>
      </w:r>
      <w:r w:rsidR="00932420">
        <w:t xml:space="preserve"> </w:t>
      </w:r>
      <w:r>
        <w:t>manufacturing</w:t>
      </w:r>
      <w:r w:rsidR="00932420">
        <w:t xml:space="preserve"> </w:t>
      </w:r>
      <w:r>
        <w:t>businesses</w:t>
      </w:r>
      <w:r w:rsidR="00932420">
        <w:t xml:space="preserve"> </w:t>
      </w:r>
      <w:r>
        <w:t>to</w:t>
      </w:r>
      <w:r w:rsidR="00932420">
        <w:t xml:space="preserve"> </w:t>
      </w:r>
      <w:r>
        <w:t>upskill</w:t>
      </w:r>
      <w:r w:rsidR="00932420">
        <w:t xml:space="preserve"> </w:t>
      </w:r>
      <w:r>
        <w:t>staff</w:t>
      </w:r>
      <w:r w:rsidR="00932420">
        <w:t xml:space="preserve"> </w:t>
      </w:r>
      <w:r>
        <w:t>with</w:t>
      </w:r>
      <w:r w:rsidR="00932420">
        <w:t xml:space="preserve"> </w:t>
      </w:r>
      <w:r>
        <w:t>in-demand</w:t>
      </w:r>
      <w:r w:rsidR="00932420">
        <w:t xml:space="preserve"> </w:t>
      </w:r>
      <w:r>
        <w:t>specialist</w:t>
      </w:r>
      <w:r w:rsidR="00932420">
        <w:t xml:space="preserve"> </w:t>
      </w:r>
      <w:r>
        <w:t>digital</w:t>
      </w:r>
      <w:r w:rsidR="00932420">
        <w:t xml:space="preserve"> </w:t>
      </w:r>
      <w:r>
        <w:t>skills</w:t>
      </w:r>
      <w:r w:rsidR="00932420">
        <w:t xml:space="preserve"> </w:t>
      </w:r>
      <w:r>
        <w:t>in</w:t>
      </w:r>
      <w:r w:rsidR="00932420">
        <w:t xml:space="preserve"> </w:t>
      </w:r>
      <w:r>
        <w:t>2022–23.</w:t>
      </w:r>
    </w:p>
    <w:p w14:paraId="28CCD7B7" w14:textId="289DBDB2" w:rsidR="00CA3C5B" w:rsidRDefault="00260033" w:rsidP="002C0E0B">
      <w:pPr>
        <w:pStyle w:val="Normalbeforebullets"/>
      </w:pPr>
      <w:r>
        <w:t>In</w:t>
      </w:r>
      <w:r w:rsidR="00932420">
        <w:t xml:space="preserve"> </w:t>
      </w:r>
      <w:r>
        <w:t>building</w:t>
      </w:r>
      <w:r w:rsidR="00932420">
        <w:t xml:space="preserve"> </w:t>
      </w:r>
      <w:r>
        <w:t>an</w:t>
      </w:r>
      <w:r w:rsidR="00932420">
        <w:t xml:space="preserve"> </w:t>
      </w:r>
      <w:r>
        <w:t>end-to-end</w:t>
      </w:r>
      <w:r w:rsidR="00932420">
        <w:t xml:space="preserve"> </w:t>
      </w:r>
      <w:r>
        <w:t>mRNA</w:t>
      </w:r>
      <w:r w:rsidR="00932420">
        <w:t xml:space="preserve"> </w:t>
      </w:r>
      <w:r>
        <w:t>capability</w:t>
      </w:r>
      <w:r w:rsidR="00932420">
        <w:t xml:space="preserve"> </w:t>
      </w:r>
      <w:r>
        <w:t>in</w:t>
      </w:r>
      <w:r w:rsidR="00932420">
        <w:t xml:space="preserve"> </w:t>
      </w:r>
      <w:r>
        <w:t>Victoria,</w:t>
      </w:r>
      <w:r w:rsidR="00932420">
        <w:t xml:space="preserve"> </w:t>
      </w:r>
      <w:r>
        <w:t>the</w:t>
      </w:r>
      <w:r w:rsidR="00932420">
        <w:t xml:space="preserve"> </w:t>
      </w:r>
      <w:r>
        <w:t>state</w:t>
      </w:r>
      <w:r w:rsidR="00932420">
        <w:t xml:space="preserve"> </w:t>
      </w:r>
      <w:r>
        <w:t>is</w:t>
      </w:r>
      <w:r w:rsidR="00932420">
        <w:t xml:space="preserve"> </w:t>
      </w:r>
      <w:r>
        <w:t>developing</w:t>
      </w:r>
      <w:r w:rsidR="00932420">
        <w:t xml:space="preserve"> </w:t>
      </w:r>
      <w:r>
        <w:t>a</w:t>
      </w:r>
      <w:r w:rsidR="00932420">
        <w:t xml:space="preserve"> </w:t>
      </w:r>
      <w:r>
        <w:t>new</w:t>
      </w:r>
      <w:r w:rsidR="00932420">
        <w:t xml:space="preserve"> </w:t>
      </w:r>
      <w:r>
        <w:t>leading</w:t>
      </w:r>
      <w:r w:rsidR="00932420">
        <w:t xml:space="preserve"> </w:t>
      </w:r>
      <w:r>
        <w:t>innovation</w:t>
      </w:r>
      <w:r w:rsidR="00932420">
        <w:t xml:space="preserve"> </w:t>
      </w:r>
      <w:r>
        <w:t>industry</w:t>
      </w:r>
      <w:r w:rsidR="00932420">
        <w:t xml:space="preserve"> </w:t>
      </w:r>
      <w:r>
        <w:t>in</w:t>
      </w:r>
      <w:r w:rsidR="00932420">
        <w:t xml:space="preserve"> </w:t>
      </w:r>
      <w:r>
        <w:t>medical</w:t>
      </w:r>
      <w:r w:rsidR="00932420">
        <w:t xml:space="preserve"> </w:t>
      </w:r>
      <w:r>
        <w:t>research</w:t>
      </w:r>
      <w:r w:rsidR="00932420">
        <w:t xml:space="preserve"> </w:t>
      </w:r>
      <w:r>
        <w:t>and</w:t>
      </w:r>
      <w:r w:rsidR="00932420">
        <w:t xml:space="preserve"> </w:t>
      </w:r>
      <w:r>
        <w:t>biotech.</w:t>
      </w:r>
      <w:r w:rsidR="00932420">
        <w:t xml:space="preserve"> </w:t>
      </w:r>
      <w:r>
        <w:t>mRNA</w:t>
      </w:r>
      <w:r w:rsidR="00932420">
        <w:t xml:space="preserve"> </w:t>
      </w:r>
      <w:r>
        <w:t>Victoria’s</w:t>
      </w:r>
      <w:r w:rsidR="00932420">
        <w:t xml:space="preserve"> </w:t>
      </w:r>
      <w:r>
        <w:t>achievements</w:t>
      </w:r>
      <w:r w:rsidR="00932420">
        <w:t xml:space="preserve"> </w:t>
      </w:r>
      <w:r>
        <w:t>in</w:t>
      </w:r>
      <w:r w:rsidR="00932420">
        <w:t xml:space="preserve"> </w:t>
      </w:r>
      <w:r>
        <w:t>2022–23</w:t>
      </w:r>
      <w:r w:rsidR="00932420">
        <w:t xml:space="preserve"> </w:t>
      </w:r>
      <w:r>
        <w:t>included:</w:t>
      </w:r>
    </w:p>
    <w:p w14:paraId="557C436C" w14:textId="3BED6DDF" w:rsidR="00CA3C5B" w:rsidRDefault="00260033" w:rsidP="00065E2C">
      <w:pPr>
        <w:pStyle w:val="Bullet"/>
      </w:pPr>
      <w:r>
        <w:t>securing</w:t>
      </w:r>
      <w:r w:rsidR="00932420">
        <w:t xml:space="preserve"> </w:t>
      </w:r>
      <w:r>
        <w:t>a</w:t>
      </w:r>
      <w:r w:rsidR="00932420">
        <w:t xml:space="preserve"> </w:t>
      </w:r>
      <w:r>
        <w:t>10-year</w:t>
      </w:r>
      <w:r w:rsidR="00932420">
        <w:t xml:space="preserve"> </w:t>
      </w:r>
      <w:r>
        <w:t>partnership</w:t>
      </w:r>
      <w:r w:rsidR="00932420">
        <w:t xml:space="preserve"> </w:t>
      </w:r>
      <w:r>
        <w:t>between</w:t>
      </w:r>
      <w:r w:rsidR="00932420">
        <w:t xml:space="preserve"> </w:t>
      </w:r>
      <w:r>
        <w:t>the</w:t>
      </w:r>
      <w:r w:rsidR="00932420">
        <w:t xml:space="preserve"> </w:t>
      </w:r>
      <w:r>
        <w:t>Victorian</w:t>
      </w:r>
      <w:r w:rsidR="00932420">
        <w:t xml:space="preserve"> </w:t>
      </w:r>
      <w:r>
        <w:t>Government,</w:t>
      </w:r>
      <w:r w:rsidR="00932420">
        <w:t xml:space="preserve"> </w:t>
      </w:r>
      <w:r>
        <w:t>the</w:t>
      </w:r>
      <w:r w:rsidR="00932420">
        <w:t xml:space="preserve"> </w:t>
      </w:r>
      <w:r>
        <w:t>Australian</w:t>
      </w:r>
      <w:r w:rsidR="00932420">
        <w:t xml:space="preserve"> </w:t>
      </w:r>
      <w:r>
        <w:t>Government</w:t>
      </w:r>
      <w:r w:rsidR="00932420">
        <w:t xml:space="preserve"> </w:t>
      </w:r>
      <w:r>
        <w:t>and</w:t>
      </w:r>
      <w:r w:rsidR="00932420">
        <w:t xml:space="preserve"> </w:t>
      </w:r>
      <w:r>
        <w:t>Moderna</w:t>
      </w:r>
      <w:r w:rsidR="00932420">
        <w:t xml:space="preserve"> </w:t>
      </w:r>
      <w:r>
        <w:t>to</w:t>
      </w:r>
      <w:r w:rsidR="00932420">
        <w:t xml:space="preserve"> </w:t>
      </w:r>
      <w:r>
        <w:t>build</w:t>
      </w:r>
      <w:r w:rsidR="00932420">
        <w:t xml:space="preserve"> </w:t>
      </w:r>
      <w:r>
        <w:t>the</w:t>
      </w:r>
      <w:r w:rsidR="00932420">
        <w:t xml:space="preserve"> </w:t>
      </w:r>
      <w:r>
        <w:t>first</w:t>
      </w:r>
      <w:r w:rsidR="00932420">
        <w:t xml:space="preserve"> </w:t>
      </w:r>
      <w:r>
        <w:t>mRNA</w:t>
      </w:r>
      <w:r w:rsidR="00932420">
        <w:t xml:space="preserve"> </w:t>
      </w:r>
      <w:r>
        <w:t>vaccine</w:t>
      </w:r>
      <w:r w:rsidR="00932420">
        <w:t xml:space="preserve"> </w:t>
      </w:r>
      <w:r>
        <w:t>manufacturing</w:t>
      </w:r>
      <w:r w:rsidR="00932420">
        <w:t xml:space="preserve"> </w:t>
      </w:r>
      <w:r>
        <w:t>facility</w:t>
      </w:r>
      <w:r w:rsidR="00932420">
        <w:t xml:space="preserve"> </w:t>
      </w:r>
      <w:r>
        <w:t>in</w:t>
      </w:r>
      <w:r w:rsidR="00932420">
        <w:t xml:space="preserve"> </w:t>
      </w:r>
      <w:r>
        <w:t>the</w:t>
      </w:r>
      <w:r w:rsidR="00932420">
        <w:t xml:space="preserve"> </w:t>
      </w:r>
      <w:r>
        <w:t>Southern</w:t>
      </w:r>
      <w:r w:rsidR="00932420">
        <w:t xml:space="preserve"> </w:t>
      </w:r>
      <w:r>
        <w:t>Hemisphere</w:t>
      </w:r>
      <w:r w:rsidR="00932420">
        <w:t xml:space="preserve"> </w:t>
      </w:r>
      <w:r>
        <w:t>in</w:t>
      </w:r>
      <w:r w:rsidR="00932420">
        <w:t xml:space="preserve"> </w:t>
      </w:r>
      <w:r>
        <w:t>Melbourne.</w:t>
      </w:r>
      <w:r w:rsidR="00932420">
        <w:t xml:space="preserve"> </w:t>
      </w:r>
      <w:r>
        <w:t>The</w:t>
      </w:r>
      <w:r w:rsidR="00932420">
        <w:t xml:space="preserve"> </w:t>
      </w:r>
      <w:r>
        <w:t>facility</w:t>
      </w:r>
      <w:r w:rsidR="00932420">
        <w:t xml:space="preserve"> </w:t>
      </w:r>
      <w:r>
        <w:t>will</w:t>
      </w:r>
      <w:r w:rsidR="00932420">
        <w:t xml:space="preserve"> </w:t>
      </w:r>
      <w:r>
        <w:t>have</w:t>
      </w:r>
      <w:r w:rsidR="00932420">
        <w:t xml:space="preserve"> </w:t>
      </w:r>
      <w:r>
        <w:t>the</w:t>
      </w:r>
      <w:r w:rsidR="00932420">
        <w:t xml:space="preserve"> </w:t>
      </w:r>
      <w:r>
        <w:t>capacity</w:t>
      </w:r>
      <w:r w:rsidR="00932420">
        <w:t xml:space="preserve"> </w:t>
      </w:r>
      <w:r>
        <w:t>to</w:t>
      </w:r>
      <w:r w:rsidR="00932420">
        <w:t xml:space="preserve"> </w:t>
      </w:r>
      <w:r>
        <w:t>produce</w:t>
      </w:r>
      <w:r w:rsidR="00932420">
        <w:t xml:space="preserve"> </w:t>
      </w:r>
      <w:r>
        <w:t>up</w:t>
      </w:r>
      <w:r w:rsidR="00932420">
        <w:t xml:space="preserve"> </w:t>
      </w:r>
      <w:r>
        <w:t>to</w:t>
      </w:r>
      <w:r w:rsidR="00932420">
        <w:t xml:space="preserve"> </w:t>
      </w:r>
      <w:r>
        <w:t>100</w:t>
      </w:r>
      <w:r w:rsidR="00932420">
        <w:t xml:space="preserve"> </w:t>
      </w:r>
      <w:r>
        <w:t>million</w:t>
      </w:r>
      <w:r w:rsidR="00932420">
        <w:t xml:space="preserve"> </w:t>
      </w:r>
      <w:r>
        <w:t>vaccine</w:t>
      </w:r>
      <w:r w:rsidR="00932420">
        <w:t xml:space="preserve"> </w:t>
      </w:r>
      <w:r>
        <w:t>doses</w:t>
      </w:r>
      <w:r w:rsidR="00932420">
        <w:t xml:space="preserve"> </w:t>
      </w:r>
      <w:r>
        <w:t>each</w:t>
      </w:r>
      <w:r w:rsidR="00932420">
        <w:t xml:space="preserve"> </w:t>
      </w:r>
      <w:r>
        <w:t>year.</w:t>
      </w:r>
      <w:r w:rsidR="00932420">
        <w:t xml:space="preserve"> </w:t>
      </w:r>
      <w:r>
        <w:t>Construction</w:t>
      </w:r>
      <w:r w:rsidR="00932420">
        <w:t xml:space="preserve"> </w:t>
      </w:r>
      <w:r>
        <w:t>of</w:t>
      </w:r>
      <w:r w:rsidR="00932420">
        <w:t xml:space="preserve"> </w:t>
      </w:r>
      <w:r>
        <w:t>the</w:t>
      </w:r>
      <w:r w:rsidR="00932420">
        <w:t xml:space="preserve"> </w:t>
      </w:r>
      <w:r>
        <w:t>facility</w:t>
      </w:r>
      <w:r w:rsidR="00932420">
        <w:t xml:space="preserve"> </w:t>
      </w:r>
      <w:r>
        <w:t>commenced</w:t>
      </w:r>
      <w:r w:rsidR="00932420">
        <w:t xml:space="preserve"> </w:t>
      </w:r>
      <w:r>
        <w:t>in</w:t>
      </w:r>
      <w:r w:rsidR="00932420">
        <w:t xml:space="preserve"> </w:t>
      </w:r>
      <w:r>
        <w:t>December</w:t>
      </w:r>
      <w:r w:rsidR="00932420">
        <w:t xml:space="preserve"> </w:t>
      </w:r>
      <w:r>
        <w:t>2022</w:t>
      </w:r>
    </w:p>
    <w:p w14:paraId="1B336C11" w14:textId="1E348A64" w:rsidR="00CA3C5B" w:rsidRDefault="00260033" w:rsidP="00065E2C">
      <w:pPr>
        <w:pStyle w:val="Bullet"/>
      </w:pPr>
      <w:r>
        <w:t>securing</w:t>
      </w:r>
      <w:r w:rsidR="00932420">
        <w:t xml:space="preserve"> </w:t>
      </w:r>
      <w:r>
        <w:t>the</w:t>
      </w:r>
      <w:r w:rsidR="00932420">
        <w:t xml:space="preserve"> </w:t>
      </w:r>
      <w:r>
        <w:t>Moderna</w:t>
      </w:r>
      <w:r w:rsidR="00932420">
        <w:t xml:space="preserve"> </w:t>
      </w:r>
      <w:r>
        <w:t>Asia</w:t>
      </w:r>
      <w:r w:rsidR="00932420">
        <w:t xml:space="preserve"> </w:t>
      </w:r>
      <w:r>
        <w:t>Pacific</w:t>
      </w:r>
      <w:r w:rsidR="00932420">
        <w:t xml:space="preserve"> </w:t>
      </w:r>
      <w:r>
        <w:t>Research</w:t>
      </w:r>
      <w:r w:rsidR="00932420">
        <w:t xml:space="preserve"> </w:t>
      </w:r>
      <w:r>
        <w:t>and</w:t>
      </w:r>
      <w:r w:rsidR="00932420">
        <w:t xml:space="preserve"> </w:t>
      </w:r>
      <w:r>
        <w:t>Development</w:t>
      </w:r>
      <w:r w:rsidR="00932420">
        <w:t xml:space="preserve"> </w:t>
      </w:r>
      <w:r>
        <w:t>Centre</w:t>
      </w:r>
      <w:r w:rsidR="00932420">
        <w:t xml:space="preserve"> </w:t>
      </w:r>
      <w:r>
        <w:t>in</w:t>
      </w:r>
      <w:r w:rsidR="00932420">
        <w:t xml:space="preserve"> </w:t>
      </w:r>
      <w:r>
        <w:t>Victoria</w:t>
      </w:r>
      <w:r w:rsidR="00932420">
        <w:t xml:space="preserve"> </w:t>
      </w:r>
    </w:p>
    <w:p w14:paraId="1EC575E2" w14:textId="76D1284F" w:rsidR="00CA3C5B" w:rsidRDefault="00260033" w:rsidP="00065E2C">
      <w:pPr>
        <w:pStyle w:val="Bullet"/>
      </w:pPr>
      <w:r>
        <w:t>securing</w:t>
      </w:r>
      <w:r w:rsidR="00932420">
        <w:t xml:space="preserve"> </w:t>
      </w:r>
      <w:r>
        <w:t>Moderna’s</w:t>
      </w:r>
      <w:r w:rsidR="00932420">
        <w:t xml:space="preserve"> </w:t>
      </w:r>
      <w:r>
        <w:t>Asia-Pacific</w:t>
      </w:r>
      <w:r w:rsidR="00932420">
        <w:t xml:space="preserve"> </w:t>
      </w:r>
      <w:r>
        <w:t>headquarters</w:t>
      </w:r>
      <w:r w:rsidR="00932420">
        <w:t xml:space="preserve"> </w:t>
      </w:r>
      <w:r>
        <w:t>in</w:t>
      </w:r>
      <w:r w:rsidR="00932420">
        <w:t xml:space="preserve"> </w:t>
      </w:r>
      <w:r>
        <w:t>Victoria</w:t>
      </w:r>
    </w:p>
    <w:p w14:paraId="1848314D" w14:textId="7160E3E8" w:rsidR="00CA3C5B" w:rsidRDefault="00260033" w:rsidP="00065E2C">
      <w:pPr>
        <w:pStyle w:val="Bullet"/>
      </w:pPr>
      <w:r>
        <w:t>announcing</w:t>
      </w:r>
      <w:r w:rsidR="00932420">
        <w:t xml:space="preserve"> </w:t>
      </w:r>
      <w:r>
        <w:t>an</w:t>
      </w:r>
      <w:r w:rsidR="00932420">
        <w:t xml:space="preserve"> </w:t>
      </w:r>
      <w:r>
        <w:t>in-</w:t>
      </w:r>
      <w:proofErr w:type="gramStart"/>
      <w:r>
        <w:t>principle</w:t>
      </w:r>
      <w:proofErr w:type="gramEnd"/>
      <w:r w:rsidR="00932420">
        <w:t xml:space="preserve"> </w:t>
      </w:r>
      <w:r>
        <w:t>partnership</w:t>
      </w:r>
      <w:r w:rsidR="00932420">
        <w:t xml:space="preserve"> </w:t>
      </w:r>
      <w:r>
        <w:t>with</w:t>
      </w:r>
      <w:r w:rsidR="00932420">
        <w:t xml:space="preserve"> </w:t>
      </w:r>
      <w:r>
        <w:t>leading</w:t>
      </w:r>
      <w:r w:rsidR="00932420">
        <w:t xml:space="preserve"> </w:t>
      </w:r>
      <w:r>
        <w:t>German</w:t>
      </w:r>
      <w:r w:rsidR="00932420">
        <w:t xml:space="preserve"> </w:t>
      </w:r>
      <w:r>
        <w:t>biotechnology</w:t>
      </w:r>
      <w:r w:rsidR="00932420">
        <w:t xml:space="preserve"> </w:t>
      </w:r>
      <w:r>
        <w:t>company</w:t>
      </w:r>
      <w:r w:rsidR="00932420">
        <w:t xml:space="preserve"> </w:t>
      </w:r>
      <w:r>
        <w:t>BioNTech</w:t>
      </w:r>
      <w:r w:rsidR="00932420">
        <w:t xml:space="preserve"> </w:t>
      </w:r>
      <w:r>
        <w:t>to</w:t>
      </w:r>
      <w:r w:rsidR="00932420">
        <w:t xml:space="preserve"> </w:t>
      </w:r>
      <w:r>
        <w:t>establish</w:t>
      </w:r>
      <w:r w:rsidR="00932420">
        <w:t xml:space="preserve"> </w:t>
      </w:r>
      <w:r>
        <w:t>its</w:t>
      </w:r>
      <w:r w:rsidR="00932420">
        <w:t xml:space="preserve"> </w:t>
      </w:r>
      <w:r>
        <w:t>Asia-Pacific</w:t>
      </w:r>
      <w:r w:rsidR="00932420">
        <w:t xml:space="preserve"> </w:t>
      </w:r>
      <w:r>
        <w:t>mRNA</w:t>
      </w:r>
      <w:r w:rsidR="00932420">
        <w:t xml:space="preserve"> </w:t>
      </w:r>
      <w:r>
        <w:t>clinical</w:t>
      </w:r>
      <w:r w:rsidR="00932420">
        <w:t xml:space="preserve"> </w:t>
      </w:r>
      <w:r>
        <w:t>manufacturing,</w:t>
      </w:r>
      <w:r w:rsidR="00932420">
        <w:t xml:space="preserve"> </w:t>
      </w:r>
      <w:r>
        <w:t>research</w:t>
      </w:r>
      <w:r w:rsidR="00932420">
        <w:t xml:space="preserve"> </w:t>
      </w:r>
      <w:r>
        <w:t>and</w:t>
      </w:r>
      <w:r w:rsidR="00932420">
        <w:t xml:space="preserve"> </w:t>
      </w:r>
      <w:r>
        <w:t>development</w:t>
      </w:r>
      <w:r w:rsidR="00932420">
        <w:t xml:space="preserve"> </w:t>
      </w:r>
      <w:r>
        <w:t>centre</w:t>
      </w:r>
      <w:r w:rsidR="00932420">
        <w:t xml:space="preserve"> </w:t>
      </w:r>
      <w:r>
        <w:t>and</w:t>
      </w:r>
      <w:r w:rsidR="00932420">
        <w:t xml:space="preserve"> </w:t>
      </w:r>
      <w:r>
        <w:t>translational</w:t>
      </w:r>
      <w:r w:rsidR="00932420">
        <w:t xml:space="preserve"> </w:t>
      </w:r>
      <w:r>
        <w:t>hub</w:t>
      </w:r>
      <w:r w:rsidR="00932420">
        <w:t xml:space="preserve"> </w:t>
      </w:r>
      <w:r>
        <w:t>in</w:t>
      </w:r>
      <w:r w:rsidR="00932420">
        <w:t xml:space="preserve"> </w:t>
      </w:r>
      <w:r>
        <w:t>Victoria.</w:t>
      </w:r>
      <w:r w:rsidR="00932420">
        <w:t xml:space="preserve"> </w:t>
      </w:r>
      <w:r>
        <w:t>The</w:t>
      </w:r>
      <w:r w:rsidR="00932420">
        <w:t xml:space="preserve"> </w:t>
      </w:r>
      <w:r>
        <w:t>project</w:t>
      </w:r>
      <w:r w:rsidR="00932420">
        <w:t xml:space="preserve"> </w:t>
      </w:r>
      <w:r>
        <w:t>will</w:t>
      </w:r>
      <w:r w:rsidR="00932420">
        <w:t xml:space="preserve"> </w:t>
      </w:r>
      <w:r>
        <w:t>see</w:t>
      </w:r>
      <w:r w:rsidR="00932420">
        <w:t xml:space="preserve"> </w:t>
      </w:r>
      <w:r>
        <w:t>BioNTech</w:t>
      </w:r>
      <w:r w:rsidR="00932420">
        <w:t xml:space="preserve"> </w:t>
      </w:r>
      <w:r>
        <w:t>deliver</w:t>
      </w:r>
      <w:r w:rsidR="00932420">
        <w:t xml:space="preserve"> </w:t>
      </w:r>
      <w:r>
        <w:t>next-generation</w:t>
      </w:r>
      <w:r w:rsidR="00932420">
        <w:t xml:space="preserve"> </w:t>
      </w:r>
      <w:r>
        <w:t>mRNA</w:t>
      </w:r>
      <w:r w:rsidR="00932420">
        <w:t xml:space="preserve"> </w:t>
      </w:r>
      <w:r>
        <w:t>therapeutics</w:t>
      </w:r>
      <w:r w:rsidR="00932420">
        <w:t xml:space="preserve"> </w:t>
      </w:r>
      <w:r>
        <w:t>and</w:t>
      </w:r>
      <w:r w:rsidR="00932420">
        <w:t xml:space="preserve"> </w:t>
      </w:r>
      <w:r>
        <w:t>vaccines</w:t>
      </w:r>
      <w:r w:rsidR="00932420">
        <w:t xml:space="preserve"> </w:t>
      </w:r>
      <w:r>
        <w:t>for</w:t>
      </w:r>
      <w:r w:rsidR="00932420">
        <w:t xml:space="preserve"> </w:t>
      </w:r>
      <w:r>
        <w:t>research</w:t>
      </w:r>
      <w:r w:rsidR="00932420">
        <w:t xml:space="preserve"> </w:t>
      </w:r>
      <w:r>
        <w:t>and</w:t>
      </w:r>
      <w:r w:rsidR="00932420">
        <w:t xml:space="preserve"> </w:t>
      </w:r>
      <w:r>
        <w:t>clinical</w:t>
      </w:r>
      <w:r w:rsidR="00932420">
        <w:t xml:space="preserve"> </w:t>
      </w:r>
      <w:r>
        <w:t>trials,</w:t>
      </w:r>
      <w:r w:rsidR="00932420">
        <w:t xml:space="preserve"> </w:t>
      </w:r>
      <w:r>
        <w:t>including</w:t>
      </w:r>
      <w:r w:rsidR="00932420">
        <w:t xml:space="preserve"> </w:t>
      </w:r>
      <w:r>
        <w:t>infectious</w:t>
      </w:r>
      <w:r w:rsidR="00932420">
        <w:t xml:space="preserve"> </w:t>
      </w:r>
      <w:r>
        <w:t>diseases,</w:t>
      </w:r>
      <w:r w:rsidR="00932420">
        <w:t xml:space="preserve"> </w:t>
      </w:r>
      <w:r>
        <w:t>cancer</w:t>
      </w:r>
      <w:r w:rsidR="00932420">
        <w:t xml:space="preserve"> </w:t>
      </w:r>
      <w:r>
        <w:t>medicines</w:t>
      </w:r>
      <w:r w:rsidR="00932420">
        <w:t xml:space="preserve"> </w:t>
      </w:r>
      <w:r>
        <w:t>and</w:t>
      </w:r>
      <w:r w:rsidR="00932420">
        <w:t xml:space="preserve"> </w:t>
      </w:r>
      <w:r>
        <w:t>personalised</w:t>
      </w:r>
      <w:r w:rsidR="00932420">
        <w:t xml:space="preserve"> </w:t>
      </w:r>
      <w:r>
        <w:t>cancer</w:t>
      </w:r>
      <w:r w:rsidR="00932420">
        <w:t xml:space="preserve"> </w:t>
      </w:r>
      <w:r>
        <w:t>treatments</w:t>
      </w:r>
    </w:p>
    <w:p w14:paraId="2498146A" w14:textId="0E58136A" w:rsidR="00CA3C5B" w:rsidRDefault="00260033" w:rsidP="00065E2C">
      <w:pPr>
        <w:pStyle w:val="Bullet"/>
      </w:pPr>
      <w:r>
        <w:t>entering</w:t>
      </w:r>
      <w:r w:rsidR="00932420">
        <w:t xml:space="preserve"> </w:t>
      </w:r>
      <w:r>
        <w:t>a</w:t>
      </w:r>
      <w:r w:rsidR="00932420">
        <w:t xml:space="preserve"> </w:t>
      </w:r>
      <w:r>
        <w:t>collaborative</w:t>
      </w:r>
      <w:r w:rsidR="00932420">
        <w:t xml:space="preserve"> </w:t>
      </w:r>
      <w:r>
        <w:t>partnership</w:t>
      </w:r>
      <w:r w:rsidR="00932420">
        <w:t xml:space="preserve"> </w:t>
      </w:r>
      <w:r>
        <w:t>with</w:t>
      </w:r>
      <w:r w:rsidR="00932420">
        <w:t xml:space="preserve"> </w:t>
      </w:r>
      <w:r>
        <w:t>the</w:t>
      </w:r>
      <w:r w:rsidR="00932420">
        <w:t xml:space="preserve"> </w:t>
      </w:r>
      <w:r>
        <w:t>South</w:t>
      </w:r>
      <w:r w:rsidR="00932420">
        <w:t xml:space="preserve"> </w:t>
      </w:r>
      <w:r>
        <w:t>African</w:t>
      </w:r>
      <w:r w:rsidR="00932420">
        <w:t xml:space="preserve"> </w:t>
      </w:r>
      <w:r>
        <w:t>Medical</w:t>
      </w:r>
      <w:r w:rsidR="00932420">
        <w:t xml:space="preserve"> </w:t>
      </w:r>
      <w:r>
        <w:t>Research</w:t>
      </w:r>
      <w:r w:rsidR="00932420">
        <w:t xml:space="preserve"> </w:t>
      </w:r>
      <w:r>
        <w:t>Council</w:t>
      </w:r>
      <w:r w:rsidR="00932420">
        <w:t xml:space="preserve"> </w:t>
      </w:r>
      <w:r>
        <w:t>and</w:t>
      </w:r>
      <w:r w:rsidR="00932420">
        <w:t xml:space="preserve"> </w:t>
      </w:r>
      <w:proofErr w:type="spellStart"/>
      <w:r>
        <w:t>Afrigen</w:t>
      </w:r>
      <w:proofErr w:type="spellEnd"/>
      <w:r w:rsidR="00932420">
        <w:t xml:space="preserve"> </w:t>
      </w:r>
      <w:r>
        <w:t>Biologics</w:t>
      </w:r>
      <w:r w:rsidR="00932420">
        <w:t xml:space="preserve"> </w:t>
      </w:r>
      <w:r>
        <w:t>to</w:t>
      </w:r>
      <w:r w:rsidR="00932420">
        <w:t xml:space="preserve"> </w:t>
      </w:r>
      <w:r>
        <w:t>advance</w:t>
      </w:r>
      <w:r w:rsidR="00932420">
        <w:t xml:space="preserve"> </w:t>
      </w:r>
      <w:r>
        <w:t>mRNA</w:t>
      </w:r>
      <w:r w:rsidR="00932420">
        <w:t xml:space="preserve"> </w:t>
      </w:r>
      <w:r>
        <w:t>vaccine</w:t>
      </w:r>
      <w:r w:rsidR="00932420">
        <w:t xml:space="preserve"> </w:t>
      </w:r>
      <w:r>
        <w:t>collaboration</w:t>
      </w:r>
      <w:r w:rsidR="00932420">
        <w:t xml:space="preserve"> </w:t>
      </w:r>
      <w:r>
        <w:t>between</w:t>
      </w:r>
      <w:r w:rsidR="00932420">
        <w:t xml:space="preserve"> </w:t>
      </w:r>
      <w:r>
        <w:t>the</w:t>
      </w:r>
      <w:r w:rsidR="00932420">
        <w:t xml:space="preserve"> </w:t>
      </w:r>
      <w:r>
        <w:t>two</w:t>
      </w:r>
      <w:r w:rsidR="00932420">
        <w:t xml:space="preserve"> </w:t>
      </w:r>
      <w:r>
        <w:t>jurisdictions</w:t>
      </w:r>
      <w:r w:rsidR="00932420">
        <w:t xml:space="preserve"> </w:t>
      </w:r>
      <w:r>
        <w:t>focusing</w:t>
      </w:r>
      <w:r w:rsidR="00932420">
        <w:t xml:space="preserve"> </w:t>
      </w:r>
      <w:r>
        <w:t>on</w:t>
      </w:r>
      <w:r w:rsidR="00932420">
        <w:t xml:space="preserve"> </w:t>
      </w:r>
      <w:r>
        <w:t>3</w:t>
      </w:r>
      <w:r w:rsidR="00932420">
        <w:t xml:space="preserve"> </w:t>
      </w:r>
      <w:r>
        <w:t>key</w:t>
      </w:r>
      <w:r w:rsidR="00932420">
        <w:t xml:space="preserve"> </w:t>
      </w:r>
      <w:r>
        <w:t>areas</w:t>
      </w:r>
      <w:r w:rsidR="00932420">
        <w:t xml:space="preserve"> </w:t>
      </w:r>
      <w:r>
        <w:t>–</w:t>
      </w:r>
      <w:r w:rsidR="00932420">
        <w:t xml:space="preserve"> </w:t>
      </w:r>
      <w:r>
        <w:t>best-practice</w:t>
      </w:r>
      <w:r w:rsidR="00932420">
        <w:t xml:space="preserve"> </w:t>
      </w:r>
      <w:r>
        <w:t>mRNA</w:t>
      </w:r>
      <w:r w:rsidR="00932420">
        <w:t xml:space="preserve"> </w:t>
      </w:r>
      <w:r>
        <w:t>advanced</w:t>
      </w:r>
      <w:r w:rsidR="00932420">
        <w:t xml:space="preserve"> </w:t>
      </w:r>
      <w:r>
        <w:t>manufacturing,</w:t>
      </w:r>
      <w:r w:rsidR="00932420">
        <w:t xml:space="preserve"> </w:t>
      </w:r>
      <w:r>
        <w:t>mRNA</w:t>
      </w:r>
      <w:r w:rsidR="00932420">
        <w:t xml:space="preserve"> </w:t>
      </w:r>
      <w:r>
        <w:t>workforce</w:t>
      </w:r>
      <w:r w:rsidR="00932420">
        <w:t xml:space="preserve"> </w:t>
      </w:r>
      <w:r>
        <w:t>training,</w:t>
      </w:r>
      <w:r w:rsidR="00932420">
        <w:t xml:space="preserve"> </w:t>
      </w:r>
      <w:r>
        <w:t>and</w:t>
      </w:r>
      <w:r w:rsidR="00932420">
        <w:t xml:space="preserve"> </w:t>
      </w:r>
      <w:r>
        <w:t>development</w:t>
      </w:r>
      <w:r w:rsidR="00932420">
        <w:t xml:space="preserve"> </w:t>
      </w:r>
      <w:r>
        <w:t>and</w:t>
      </w:r>
      <w:r w:rsidR="00932420">
        <w:t xml:space="preserve"> </w:t>
      </w:r>
      <w:r>
        <w:t>research</w:t>
      </w:r>
      <w:r w:rsidR="00932420">
        <w:t xml:space="preserve"> </w:t>
      </w:r>
    </w:p>
    <w:p w14:paraId="7953FE3F" w14:textId="3E2C5F14" w:rsidR="00CA3C5B" w:rsidRDefault="00260033" w:rsidP="00065E2C">
      <w:pPr>
        <w:pStyle w:val="Bullet"/>
      </w:pPr>
      <w:r>
        <w:t>ongoing</w:t>
      </w:r>
      <w:r w:rsidR="00932420">
        <w:t xml:space="preserve"> </w:t>
      </w:r>
      <w:r>
        <w:t>management</w:t>
      </w:r>
      <w:r w:rsidR="00932420">
        <w:t xml:space="preserve"> </w:t>
      </w:r>
      <w:r>
        <w:t>of</w:t>
      </w:r>
      <w:r w:rsidR="00932420">
        <w:t xml:space="preserve"> </w:t>
      </w:r>
      <w:r>
        <w:t>42</w:t>
      </w:r>
      <w:r w:rsidR="00932420">
        <w:t xml:space="preserve"> </w:t>
      </w:r>
      <w:r>
        <w:t>mRNA</w:t>
      </w:r>
      <w:r w:rsidR="00932420">
        <w:t xml:space="preserve"> </w:t>
      </w:r>
      <w:r>
        <w:t>Victoria</w:t>
      </w:r>
      <w:r w:rsidR="00932420">
        <w:t xml:space="preserve"> </w:t>
      </w:r>
      <w:r>
        <w:t>research</w:t>
      </w:r>
      <w:r w:rsidR="00932420">
        <w:t xml:space="preserve"> </w:t>
      </w:r>
      <w:r>
        <w:t>grant</w:t>
      </w:r>
      <w:r w:rsidR="00932420">
        <w:t xml:space="preserve"> </w:t>
      </w:r>
      <w:r>
        <w:t>projects</w:t>
      </w:r>
      <w:r w:rsidR="00932420">
        <w:t xml:space="preserve"> </w:t>
      </w:r>
      <w:r>
        <w:t>including</w:t>
      </w:r>
      <w:r w:rsidR="00932420">
        <w:t xml:space="preserve"> </w:t>
      </w:r>
      <w:r>
        <w:t>using</w:t>
      </w:r>
      <w:r w:rsidR="00932420">
        <w:t xml:space="preserve"> </w:t>
      </w:r>
      <w:r>
        <w:t>mRNA</w:t>
      </w:r>
      <w:r w:rsidR="00932420">
        <w:t xml:space="preserve"> </w:t>
      </w:r>
      <w:r>
        <w:t>vaccines</w:t>
      </w:r>
      <w:r w:rsidR="00932420">
        <w:t xml:space="preserve"> </w:t>
      </w:r>
      <w:r>
        <w:t>to</w:t>
      </w:r>
      <w:r w:rsidR="00932420">
        <w:t xml:space="preserve"> </w:t>
      </w:r>
      <w:r>
        <w:t>tackle</w:t>
      </w:r>
      <w:r w:rsidR="00932420">
        <w:t xml:space="preserve"> </w:t>
      </w:r>
      <w:r>
        <w:t>global</w:t>
      </w:r>
      <w:r w:rsidR="00932420">
        <w:t xml:space="preserve"> </w:t>
      </w:r>
      <w:r>
        <w:t>pandemic</w:t>
      </w:r>
      <w:r w:rsidR="00932420">
        <w:t xml:space="preserve"> </w:t>
      </w:r>
      <w:r>
        <w:t>pathogens</w:t>
      </w:r>
      <w:r w:rsidR="00932420">
        <w:t xml:space="preserve"> </w:t>
      </w:r>
      <w:r>
        <w:t>that</w:t>
      </w:r>
      <w:r w:rsidR="00932420">
        <w:t xml:space="preserve"> </w:t>
      </w:r>
      <w:r>
        <w:t>provide</w:t>
      </w:r>
      <w:r w:rsidR="00932420">
        <w:t xml:space="preserve"> </w:t>
      </w:r>
      <w:r>
        <w:t>broad</w:t>
      </w:r>
      <w:r w:rsidR="00932420">
        <w:t xml:space="preserve"> </w:t>
      </w:r>
      <w:r>
        <w:t>immunity;</w:t>
      </w:r>
      <w:r w:rsidR="00932420">
        <w:t xml:space="preserve"> </w:t>
      </w:r>
      <w:r>
        <w:t>developing</w:t>
      </w:r>
      <w:r w:rsidR="00932420">
        <w:t xml:space="preserve"> </w:t>
      </w:r>
      <w:r>
        <w:t>a</w:t>
      </w:r>
      <w:r w:rsidR="00932420">
        <w:t xml:space="preserve"> </w:t>
      </w:r>
      <w:r>
        <w:t>novel</w:t>
      </w:r>
      <w:r w:rsidR="00932420">
        <w:t xml:space="preserve"> </w:t>
      </w:r>
      <w:r>
        <w:t>RNA</w:t>
      </w:r>
      <w:r w:rsidR="00932420">
        <w:t xml:space="preserve"> </w:t>
      </w:r>
      <w:r>
        <w:t>therapeutic</w:t>
      </w:r>
      <w:r w:rsidR="00932420">
        <w:t xml:space="preserve"> </w:t>
      </w:r>
      <w:r>
        <w:t>for</w:t>
      </w:r>
      <w:r w:rsidR="00932420">
        <w:t xml:space="preserve"> </w:t>
      </w:r>
      <w:r>
        <w:t>chronic</w:t>
      </w:r>
      <w:r w:rsidR="00932420">
        <w:t xml:space="preserve"> </w:t>
      </w:r>
      <w:r>
        <w:t>hepatitis</w:t>
      </w:r>
      <w:r w:rsidR="00932420">
        <w:t xml:space="preserve"> </w:t>
      </w:r>
      <w:r>
        <w:t>B;</w:t>
      </w:r>
      <w:r w:rsidR="00932420">
        <w:t xml:space="preserve"> </w:t>
      </w:r>
      <w:r>
        <w:t>and</w:t>
      </w:r>
      <w:r w:rsidR="00932420">
        <w:t xml:space="preserve"> </w:t>
      </w:r>
      <w:r>
        <w:t>leveraging</w:t>
      </w:r>
      <w:r w:rsidR="00932420">
        <w:t xml:space="preserve"> </w:t>
      </w:r>
      <w:r>
        <w:t>mRNA</w:t>
      </w:r>
      <w:r w:rsidR="00932420">
        <w:t xml:space="preserve"> </w:t>
      </w:r>
      <w:r>
        <w:t>technology</w:t>
      </w:r>
      <w:r w:rsidR="00932420">
        <w:t xml:space="preserve"> </w:t>
      </w:r>
      <w:r>
        <w:t>to</w:t>
      </w:r>
      <w:r w:rsidR="00932420">
        <w:t xml:space="preserve"> </w:t>
      </w:r>
      <w:r>
        <w:t>improve</w:t>
      </w:r>
      <w:r w:rsidR="00932420">
        <w:t xml:space="preserve"> </w:t>
      </w:r>
      <w:r>
        <w:t>cell</w:t>
      </w:r>
      <w:r w:rsidR="00932420">
        <w:t xml:space="preserve"> </w:t>
      </w:r>
      <w:r>
        <w:t>therapy</w:t>
      </w:r>
      <w:r w:rsidR="00932420">
        <w:t xml:space="preserve"> </w:t>
      </w:r>
      <w:r>
        <w:t>for</w:t>
      </w:r>
      <w:r w:rsidR="00932420">
        <w:t xml:space="preserve"> </w:t>
      </w:r>
      <w:r>
        <w:t>cancer</w:t>
      </w:r>
    </w:p>
    <w:p w14:paraId="264DABA0" w14:textId="496DD7FA" w:rsidR="00CA3C5B" w:rsidRDefault="00260033" w:rsidP="00065E2C">
      <w:pPr>
        <w:pStyle w:val="Bullet"/>
      </w:pPr>
      <w:r>
        <w:t>delivering</w:t>
      </w:r>
      <w:r w:rsidR="00932420">
        <w:t xml:space="preserve"> </w:t>
      </w:r>
      <w:r>
        <w:t>a</w:t>
      </w:r>
      <w:r w:rsidR="00932420">
        <w:t xml:space="preserve"> </w:t>
      </w:r>
      <w:r>
        <w:t>series</w:t>
      </w:r>
      <w:r w:rsidR="00932420">
        <w:t xml:space="preserve"> </w:t>
      </w:r>
      <w:r>
        <w:t>of</w:t>
      </w:r>
      <w:r w:rsidR="00932420">
        <w:t xml:space="preserve"> </w:t>
      </w:r>
      <w:r>
        <w:t>ecosystem</w:t>
      </w:r>
      <w:r w:rsidR="00932420">
        <w:t xml:space="preserve"> </w:t>
      </w:r>
      <w:r>
        <w:t>development</w:t>
      </w:r>
      <w:r w:rsidR="00932420">
        <w:t xml:space="preserve"> </w:t>
      </w:r>
      <w:r>
        <w:t>activities,</w:t>
      </w:r>
      <w:r w:rsidR="00932420">
        <w:t xml:space="preserve"> </w:t>
      </w:r>
      <w:r>
        <w:t>including</w:t>
      </w:r>
      <w:r w:rsidR="00932420">
        <w:t xml:space="preserve"> </w:t>
      </w:r>
      <w:r>
        <w:t>a</w:t>
      </w:r>
      <w:r w:rsidR="00932420">
        <w:t xml:space="preserve"> </w:t>
      </w:r>
      <w:r>
        <w:t>public</w:t>
      </w:r>
      <w:r w:rsidR="00932420">
        <w:t xml:space="preserve"> </w:t>
      </w:r>
      <w:r>
        <w:t>lecture</w:t>
      </w:r>
      <w:r w:rsidR="00932420">
        <w:t xml:space="preserve"> </w:t>
      </w:r>
      <w:r>
        <w:t>series</w:t>
      </w:r>
      <w:r w:rsidR="00932420">
        <w:t xml:space="preserve"> </w:t>
      </w:r>
      <w:r>
        <w:t>for</w:t>
      </w:r>
      <w:r w:rsidR="00932420">
        <w:t xml:space="preserve"> </w:t>
      </w:r>
      <w:r>
        <w:t>mRNA</w:t>
      </w:r>
      <w:r w:rsidR="00932420">
        <w:t xml:space="preserve"> </w:t>
      </w:r>
      <w:r>
        <w:t>scientists,</w:t>
      </w:r>
      <w:r w:rsidR="00932420">
        <w:t xml:space="preserve"> </w:t>
      </w:r>
      <w:proofErr w:type="gramStart"/>
      <w:r>
        <w:t>researchers</w:t>
      </w:r>
      <w:proofErr w:type="gramEnd"/>
      <w:r w:rsidR="00932420">
        <w:t xml:space="preserve"> </w:t>
      </w:r>
      <w:r>
        <w:t>and</w:t>
      </w:r>
      <w:r w:rsidR="00932420">
        <w:t xml:space="preserve"> </w:t>
      </w:r>
      <w:r>
        <w:t>the</w:t>
      </w:r>
      <w:r w:rsidR="00932420">
        <w:t xml:space="preserve"> </w:t>
      </w:r>
      <w:r>
        <w:t>biotech</w:t>
      </w:r>
      <w:r w:rsidR="00932420">
        <w:t xml:space="preserve"> </w:t>
      </w:r>
      <w:r>
        <w:t>sector</w:t>
      </w:r>
      <w:r w:rsidR="00932420">
        <w:t xml:space="preserve"> </w:t>
      </w:r>
      <w:r>
        <w:t>in</w:t>
      </w:r>
      <w:r w:rsidR="00932420">
        <w:t xml:space="preserve"> </w:t>
      </w:r>
      <w:r>
        <w:t>Australia</w:t>
      </w:r>
    </w:p>
    <w:p w14:paraId="0CBDF2F8" w14:textId="626A62ED" w:rsidR="00CA3C5B" w:rsidRDefault="00260033" w:rsidP="00065E2C">
      <w:pPr>
        <w:pStyle w:val="Bulletlast"/>
      </w:pPr>
      <w:r>
        <w:lastRenderedPageBreak/>
        <w:t>hosting</w:t>
      </w:r>
      <w:r w:rsidR="00932420">
        <w:t xml:space="preserve"> </w:t>
      </w:r>
      <w:r>
        <w:t>leading</w:t>
      </w:r>
      <w:r w:rsidR="00932420">
        <w:t xml:space="preserve"> </w:t>
      </w:r>
      <w:r>
        <w:t>international</w:t>
      </w:r>
      <w:r w:rsidR="00932420">
        <w:t xml:space="preserve"> </w:t>
      </w:r>
      <w:r>
        <w:t>mRNA</w:t>
      </w:r>
      <w:r w:rsidR="00932420">
        <w:t xml:space="preserve"> </w:t>
      </w:r>
      <w:r>
        <w:t>researchers</w:t>
      </w:r>
      <w:r w:rsidR="00932420">
        <w:t xml:space="preserve"> </w:t>
      </w:r>
      <w:r>
        <w:t>and</w:t>
      </w:r>
      <w:r w:rsidR="00932420">
        <w:t xml:space="preserve"> </w:t>
      </w:r>
      <w:r>
        <w:t>industry</w:t>
      </w:r>
      <w:r w:rsidR="00932420">
        <w:t xml:space="preserve"> </w:t>
      </w:r>
      <w:r>
        <w:t>leaders</w:t>
      </w:r>
      <w:r w:rsidR="00932420">
        <w:t xml:space="preserve"> </w:t>
      </w:r>
      <w:r>
        <w:t>in</w:t>
      </w:r>
      <w:r w:rsidR="00932420">
        <w:t xml:space="preserve"> </w:t>
      </w:r>
      <w:r>
        <w:t>Victoria</w:t>
      </w:r>
      <w:r w:rsidR="00932420">
        <w:t xml:space="preserve"> </w:t>
      </w:r>
      <w:r>
        <w:t>and</w:t>
      </w:r>
      <w:r w:rsidR="00932420">
        <w:t xml:space="preserve"> </w:t>
      </w:r>
      <w:r>
        <w:t>facilitating</w:t>
      </w:r>
      <w:r w:rsidR="00932420">
        <w:t xml:space="preserve"> </w:t>
      </w:r>
      <w:r>
        <w:t>research</w:t>
      </w:r>
      <w:r w:rsidR="00932420">
        <w:t xml:space="preserve"> </w:t>
      </w:r>
      <w:r>
        <w:t>partnerships</w:t>
      </w:r>
      <w:r w:rsidR="00932420">
        <w:t xml:space="preserve"> </w:t>
      </w:r>
      <w:r>
        <w:t>with</w:t>
      </w:r>
      <w:r w:rsidR="00932420">
        <w:t xml:space="preserve"> </w:t>
      </w:r>
      <w:r>
        <w:t>Victoria’s</w:t>
      </w:r>
      <w:r w:rsidR="00932420">
        <w:t xml:space="preserve"> </w:t>
      </w:r>
      <w:r>
        <w:t>22</w:t>
      </w:r>
      <w:r w:rsidR="00932420">
        <w:t xml:space="preserve"> </w:t>
      </w:r>
      <w:r>
        <w:t>medical</w:t>
      </w:r>
      <w:r w:rsidR="00932420">
        <w:t xml:space="preserve"> </w:t>
      </w:r>
      <w:r>
        <w:t>research</w:t>
      </w:r>
      <w:r w:rsidR="00932420">
        <w:t xml:space="preserve"> </w:t>
      </w:r>
      <w:r>
        <w:t>institutes</w:t>
      </w:r>
      <w:r w:rsidR="00932420">
        <w:t xml:space="preserve"> </w:t>
      </w:r>
      <w:r>
        <w:t>and</w:t>
      </w:r>
      <w:r w:rsidR="00932420">
        <w:t xml:space="preserve"> </w:t>
      </w:r>
      <w:r>
        <w:t>universities.</w:t>
      </w:r>
    </w:p>
    <w:p w14:paraId="6E1EBF66" w14:textId="64244F2D" w:rsidR="00CA3C5B" w:rsidRDefault="00260033" w:rsidP="00065E2C">
      <w:pPr>
        <w:pStyle w:val="Heading2"/>
      </w:pPr>
      <w:bookmarkStart w:id="11" w:name="_Toc152067215"/>
      <w:r>
        <w:t>Performance</w:t>
      </w:r>
      <w:r w:rsidR="00932420">
        <w:t xml:space="preserve"> </w:t>
      </w:r>
      <w:r>
        <w:t>against</w:t>
      </w:r>
      <w:r w:rsidR="00932420">
        <w:t xml:space="preserve"> </w:t>
      </w:r>
      <w:r>
        <w:t>output</w:t>
      </w:r>
      <w:r w:rsidR="00932420">
        <w:t xml:space="preserve"> </w:t>
      </w:r>
      <w:r>
        <w:t>performance</w:t>
      </w:r>
      <w:r w:rsidR="00932420">
        <w:t xml:space="preserve"> </w:t>
      </w:r>
      <w:r>
        <w:t>measures</w:t>
      </w:r>
      <w:bookmarkEnd w:id="11"/>
    </w:p>
    <w:p w14:paraId="2CA1ABCF" w14:textId="5AE939DD" w:rsidR="00CA3C5B" w:rsidRDefault="00260033" w:rsidP="00065E2C">
      <w:r>
        <w:t>Table</w:t>
      </w:r>
      <w:r w:rsidR="00932420">
        <w:t xml:space="preserve"> </w:t>
      </w:r>
      <w:r>
        <w:t>5</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Industry,</w:t>
      </w:r>
      <w:r w:rsidR="00932420">
        <w:t xml:space="preserve"> </w:t>
      </w:r>
      <w:r>
        <w:t>Innovation</w:t>
      </w:r>
      <w:r w:rsidR="00932420">
        <w:t xml:space="preserve"> </w:t>
      </w:r>
      <w:r>
        <w:t>and</w:t>
      </w:r>
      <w:r w:rsidR="00932420">
        <w:t xml:space="preserve"> </w:t>
      </w:r>
      <w:r>
        <w:t>Small</w:t>
      </w:r>
      <w:r w:rsidR="00932420">
        <w:t xml:space="preserve"> </w:t>
      </w:r>
      <w:r>
        <w:t>Business</w:t>
      </w:r>
      <w:r w:rsidR="00932420">
        <w:t xml:space="preserve"> </w:t>
      </w:r>
      <w:r>
        <w:t>output.</w:t>
      </w:r>
      <w:r w:rsidR="00932420">
        <w:t xml:space="preserve"> </w:t>
      </w:r>
      <w:r>
        <w:t>This</w:t>
      </w:r>
      <w:r w:rsidR="00932420">
        <w:t xml:space="preserve"> </w:t>
      </w:r>
      <w:r>
        <w:t>output</w:t>
      </w:r>
      <w:r w:rsidR="00932420">
        <w:t xml:space="preserve"> </w:t>
      </w:r>
      <w:r>
        <w:t>provides</w:t>
      </w:r>
      <w:r w:rsidR="00932420">
        <w:t xml:space="preserve"> </w:t>
      </w:r>
      <w:r>
        <w:t>access</w:t>
      </w:r>
      <w:r w:rsidR="00932420">
        <w:t xml:space="preserve"> </w:t>
      </w:r>
      <w:r>
        <w:t>to</w:t>
      </w:r>
      <w:r w:rsidR="00932420">
        <w:t xml:space="preserve"> </w:t>
      </w:r>
      <w:r>
        <w:t>information</w:t>
      </w:r>
      <w:r w:rsidR="00932420">
        <w:t xml:space="preserve"> </w:t>
      </w:r>
      <w:r>
        <w:t>and</w:t>
      </w:r>
      <w:r w:rsidR="00932420">
        <w:t xml:space="preserve"> </w:t>
      </w:r>
      <w:r>
        <w:t>connections</w:t>
      </w:r>
      <w:r w:rsidR="00932420">
        <w:t xml:space="preserve"> </w:t>
      </w:r>
      <w:r>
        <w:t>and</w:t>
      </w:r>
      <w:r w:rsidR="00932420">
        <w:t xml:space="preserve"> </w:t>
      </w:r>
      <w:r>
        <w:t>builds</w:t>
      </w:r>
      <w:r w:rsidR="00932420">
        <w:t xml:space="preserve"> </w:t>
      </w:r>
      <w:r>
        <w:t>the</w:t>
      </w:r>
      <w:r w:rsidR="00932420">
        <w:t xml:space="preserve"> </w:t>
      </w:r>
      <w:r>
        <w:t>capability</w:t>
      </w:r>
      <w:r w:rsidR="00932420">
        <w:t xml:space="preserve"> </w:t>
      </w:r>
      <w:r>
        <w:t>of</w:t>
      </w:r>
      <w:r w:rsidR="00932420">
        <w:t xml:space="preserve"> </w:t>
      </w:r>
      <w:r>
        <w:t>Victorian</w:t>
      </w:r>
      <w:r w:rsidR="00932420">
        <w:t xml:space="preserve"> </w:t>
      </w:r>
      <w:r>
        <w:t>businesses</w:t>
      </w:r>
      <w:r w:rsidR="00932420">
        <w:t xml:space="preserve"> </w:t>
      </w:r>
      <w:r>
        <w:t>and</w:t>
      </w:r>
      <w:r w:rsidR="00932420">
        <w:t xml:space="preserve"> </w:t>
      </w:r>
      <w:r>
        <w:rPr>
          <w:spacing w:val="1"/>
        </w:rPr>
        <w:t>industry</w:t>
      </w:r>
      <w:r w:rsidR="00932420">
        <w:rPr>
          <w:spacing w:val="1"/>
        </w:rPr>
        <w:t xml:space="preserve"> </w:t>
      </w:r>
      <w:r>
        <w:rPr>
          <w:spacing w:val="1"/>
        </w:rPr>
        <w:t>to</w:t>
      </w:r>
      <w:r w:rsidR="00932420">
        <w:rPr>
          <w:spacing w:val="1"/>
        </w:rPr>
        <w:t xml:space="preserve"> </w:t>
      </w:r>
      <w:r>
        <w:rPr>
          <w:spacing w:val="1"/>
        </w:rPr>
        <w:t>develop,</w:t>
      </w:r>
      <w:r w:rsidR="00932420">
        <w:rPr>
          <w:spacing w:val="1"/>
        </w:rPr>
        <w:t xml:space="preserve"> </w:t>
      </w:r>
      <w:r>
        <w:rPr>
          <w:spacing w:val="1"/>
        </w:rPr>
        <w:t>commercialise</w:t>
      </w:r>
      <w:r w:rsidR="00932420">
        <w:rPr>
          <w:spacing w:val="1"/>
        </w:rPr>
        <w:t xml:space="preserve"> </w:t>
      </w:r>
      <w:r>
        <w:rPr>
          <w:spacing w:val="1"/>
        </w:rPr>
        <w:t>and</w:t>
      </w:r>
      <w:r w:rsidR="00932420">
        <w:rPr>
          <w:spacing w:val="1"/>
        </w:rPr>
        <w:t xml:space="preserve"> </w:t>
      </w:r>
      <w:r>
        <w:rPr>
          <w:spacing w:val="1"/>
        </w:rPr>
        <w:t>effectively</w:t>
      </w:r>
      <w:r w:rsidR="00932420">
        <w:rPr>
          <w:spacing w:val="1"/>
        </w:rPr>
        <w:t xml:space="preserve"> </w:t>
      </w:r>
      <w:r>
        <w:rPr>
          <w:spacing w:val="1"/>
        </w:rPr>
        <w:t>use</w:t>
      </w:r>
      <w:r w:rsidR="00932420">
        <w:rPr>
          <w:spacing w:val="1"/>
        </w:rPr>
        <w:t xml:space="preserve"> </w:t>
      </w:r>
      <w:r>
        <w:rPr>
          <w:spacing w:val="1"/>
        </w:rPr>
        <w:t>new</w:t>
      </w:r>
      <w:r w:rsidR="00932420">
        <w:rPr>
          <w:spacing w:val="1"/>
        </w:rPr>
        <w:t xml:space="preserve"> </w:t>
      </w:r>
      <w:r>
        <w:rPr>
          <w:spacing w:val="1"/>
        </w:rPr>
        <w:t>practices</w:t>
      </w:r>
      <w:r w:rsidR="00932420">
        <w:rPr>
          <w:spacing w:val="1"/>
        </w:rPr>
        <w:t xml:space="preserve"> </w:t>
      </w:r>
      <w:r>
        <w:rPr>
          <w:spacing w:val="1"/>
        </w:rPr>
        <w:t>and</w:t>
      </w:r>
      <w:r w:rsidR="00932420">
        <w:rPr>
          <w:spacing w:val="1"/>
        </w:rPr>
        <w:t xml:space="preserve"> </w:t>
      </w:r>
      <w:r>
        <w:rPr>
          <w:spacing w:val="1"/>
        </w:rPr>
        <w:t>technologies</w:t>
      </w:r>
      <w:r w:rsidR="00932420">
        <w:rPr>
          <w:spacing w:val="1"/>
        </w:rPr>
        <w:t xml:space="preserve"> </w:t>
      </w:r>
      <w:r>
        <w:rPr>
          <w:spacing w:val="1"/>
        </w:rPr>
        <w:t>to</w:t>
      </w:r>
      <w:r w:rsidR="00932420">
        <w:rPr>
          <w:spacing w:val="1"/>
        </w:rPr>
        <w:t xml:space="preserve"> </w:t>
      </w:r>
      <w:r>
        <w:rPr>
          <w:spacing w:val="1"/>
        </w:rPr>
        <w:t>increase</w:t>
      </w:r>
      <w:r w:rsidR="00932420">
        <w:rPr>
          <w:spacing w:val="1"/>
        </w:rPr>
        <w:t xml:space="preserve"> </w:t>
      </w:r>
      <w:r>
        <w:rPr>
          <w:spacing w:val="1"/>
        </w:rPr>
        <w:t>productivity</w:t>
      </w:r>
      <w:r w:rsidR="00932420">
        <w:rPr>
          <w:spacing w:val="1"/>
        </w:rPr>
        <w:t xml:space="preserve"> </w:t>
      </w:r>
      <w:r>
        <w:rPr>
          <w:spacing w:val="1"/>
        </w:rPr>
        <w:t>and</w:t>
      </w:r>
      <w:r w:rsidR="00932420">
        <w:rPr>
          <w:spacing w:val="1"/>
        </w:rPr>
        <w:t xml:space="preserve"> </w:t>
      </w:r>
      <w:r>
        <w:rPr>
          <w:spacing w:val="1"/>
        </w:rPr>
        <w:t>competitiveness,</w:t>
      </w:r>
      <w:r w:rsidR="00932420">
        <w:rPr>
          <w:spacing w:val="1"/>
        </w:rPr>
        <w:t xml:space="preserve"> </w:t>
      </w:r>
      <w:r>
        <w:rPr>
          <w:spacing w:val="1"/>
        </w:rPr>
        <w:t>advocating</w:t>
      </w:r>
      <w:r w:rsidR="00932420">
        <w:rPr>
          <w:spacing w:val="1"/>
        </w:rPr>
        <w:t xml:space="preserve"> </w:t>
      </w:r>
      <w:r>
        <w:rPr>
          <w:spacing w:val="1"/>
        </w:rPr>
        <w:t>for</w:t>
      </w:r>
      <w:r w:rsidR="00932420">
        <w:rPr>
          <w:spacing w:val="1"/>
        </w:rPr>
        <w:t xml:space="preserve"> </w:t>
      </w:r>
      <w:r>
        <w:rPr>
          <w:spacing w:val="1"/>
        </w:rPr>
        <w:t>a</w:t>
      </w:r>
      <w:r w:rsidR="00932420">
        <w:rPr>
          <w:spacing w:val="1"/>
        </w:rPr>
        <w:t xml:space="preserve"> </w:t>
      </w:r>
      <w:r>
        <w:rPr>
          <w:spacing w:val="1"/>
        </w:rPr>
        <w:t>fair</w:t>
      </w:r>
      <w:r w:rsidR="00932420">
        <w:rPr>
          <w:spacing w:val="1"/>
        </w:rPr>
        <w:t xml:space="preserve"> </w:t>
      </w:r>
      <w:r>
        <w:rPr>
          <w:spacing w:val="1"/>
        </w:rPr>
        <w:t>and</w:t>
      </w:r>
      <w:r w:rsidR="00932420">
        <w:rPr>
          <w:spacing w:val="1"/>
        </w:rPr>
        <w:t xml:space="preserve"> </w:t>
      </w:r>
      <w:r>
        <w:rPr>
          <w:spacing w:val="1"/>
        </w:rPr>
        <w:t>competitive</w:t>
      </w:r>
      <w:r w:rsidR="00932420">
        <w:rPr>
          <w:spacing w:val="1"/>
        </w:rPr>
        <w:t xml:space="preserve"> </w:t>
      </w:r>
      <w:r>
        <w:rPr>
          <w:spacing w:val="1"/>
        </w:rPr>
        <w:t>business</w:t>
      </w:r>
      <w:r w:rsidR="00932420">
        <w:rPr>
          <w:spacing w:val="1"/>
        </w:rPr>
        <w:t xml:space="preserve"> </w:t>
      </w:r>
      <w:r>
        <w:rPr>
          <w:spacing w:val="1"/>
        </w:rPr>
        <w:t>environment,</w:t>
      </w:r>
      <w:r w:rsidR="00932420">
        <w:rPr>
          <w:spacing w:val="1"/>
        </w:rPr>
        <w:t xml:space="preserve"> </w:t>
      </w:r>
      <w:r>
        <w:t>and</w:t>
      </w:r>
      <w:r w:rsidR="00932420">
        <w:t xml:space="preserve"> </w:t>
      </w:r>
      <w:r>
        <w:t>supporting</w:t>
      </w:r>
      <w:r w:rsidR="00932420">
        <w:t xml:space="preserve"> </w:t>
      </w:r>
      <w:r>
        <w:t>small</w:t>
      </w:r>
      <w:r w:rsidR="00932420">
        <w:t xml:space="preserve"> </w:t>
      </w:r>
      <w:r>
        <w:t>businesses.</w:t>
      </w:r>
    </w:p>
    <w:p w14:paraId="5148F280" w14:textId="5CD82F29" w:rsidR="00CA3C5B" w:rsidRDefault="00260033" w:rsidP="00065E2C">
      <w:pPr>
        <w:pStyle w:val="TableHeading"/>
      </w:pPr>
      <w:r>
        <w:t>Table</w:t>
      </w:r>
      <w:r w:rsidR="00932420">
        <w:t xml:space="preserve"> </w:t>
      </w:r>
      <w:r>
        <w:t>5:</w:t>
      </w:r>
      <w:r w:rsidR="00932420">
        <w:t xml:space="preserve"> </w:t>
      </w:r>
      <w:r>
        <w:t>Output</w:t>
      </w:r>
      <w:r w:rsidR="00932420">
        <w:t xml:space="preserve"> </w:t>
      </w:r>
      <w:r>
        <w:t>–</w:t>
      </w:r>
      <w:r w:rsidR="00932420">
        <w:t xml:space="preserve"> </w:t>
      </w:r>
      <w:r>
        <w:t>Industry,</w:t>
      </w:r>
      <w:r w:rsidR="00932420">
        <w:t xml:space="preserve"> </w:t>
      </w:r>
      <w:r>
        <w:t>Innovation</w:t>
      </w:r>
      <w:r w:rsidR="00932420">
        <w:t xml:space="preserve"> </w:t>
      </w:r>
      <w:r>
        <w:t>and</w:t>
      </w:r>
      <w:r w:rsidR="00932420">
        <w:t xml:space="preserve"> </w:t>
      </w:r>
      <w:r>
        <w:t>Small</w:t>
      </w:r>
      <w:r w:rsidR="00932420">
        <w:t xml:space="preserve"> </w:t>
      </w:r>
      <w:r>
        <w:t>Business</w:t>
      </w:r>
    </w:p>
    <w:tbl>
      <w:tblPr>
        <w:tblStyle w:val="TableGrid"/>
        <w:tblW w:w="10228" w:type="dxa"/>
        <w:tblLayout w:type="fixed"/>
        <w:tblLook w:val="0020" w:firstRow="1" w:lastRow="0" w:firstColumn="0" w:lastColumn="0" w:noHBand="0" w:noVBand="0"/>
      </w:tblPr>
      <w:tblGrid>
        <w:gridCol w:w="4531"/>
        <w:gridCol w:w="1134"/>
        <w:gridCol w:w="1189"/>
        <w:gridCol w:w="1204"/>
        <w:gridCol w:w="1414"/>
        <w:gridCol w:w="756"/>
      </w:tblGrid>
      <w:tr w:rsidR="00CA3C5B" w:rsidRPr="00065E2C" w14:paraId="0CD13BA5" w14:textId="77777777" w:rsidTr="008A738D">
        <w:trPr>
          <w:cantSplit/>
          <w:tblHeader/>
        </w:trPr>
        <w:tc>
          <w:tcPr>
            <w:tcW w:w="4531" w:type="dxa"/>
          </w:tcPr>
          <w:p w14:paraId="768BEB38" w14:textId="546128E6" w:rsidR="00CA3C5B" w:rsidRPr="00065E2C" w:rsidRDefault="00260033" w:rsidP="00065E2C">
            <w:pPr>
              <w:pStyle w:val="TableColumnHeading"/>
              <w:rPr>
                <w:sz w:val="21"/>
                <w:szCs w:val="21"/>
              </w:rPr>
            </w:pPr>
            <w:bookmarkStart w:id="12" w:name="ColumnTitle_5"/>
            <w:bookmarkEnd w:id="12"/>
            <w:r w:rsidRPr="00065E2C">
              <w:rPr>
                <w:sz w:val="21"/>
                <w:szCs w:val="21"/>
              </w:rPr>
              <w:t>Performance</w:t>
            </w:r>
            <w:r w:rsidR="00932420" w:rsidRPr="00065E2C">
              <w:rPr>
                <w:sz w:val="21"/>
                <w:szCs w:val="21"/>
              </w:rPr>
              <w:t xml:space="preserve"> </w:t>
            </w:r>
            <w:r w:rsidRPr="00065E2C">
              <w:rPr>
                <w:sz w:val="21"/>
                <w:szCs w:val="21"/>
              </w:rPr>
              <w:t>measures</w:t>
            </w:r>
          </w:p>
        </w:tc>
        <w:tc>
          <w:tcPr>
            <w:tcW w:w="1134" w:type="dxa"/>
          </w:tcPr>
          <w:p w14:paraId="70CBB190" w14:textId="70153EF5" w:rsidR="00CA3C5B" w:rsidRPr="00065E2C" w:rsidRDefault="00260033" w:rsidP="00065E2C">
            <w:pPr>
              <w:pStyle w:val="TableColumnHeading"/>
              <w:rPr>
                <w:sz w:val="21"/>
                <w:szCs w:val="21"/>
              </w:rPr>
            </w:pPr>
            <w:r w:rsidRPr="00065E2C">
              <w:rPr>
                <w:sz w:val="21"/>
                <w:szCs w:val="21"/>
              </w:rPr>
              <w:t>Unit</w:t>
            </w:r>
            <w:r w:rsidR="00932420" w:rsidRPr="00065E2C">
              <w:rPr>
                <w:sz w:val="21"/>
                <w:szCs w:val="21"/>
              </w:rPr>
              <w:t xml:space="preserve"> </w:t>
            </w:r>
            <w:r w:rsidRPr="00065E2C">
              <w:rPr>
                <w:sz w:val="21"/>
                <w:szCs w:val="21"/>
              </w:rPr>
              <w:t>of</w:t>
            </w:r>
            <w:r w:rsidR="00932420" w:rsidRPr="00065E2C">
              <w:rPr>
                <w:sz w:val="21"/>
                <w:szCs w:val="21"/>
              </w:rPr>
              <w:t xml:space="preserve"> </w:t>
            </w:r>
            <w:r w:rsidRPr="00065E2C">
              <w:rPr>
                <w:sz w:val="21"/>
                <w:szCs w:val="21"/>
              </w:rPr>
              <w:t>Measure</w:t>
            </w:r>
          </w:p>
        </w:tc>
        <w:tc>
          <w:tcPr>
            <w:tcW w:w="1189" w:type="dxa"/>
          </w:tcPr>
          <w:p w14:paraId="5167C2A5" w14:textId="77777777" w:rsidR="00CA3C5B" w:rsidRPr="00065E2C" w:rsidRDefault="00260033" w:rsidP="00C0271E">
            <w:pPr>
              <w:pStyle w:val="TableColumnHeading"/>
              <w:jc w:val="right"/>
              <w:rPr>
                <w:sz w:val="21"/>
                <w:szCs w:val="21"/>
              </w:rPr>
            </w:pPr>
            <w:r w:rsidRPr="00065E2C">
              <w:rPr>
                <w:sz w:val="21"/>
                <w:szCs w:val="21"/>
              </w:rPr>
              <w:t>2022–23</w:t>
            </w:r>
            <w:r w:rsidRPr="00065E2C">
              <w:rPr>
                <w:sz w:val="21"/>
                <w:szCs w:val="21"/>
              </w:rPr>
              <w:br/>
              <w:t>Actual</w:t>
            </w:r>
          </w:p>
        </w:tc>
        <w:tc>
          <w:tcPr>
            <w:tcW w:w="1204" w:type="dxa"/>
          </w:tcPr>
          <w:p w14:paraId="14A30BFC" w14:textId="4D7FFA7C" w:rsidR="00CA3C5B" w:rsidRPr="00065E2C" w:rsidRDefault="00260033" w:rsidP="00C0271E">
            <w:pPr>
              <w:pStyle w:val="TableColumnHeading"/>
              <w:jc w:val="right"/>
              <w:rPr>
                <w:sz w:val="21"/>
                <w:szCs w:val="21"/>
              </w:rPr>
            </w:pPr>
            <w:r w:rsidRPr="00065E2C">
              <w:rPr>
                <w:sz w:val="21"/>
                <w:szCs w:val="21"/>
              </w:rPr>
              <w:t>2022–23</w:t>
            </w:r>
            <w:r w:rsidR="00932420" w:rsidRPr="00065E2C">
              <w:rPr>
                <w:sz w:val="21"/>
                <w:szCs w:val="21"/>
              </w:rPr>
              <w:t xml:space="preserve"> </w:t>
            </w:r>
            <w:r w:rsidRPr="00065E2C">
              <w:rPr>
                <w:sz w:val="21"/>
                <w:szCs w:val="21"/>
              </w:rPr>
              <w:t>Target</w:t>
            </w:r>
          </w:p>
        </w:tc>
        <w:tc>
          <w:tcPr>
            <w:tcW w:w="1414" w:type="dxa"/>
          </w:tcPr>
          <w:p w14:paraId="4E0F866E" w14:textId="4F966D32" w:rsidR="00CA3C5B" w:rsidRPr="00065E2C" w:rsidRDefault="00260033" w:rsidP="00C0271E">
            <w:pPr>
              <w:pStyle w:val="TableColumnHeading"/>
              <w:jc w:val="right"/>
              <w:rPr>
                <w:sz w:val="21"/>
                <w:szCs w:val="21"/>
              </w:rPr>
            </w:pPr>
            <w:r w:rsidRPr="00065E2C">
              <w:rPr>
                <w:sz w:val="21"/>
                <w:szCs w:val="21"/>
              </w:rPr>
              <w:t>Performance</w:t>
            </w:r>
            <w:r w:rsidR="00932420" w:rsidRPr="00065E2C">
              <w:rPr>
                <w:sz w:val="21"/>
                <w:szCs w:val="21"/>
              </w:rPr>
              <w:t xml:space="preserve"> </w:t>
            </w:r>
            <w:r w:rsidRPr="00065E2C">
              <w:rPr>
                <w:sz w:val="21"/>
                <w:szCs w:val="21"/>
              </w:rPr>
              <w:t>variation</w:t>
            </w:r>
            <w:r w:rsidR="00932420" w:rsidRPr="00065E2C">
              <w:rPr>
                <w:sz w:val="21"/>
                <w:szCs w:val="21"/>
              </w:rPr>
              <w:t xml:space="preserve"> </w:t>
            </w:r>
            <w:r w:rsidRPr="00065E2C">
              <w:rPr>
                <w:sz w:val="21"/>
                <w:szCs w:val="21"/>
              </w:rPr>
              <w:t>(%)</w:t>
            </w:r>
          </w:p>
        </w:tc>
        <w:tc>
          <w:tcPr>
            <w:tcW w:w="756" w:type="dxa"/>
          </w:tcPr>
          <w:p w14:paraId="44A51987" w14:textId="77777777" w:rsidR="00CA3C5B" w:rsidRPr="00065E2C" w:rsidRDefault="00260033" w:rsidP="00C0271E">
            <w:pPr>
              <w:pStyle w:val="TableColumnHeading"/>
              <w:jc w:val="right"/>
              <w:rPr>
                <w:sz w:val="21"/>
                <w:szCs w:val="21"/>
              </w:rPr>
            </w:pPr>
            <w:r w:rsidRPr="00065E2C">
              <w:rPr>
                <w:sz w:val="21"/>
                <w:szCs w:val="21"/>
              </w:rPr>
              <w:t>Result</w:t>
            </w:r>
          </w:p>
        </w:tc>
      </w:tr>
      <w:tr w:rsidR="00CA3C5B" w14:paraId="138871B9" w14:textId="77777777" w:rsidTr="008A738D">
        <w:trPr>
          <w:cantSplit/>
        </w:trPr>
        <w:tc>
          <w:tcPr>
            <w:tcW w:w="4531" w:type="dxa"/>
          </w:tcPr>
          <w:p w14:paraId="51E9D61F" w14:textId="77777777" w:rsidR="00CA3C5B" w:rsidRDefault="00260033" w:rsidP="00065E2C">
            <w:pPr>
              <w:pStyle w:val="TableHeading"/>
            </w:pPr>
            <w:r>
              <w:t>Quantity</w:t>
            </w:r>
          </w:p>
        </w:tc>
        <w:tc>
          <w:tcPr>
            <w:tcW w:w="1134" w:type="dxa"/>
          </w:tcPr>
          <w:p w14:paraId="12C85169" w14:textId="77777777" w:rsidR="00CA3C5B" w:rsidRDefault="00CA3C5B" w:rsidP="00065E2C">
            <w:pPr>
              <w:pStyle w:val="TableCopy"/>
              <w:rPr>
                <w:lang w:val="en-AU"/>
              </w:rPr>
            </w:pPr>
          </w:p>
        </w:tc>
        <w:tc>
          <w:tcPr>
            <w:tcW w:w="1189" w:type="dxa"/>
          </w:tcPr>
          <w:p w14:paraId="29E7DD12" w14:textId="77777777" w:rsidR="00CA3C5B" w:rsidRDefault="00CA3C5B" w:rsidP="00C0271E">
            <w:pPr>
              <w:pStyle w:val="TableCopy"/>
              <w:jc w:val="right"/>
              <w:rPr>
                <w:lang w:val="en-AU"/>
              </w:rPr>
            </w:pPr>
          </w:p>
        </w:tc>
        <w:tc>
          <w:tcPr>
            <w:tcW w:w="1204" w:type="dxa"/>
          </w:tcPr>
          <w:p w14:paraId="3F18D0A8" w14:textId="77777777" w:rsidR="00CA3C5B" w:rsidRDefault="00CA3C5B" w:rsidP="00C0271E">
            <w:pPr>
              <w:pStyle w:val="TableCopy"/>
              <w:jc w:val="right"/>
              <w:rPr>
                <w:lang w:val="en-AU"/>
              </w:rPr>
            </w:pPr>
          </w:p>
        </w:tc>
        <w:tc>
          <w:tcPr>
            <w:tcW w:w="1414" w:type="dxa"/>
          </w:tcPr>
          <w:p w14:paraId="3609A40F" w14:textId="77777777" w:rsidR="00CA3C5B" w:rsidRDefault="00CA3C5B" w:rsidP="00C0271E">
            <w:pPr>
              <w:pStyle w:val="TableCopy"/>
              <w:jc w:val="right"/>
              <w:rPr>
                <w:lang w:val="en-AU"/>
              </w:rPr>
            </w:pPr>
          </w:p>
        </w:tc>
        <w:tc>
          <w:tcPr>
            <w:tcW w:w="756" w:type="dxa"/>
          </w:tcPr>
          <w:p w14:paraId="2AE7A3EC" w14:textId="77777777" w:rsidR="00CA3C5B" w:rsidRDefault="00CA3C5B" w:rsidP="00C0271E">
            <w:pPr>
              <w:pStyle w:val="TableCopy"/>
              <w:jc w:val="right"/>
              <w:rPr>
                <w:lang w:val="en-AU"/>
              </w:rPr>
            </w:pPr>
          </w:p>
        </w:tc>
      </w:tr>
      <w:tr w:rsidR="00CA3C5B" w14:paraId="39F6B28D" w14:textId="77777777" w:rsidTr="008A738D">
        <w:trPr>
          <w:cantSplit/>
        </w:trPr>
        <w:tc>
          <w:tcPr>
            <w:tcW w:w="4531" w:type="dxa"/>
          </w:tcPr>
          <w:p w14:paraId="38FB601C" w14:textId="77777777" w:rsidR="00CA3C5B" w:rsidRDefault="00260033" w:rsidP="00065E2C">
            <w:pPr>
              <w:pStyle w:val="TableCopy"/>
            </w:pPr>
            <w:r>
              <w:t>Companies</w:t>
            </w:r>
            <w:r w:rsidR="00932420">
              <w:t xml:space="preserve"> </w:t>
            </w:r>
            <w:r>
              <w:t>and</w:t>
            </w:r>
            <w:r w:rsidR="00932420">
              <w:t xml:space="preserve"> </w:t>
            </w:r>
            <w:r>
              <w:t>consortia</w:t>
            </w:r>
            <w:r w:rsidR="00932420">
              <w:t xml:space="preserve"> </w:t>
            </w:r>
            <w:r>
              <w:t>supported</w:t>
            </w:r>
            <w:r w:rsidR="00932420">
              <w:t xml:space="preserve"> </w:t>
            </w:r>
            <w:r>
              <w:t>by</w:t>
            </w:r>
            <w:r w:rsidR="00932420">
              <w:t xml:space="preserve"> </w:t>
            </w:r>
            <w:r>
              <w:t>the</w:t>
            </w:r>
            <w:r w:rsidR="00932420">
              <w:t xml:space="preserve"> </w:t>
            </w:r>
            <w:r>
              <w:t>Breakthrough</w:t>
            </w:r>
            <w:r w:rsidR="00932420">
              <w:t xml:space="preserve"> </w:t>
            </w:r>
            <w:r>
              <w:t>Victoria</w:t>
            </w:r>
            <w:r w:rsidR="00932420">
              <w:t xml:space="preserve"> </w:t>
            </w:r>
            <w:r>
              <w:t>Fund</w:t>
            </w:r>
          </w:p>
          <w:p w14:paraId="747F89A4" w14:textId="40D3E711" w:rsidR="00065E2C" w:rsidRPr="00065E2C" w:rsidRDefault="00065E2C" w:rsidP="00065E2C">
            <w:pPr>
              <w:pStyle w:val="TableCopy"/>
              <w:rPr>
                <w:i/>
                <w:iCs/>
              </w:rPr>
            </w:pPr>
            <w:r w:rsidRPr="00065E2C">
              <w:rPr>
                <w:i/>
                <w:iCs/>
              </w:rPr>
              <w:t>Higher result due to a maturation in Breakthrough Victoria’s investment pipeline and operations now that it is fully established.</w:t>
            </w:r>
          </w:p>
        </w:tc>
        <w:tc>
          <w:tcPr>
            <w:tcW w:w="1134" w:type="dxa"/>
          </w:tcPr>
          <w:p w14:paraId="5BD044B3" w14:textId="77777777" w:rsidR="00CA3C5B" w:rsidRDefault="00260033" w:rsidP="00065E2C">
            <w:pPr>
              <w:pStyle w:val="TableCopy"/>
            </w:pPr>
            <w:r>
              <w:t>number</w:t>
            </w:r>
          </w:p>
        </w:tc>
        <w:tc>
          <w:tcPr>
            <w:tcW w:w="1189" w:type="dxa"/>
          </w:tcPr>
          <w:p w14:paraId="5FE86510" w14:textId="77777777" w:rsidR="00CA3C5B" w:rsidRDefault="00260033" w:rsidP="00C0271E">
            <w:pPr>
              <w:pStyle w:val="TableCopy"/>
              <w:jc w:val="right"/>
            </w:pPr>
            <w:r>
              <w:t>13</w:t>
            </w:r>
          </w:p>
        </w:tc>
        <w:tc>
          <w:tcPr>
            <w:tcW w:w="1204" w:type="dxa"/>
          </w:tcPr>
          <w:p w14:paraId="7179EF13" w14:textId="77777777" w:rsidR="00CA3C5B" w:rsidRDefault="00260033" w:rsidP="00C0271E">
            <w:pPr>
              <w:pStyle w:val="TableCopy"/>
              <w:jc w:val="right"/>
            </w:pPr>
            <w:r>
              <w:t>10</w:t>
            </w:r>
          </w:p>
        </w:tc>
        <w:tc>
          <w:tcPr>
            <w:tcW w:w="1414" w:type="dxa"/>
          </w:tcPr>
          <w:p w14:paraId="6DD5AB0E" w14:textId="77777777" w:rsidR="00CA3C5B" w:rsidRDefault="00260033" w:rsidP="00C0271E">
            <w:pPr>
              <w:pStyle w:val="TableCopy"/>
              <w:jc w:val="right"/>
            </w:pPr>
            <w:r>
              <w:t>30.0%</w:t>
            </w:r>
          </w:p>
        </w:tc>
        <w:tc>
          <w:tcPr>
            <w:tcW w:w="756" w:type="dxa"/>
          </w:tcPr>
          <w:p w14:paraId="39101B5E" w14:textId="72DC28BB" w:rsidR="00CA3C5B" w:rsidRPr="00F246C6" w:rsidRDefault="00F246C6" w:rsidP="00C0271E">
            <w:pPr>
              <w:pStyle w:val="TableCopy"/>
              <w:jc w:val="right"/>
            </w:pPr>
            <w:r w:rsidRPr="00F246C6">
              <w:t>1</w:t>
            </w:r>
          </w:p>
        </w:tc>
      </w:tr>
      <w:tr w:rsidR="00CA3C5B" w14:paraId="14E4BD1C" w14:textId="77777777" w:rsidTr="008A738D">
        <w:trPr>
          <w:cantSplit/>
        </w:trPr>
        <w:tc>
          <w:tcPr>
            <w:tcW w:w="4531" w:type="dxa"/>
          </w:tcPr>
          <w:p w14:paraId="603F9CE1" w14:textId="34B61180" w:rsidR="00CA3C5B" w:rsidRDefault="00260033" w:rsidP="00065E2C">
            <w:pPr>
              <w:pStyle w:val="TableCopy"/>
            </w:pPr>
            <w:r>
              <w:t>Companies</w:t>
            </w:r>
            <w:r w:rsidR="00932420">
              <w:t xml:space="preserve"> </w:t>
            </w:r>
            <w:r>
              <w:t>or</w:t>
            </w:r>
            <w:r w:rsidR="00932420">
              <w:t xml:space="preserve"> </w:t>
            </w:r>
            <w:r>
              <w:t>new</w:t>
            </w:r>
            <w:r w:rsidR="00932420">
              <w:t xml:space="preserve"> </w:t>
            </w:r>
            <w:r>
              <w:t>entrants</w:t>
            </w:r>
            <w:r w:rsidR="00932420">
              <w:t xml:space="preserve"> </w:t>
            </w:r>
            <w:r>
              <w:t>supported</w:t>
            </w:r>
            <w:r w:rsidR="00932420">
              <w:t xml:space="preserve"> </w:t>
            </w:r>
            <w:r>
              <w:t>through</w:t>
            </w:r>
            <w:r w:rsidR="00932420">
              <w:t xml:space="preserve"> </w:t>
            </w:r>
            <w:r>
              <w:t>the</w:t>
            </w:r>
            <w:r w:rsidR="00932420">
              <w:t xml:space="preserve"> </w:t>
            </w:r>
            <w:proofErr w:type="spellStart"/>
            <w:r>
              <w:t>LaunchVic</w:t>
            </w:r>
            <w:proofErr w:type="spellEnd"/>
            <w:r w:rsidR="00932420">
              <w:t xml:space="preserve"> </w:t>
            </w:r>
            <w:r>
              <w:t>initiative</w:t>
            </w:r>
          </w:p>
        </w:tc>
        <w:tc>
          <w:tcPr>
            <w:tcW w:w="1134" w:type="dxa"/>
          </w:tcPr>
          <w:p w14:paraId="03725F26" w14:textId="77777777" w:rsidR="00CA3C5B" w:rsidRDefault="00260033" w:rsidP="00065E2C">
            <w:pPr>
              <w:pStyle w:val="TableCopy"/>
            </w:pPr>
            <w:r>
              <w:t>number</w:t>
            </w:r>
          </w:p>
        </w:tc>
        <w:tc>
          <w:tcPr>
            <w:tcW w:w="1189" w:type="dxa"/>
          </w:tcPr>
          <w:p w14:paraId="55B8EE80" w14:textId="77777777" w:rsidR="00CA3C5B" w:rsidRDefault="00260033" w:rsidP="00C0271E">
            <w:pPr>
              <w:pStyle w:val="TableCopy"/>
              <w:jc w:val="right"/>
            </w:pPr>
            <w:r>
              <w:t>142</w:t>
            </w:r>
          </w:p>
        </w:tc>
        <w:tc>
          <w:tcPr>
            <w:tcW w:w="1204" w:type="dxa"/>
          </w:tcPr>
          <w:p w14:paraId="32A27918" w14:textId="77777777" w:rsidR="00CA3C5B" w:rsidRDefault="00260033" w:rsidP="00C0271E">
            <w:pPr>
              <w:pStyle w:val="TableCopy"/>
              <w:jc w:val="right"/>
            </w:pPr>
            <w:r>
              <w:t>140</w:t>
            </w:r>
          </w:p>
        </w:tc>
        <w:tc>
          <w:tcPr>
            <w:tcW w:w="1414" w:type="dxa"/>
          </w:tcPr>
          <w:p w14:paraId="1E0C6A55" w14:textId="77777777" w:rsidR="00CA3C5B" w:rsidRDefault="00260033" w:rsidP="00C0271E">
            <w:pPr>
              <w:pStyle w:val="TableCopy"/>
              <w:jc w:val="right"/>
            </w:pPr>
            <w:r>
              <w:t>1.4%</w:t>
            </w:r>
          </w:p>
        </w:tc>
        <w:tc>
          <w:tcPr>
            <w:tcW w:w="756" w:type="dxa"/>
          </w:tcPr>
          <w:p w14:paraId="5D5805D6" w14:textId="7B1F0841" w:rsidR="00CA3C5B" w:rsidRDefault="00F246C6" w:rsidP="00C0271E">
            <w:pPr>
              <w:pStyle w:val="TableCopy"/>
              <w:jc w:val="right"/>
            </w:pPr>
            <w:r w:rsidRPr="00F246C6">
              <w:t>1</w:t>
            </w:r>
          </w:p>
        </w:tc>
      </w:tr>
      <w:tr w:rsidR="00CA3C5B" w14:paraId="38602EDF" w14:textId="77777777" w:rsidTr="008A738D">
        <w:trPr>
          <w:cantSplit/>
        </w:trPr>
        <w:tc>
          <w:tcPr>
            <w:tcW w:w="4531" w:type="dxa"/>
          </w:tcPr>
          <w:p w14:paraId="45476BC1" w14:textId="77777777" w:rsidR="00CA3C5B" w:rsidRDefault="00260033" w:rsidP="00065E2C">
            <w:pPr>
              <w:pStyle w:val="TableCopy"/>
            </w:pPr>
            <w:r>
              <w:t>Individuals</w:t>
            </w:r>
            <w:r w:rsidR="00932420">
              <w:t xml:space="preserve"> </w:t>
            </w:r>
            <w:r>
              <w:t>supported</w:t>
            </w:r>
            <w:r w:rsidR="00932420">
              <w:t xml:space="preserve"> </w:t>
            </w:r>
            <w:r>
              <w:t>under</w:t>
            </w:r>
            <w:r w:rsidR="00932420">
              <w:t xml:space="preserve"> </w:t>
            </w:r>
            <w:r>
              <w:t>digital</w:t>
            </w:r>
            <w:r w:rsidR="00932420">
              <w:t xml:space="preserve"> </w:t>
            </w:r>
            <w:r>
              <w:t>skills</w:t>
            </w:r>
            <w:r w:rsidR="00932420">
              <w:t xml:space="preserve"> </w:t>
            </w:r>
            <w:r>
              <w:t>initiatives</w:t>
            </w:r>
          </w:p>
          <w:p w14:paraId="263790E6" w14:textId="5AD3BBD1" w:rsidR="00065E2C" w:rsidRPr="00065E2C" w:rsidRDefault="00065E2C" w:rsidP="00065E2C">
            <w:pPr>
              <w:pStyle w:val="TableCopy"/>
              <w:rPr>
                <w:i/>
                <w:iCs/>
              </w:rPr>
            </w:pPr>
            <w:r w:rsidRPr="00065E2C">
              <w:rPr>
                <w:i/>
                <w:iCs/>
              </w:rPr>
              <w:t xml:space="preserve">Higher result reflects the inclusion of 797 participants from Round 4 of the Digital Jobs program, who commenced their training in May 2022 and completed it in </w:t>
            </w:r>
            <w:proofErr w:type="gramStart"/>
            <w:r w:rsidRPr="00065E2C">
              <w:rPr>
                <w:i/>
                <w:iCs/>
              </w:rPr>
              <w:t>August 2022, and</w:t>
            </w:r>
            <w:proofErr w:type="gramEnd"/>
            <w:r w:rsidRPr="00065E2C">
              <w:rPr>
                <w:i/>
                <w:iCs/>
              </w:rPr>
              <w:t xml:space="preserve"> are therefore captured in this financial year. A new program, Digital Jobs for Manufacturing was launched in 2022–23 and the results also include 252 Digital Jobs for Manufacturing participants that received grants to undertake digital skills training in 2022–23.</w:t>
            </w:r>
          </w:p>
        </w:tc>
        <w:tc>
          <w:tcPr>
            <w:tcW w:w="1134" w:type="dxa"/>
          </w:tcPr>
          <w:p w14:paraId="3CBE8419" w14:textId="77777777" w:rsidR="00CA3C5B" w:rsidRDefault="00260033" w:rsidP="00065E2C">
            <w:pPr>
              <w:pStyle w:val="TableCopy"/>
            </w:pPr>
            <w:r>
              <w:t>number</w:t>
            </w:r>
          </w:p>
        </w:tc>
        <w:tc>
          <w:tcPr>
            <w:tcW w:w="1189" w:type="dxa"/>
          </w:tcPr>
          <w:p w14:paraId="73DE83ED" w14:textId="77777777" w:rsidR="00CA3C5B" w:rsidRDefault="00260033" w:rsidP="00C0271E">
            <w:pPr>
              <w:pStyle w:val="TableCopy"/>
              <w:jc w:val="right"/>
            </w:pPr>
            <w:r>
              <w:t>2,899</w:t>
            </w:r>
          </w:p>
        </w:tc>
        <w:tc>
          <w:tcPr>
            <w:tcW w:w="1204" w:type="dxa"/>
          </w:tcPr>
          <w:p w14:paraId="3A781AED" w14:textId="77777777" w:rsidR="00CA3C5B" w:rsidRDefault="00260033" w:rsidP="00C0271E">
            <w:pPr>
              <w:pStyle w:val="TableCopy"/>
              <w:jc w:val="right"/>
            </w:pPr>
            <w:r>
              <w:t>2,000</w:t>
            </w:r>
          </w:p>
        </w:tc>
        <w:tc>
          <w:tcPr>
            <w:tcW w:w="1414" w:type="dxa"/>
          </w:tcPr>
          <w:p w14:paraId="2CADCB71" w14:textId="77777777" w:rsidR="00CA3C5B" w:rsidRDefault="00260033" w:rsidP="00C0271E">
            <w:pPr>
              <w:pStyle w:val="TableCopy"/>
              <w:jc w:val="right"/>
            </w:pPr>
            <w:r>
              <w:t>45.0%</w:t>
            </w:r>
          </w:p>
        </w:tc>
        <w:tc>
          <w:tcPr>
            <w:tcW w:w="756" w:type="dxa"/>
          </w:tcPr>
          <w:p w14:paraId="2262839F" w14:textId="5D0D2854" w:rsidR="00CA3C5B" w:rsidRDefault="00F246C6" w:rsidP="00C0271E">
            <w:pPr>
              <w:pStyle w:val="TableCopy"/>
              <w:jc w:val="right"/>
            </w:pPr>
            <w:r w:rsidRPr="00F246C6">
              <w:t>1</w:t>
            </w:r>
          </w:p>
        </w:tc>
      </w:tr>
      <w:tr w:rsidR="00CA3C5B" w14:paraId="6E0E91B4" w14:textId="77777777" w:rsidTr="008A738D">
        <w:trPr>
          <w:cantSplit/>
        </w:trPr>
        <w:tc>
          <w:tcPr>
            <w:tcW w:w="4531" w:type="dxa"/>
          </w:tcPr>
          <w:p w14:paraId="586D8837" w14:textId="77777777" w:rsidR="00CA3C5B" w:rsidRDefault="00260033" w:rsidP="00065E2C">
            <w:pPr>
              <w:pStyle w:val="TableCopy"/>
            </w:pPr>
            <w:r>
              <w:lastRenderedPageBreak/>
              <w:t>Industry</w:t>
            </w:r>
            <w:r w:rsidR="00932420">
              <w:t xml:space="preserve"> </w:t>
            </w:r>
            <w:r>
              <w:t>roundtables</w:t>
            </w:r>
            <w:r w:rsidR="00932420">
              <w:t xml:space="preserve"> </w:t>
            </w:r>
            <w:r>
              <w:t>and</w:t>
            </w:r>
            <w:r w:rsidR="00932420">
              <w:t xml:space="preserve"> </w:t>
            </w:r>
            <w:r>
              <w:t>engagement</w:t>
            </w:r>
            <w:r w:rsidR="00932420">
              <w:t xml:space="preserve"> </w:t>
            </w:r>
            <w:r>
              <w:t>forums</w:t>
            </w:r>
          </w:p>
          <w:p w14:paraId="2C2207CF" w14:textId="5E62CAF4" w:rsidR="00065E2C" w:rsidRPr="00065E2C" w:rsidRDefault="00065E2C" w:rsidP="00065E2C">
            <w:pPr>
              <w:pStyle w:val="TableCopy"/>
              <w:rPr>
                <w:i/>
                <w:iCs/>
              </w:rPr>
            </w:pPr>
            <w:r w:rsidRPr="00065E2C">
              <w:rPr>
                <w:i/>
                <w:iCs/>
              </w:rPr>
              <w:t>Higher result due to the launch of the Fair Jobs Code, increased industry consultations for investment activities and consultation sessions related to delivering digital technologies.</w:t>
            </w:r>
          </w:p>
        </w:tc>
        <w:tc>
          <w:tcPr>
            <w:tcW w:w="1134" w:type="dxa"/>
          </w:tcPr>
          <w:p w14:paraId="30924D91" w14:textId="77777777" w:rsidR="00CA3C5B" w:rsidRDefault="00260033" w:rsidP="00065E2C">
            <w:pPr>
              <w:pStyle w:val="TableCopy"/>
            </w:pPr>
            <w:r>
              <w:t>number</w:t>
            </w:r>
          </w:p>
        </w:tc>
        <w:tc>
          <w:tcPr>
            <w:tcW w:w="1189" w:type="dxa"/>
          </w:tcPr>
          <w:p w14:paraId="77B68472" w14:textId="77777777" w:rsidR="00CA3C5B" w:rsidRDefault="00260033" w:rsidP="00C0271E">
            <w:pPr>
              <w:pStyle w:val="TableCopy"/>
              <w:jc w:val="right"/>
            </w:pPr>
            <w:r>
              <w:t>184</w:t>
            </w:r>
          </w:p>
        </w:tc>
        <w:tc>
          <w:tcPr>
            <w:tcW w:w="1204" w:type="dxa"/>
          </w:tcPr>
          <w:p w14:paraId="30040246" w14:textId="77777777" w:rsidR="00CA3C5B" w:rsidRDefault="00260033" w:rsidP="00C0271E">
            <w:pPr>
              <w:pStyle w:val="TableCopy"/>
              <w:jc w:val="right"/>
            </w:pPr>
            <w:r>
              <w:t>60</w:t>
            </w:r>
          </w:p>
        </w:tc>
        <w:tc>
          <w:tcPr>
            <w:tcW w:w="1414" w:type="dxa"/>
          </w:tcPr>
          <w:p w14:paraId="24D810D2" w14:textId="77777777" w:rsidR="00CA3C5B" w:rsidRDefault="00260033" w:rsidP="00C0271E">
            <w:pPr>
              <w:pStyle w:val="TableCopy"/>
              <w:jc w:val="right"/>
            </w:pPr>
            <w:r>
              <w:t>206.7%</w:t>
            </w:r>
          </w:p>
        </w:tc>
        <w:tc>
          <w:tcPr>
            <w:tcW w:w="756" w:type="dxa"/>
          </w:tcPr>
          <w:p w14:paraId="100A1684" w14:textId="5AB46B9F" w:rsidR="00CA3C5B" w:rsidRDefault="00F246C6" w:rsidP="00C0271E">
            <w:pPr>
              <w:pStyle w:val="TableCopy"/>
              <w:jc w:val="right"/>
            </w:pPr>
            <w:r w:rsidRPr="00F246C6">
              <w:t>1</w:t>
            </w:r>
          </w:p>
        </w:tc>
      </w:tr>
      <w:tr w:rsidR="00CA3C5B" w14:paraId="4588DF7B" w14:textId="77777777" w:rsidTr="008A738D">
        <w:trPr>
          <w:cantSplit/>
        </w:trPr>
        <w:tc>
          <w:tcPr>
            <w:tcW w:w="4531" w:type="dxa"/>
          </w:tcPr>
          <w:p w14:paraId="58354DCE" w14:textId="77777777" w:rsidR="00CA3C5B" w:rsidRDefault="00260033" w:rsidP="00065E2C">
            <w:pPr>
              <w:pStyle w:val="TableCopy"/>
            </w:pPr>
            <w:r>
              <w:t>Number</w:t>
            </w:r>
            <w:r w:rsidR="00932420">
              <w:t xml:space="preserve"> </w:t>
            </w:r>
            <w:r>
              <w:t>of</w:t>
            </w:r>
            <w:r w:rsidR="00932420">
              <w:t xml:space="preserve"> </w:t>
            </w:r>
            <w:r>
              <w:t>equity</w:t>
            </w:r>
            <w:r w:rsidR="00932420">
              <w:t xml:space="preserve"> </w:t>
            </w:r>
            <w:r>
              <w:t>investments</w:t>
            </w:r>
            <w:r w:rsidR="00932420">
              <w:t xml:space="preserve"> </w:t>
            </w:r>
            <w:r>
              <w:t>held</w:t>
            </w:r>
            <w:r w:rsidR="00932420">
              <w:t xml:space="preserve"> </w:t>
            </w:r>
            <w:r>
              <w:t>in</w:t>
            </w:r>
            <w:r w:rsidR="00932420">
              <w:t xml:space="preserve"> </w:t>
            </w:r>
            <w:r>
              <w:t>female</w:t>
            </w:r>
            <w:r w:rsidR="00932420">
              <w:t xml:space="preserve"> </w:t>
            </w:r>
            <w:r>
              <w:t>founders</w:t>
            </w:r>
            <w:r w:rsidR="00932420">
              <w:t xml:space="preserve"> </w:t>
            </w:r>
            <w:r>
              <w:t>under</w:t>
            </w:r>
            <w:r w:rsidR="00932420">
              <w:t xml:space="preserve"> </w:t>
            </w:r>
            <w:r>
              <w:t>the</w:t>
            </w:r>
            <w:r w:rsidR="00932420">
              <w:t xml:space="preserve"> </w:t>
            </w:r>
            <w:r>
              <w:t>Alice</w:t>
            </w:r>
            <w:r w:rsidR="00932420">
              <w:t xml:space="preserve"> </w:t>
            </w:r>
            <w:r>
              <w:t>Anderson</w:t>
            </w:r>
            <w:r w:rsidR="00932420">
              <w:t xml:space="preserve"> </w:t>
            </w:r>
            <w:r>
              <w:t>Fund</w:t>
            </w:r>
            <w:r w:rsidR="00932420">
              <w:t xml:space="preserve"> </w:t>
            </w:r>
            <w:r>
              <w:t>initiative</w:t>
            </w:r>
          </w:p>
          <w:p w14:paraId="3598CC30" w14:textId="4448BDB8" w:rsidR="00065E2C" w:rsidRPr="00065E2C" w:rsidRDefault="00065E2C" w:rsidP="00065E2C">
            <w:pPr>
              <w:pStyle w:val="TableCopy"/>
              <w:rPr>
                <w:i/>
                <w:iCs/>
              </w:rPr>
            </w:pPr>
            <w:r w:rsidRPr="00065E2C">
              <w:rPr>
                <w:i/>
                <w:iCs/>
              </w:rPr>
              <w:t>Lower result as fewer co-investment opportunities were submitted than anticipated. However, successful applications sought co-investment in female-led start-ups at the higher end of the program’s investment range.</w:t>
            </w:r>
          </w:p>
        </w:tc>
        <w:tc>
          <w:tcPr>
            <w:tcW w:w="1134" w:type="dxa"/>
          </w:tcPr>
          <w:p w14:paraId="41DE1AD7" w14:textId="77777777" w:rsidR="00CA3C5B" w:rsidRDefault="00260033" w:rsidP="00065E2C">
            <w:pPr>
              <w:pStyle w:val="TableCopy"/>
            </w:pPr>
            <w:r>
              <w:t>number</w:t>
            </w:r>
          </w:p>
        </w:tc>
        <w:tc>
          <w:tcPr>
            <w:tcW w:w="1189" w:type="dxa"/>
          </w:tcPr>
          <w:p w14:paraId="00B875F0" w14:textId="77777777" w:rsidR="00CA3C5B" w:rsidRDefault="00260033" w:rsidP="00C0271E">
            <w:pPr>
              <w:pStyle w:val="TableCopy"/>
              <w:jc w:val="right"/>
            </w:pPr>
            <w:r>
              <w:t>27</w:t>
            </w:r>
          </w:p>
        </w:tc>
        <w:tc>
          <w:tcPr>
            <w:tcW w:w="1204" w:type="dxa"/>
          </w:tcPr>
          <w:p w14:paraId="3F9124C5" w14:textId="77777777" w:rsidR="00CA3C5B" w:rsidRDefault="00260033" w:rsidP="00C0271E">
            <w:pPr>
              <w:pStyle w:val="TableCopy"/>
              <w:jc w:val="right"/>
            </w:pPr>
            <w:r>
              <w:t>40</w:t>
            </w:r>
          </w:p>
        </w:tc>
        <w:tc>
          <w:tcPr>
            <w:tcW w:w="1414" w:type="dxa"/>
          </w:tcPr>
          <w:p w14:paraId="3E3C7654" w14:textId="77777777" w:rsidR="00CA3C5B" w:rsidRDefault="00260033" w:rsidP="00C0271E">
            <w:pPr>
              <w:pStyle w:val="TableCopy"/>
              <w:jc w:val="right"/>
            </w:pPr>
            <w:r>
              <w:t>-32.5%</w:t>
            </w:r>
          </w:p>
        </w:tc>
        <w:tc>
          <w:tcPr>
            <w:tcW w:w="756" w:type="dxa"/>
          </w:tcPr>
          <w:p w14:paraId="309454E0" w14:textId="7F5DC209" w:rsidR="00CA3C5B" w:rsidRPr="009E1E84" w:rsidRDefault="009E1E84" w:rsidP="00C0271E">
            <w:pPr>
              <w:pStyle w:val="TableCopy"/>
              <w:jc w:val="right"/>
            </w:pPr>
            <w:r w:rsidRPr="009E1E84">
              <w:t>3</w:t>
            </w:r>
          </w:p>
        </w:tc>
      </w:tr>
      <w:tr w:rsidR="00CA3C5B" w14:paraId="63997895" w14:textId="77777777" w:rsidTr="008A738D">
        <w:trPr>
          <w:cantSplit/>
        </w:trPr>
        <w:tc>
          <w:tcPr>
            <w:tcW w:w="4531" w:type="dxa"/>
          </w:tcPr>
          <w:p w14:paraId="07EDF744" w14:textId="77777777" w:rsidR="00CA3C5B" w:rsidRDefault="00260033" w:rsidP="00065E2C">
            <w:pPr>
              <w:pStyle w:val="TableCopy"/>
            </w:pPr>
            <w:r>
              <w:t>Participation</w:t>
            </w:r>
            <w:r w:rsidR="00932420">
              <w:t xml:space="preserve"> </w:t>
            </w:r>
            <w:r>
              <w:t>in</w:t>
            </w:r>
            <w:r w:rsidR="00932420">
              <w:t xml:space="preserve"> </w:t>
            </w:r>
            <w:r>
              <w:t>Small</w:t>
            </w:r>
            <w:r w:rsidR="00932420">
              <w:t xml:space="preserve"> </w:t>
            </w:r>
            <w:r>
              <w:t>Business</w:t>
            </w:r>
            <w:r w:rsidR="00932420">
              <w:t xml:space="preserve"> </w:t>
            </w:r>
            <w:r>
              <w:t>Victoria</w:t>
            </w:r>
            <w:r w:rsidR="00932420">
              <w:t xml:space="preserve"> </w:t>
            </w:r>
            <w:r>
              <w:t>events</w:t>
            </w:r>
            <w:r w:rsidR="00932420">
              <w:t xml:space="preserve"> </w:t>
            </w:r>
            <w:r>
              <w:t>and</w:t>
            </w:r>
            <w:r w:rsidR="00932420">
              <w:t xml:space="preserve"> </w:t>
            </w:r>
            <w:r>
              <w:t>access</w:t>
            </w:r>
            <w:r w:rsidR="00932420">
              <w:t xml:space="preserve"> </w:t>
            </w:r>
            <w:r>
              <w:t>to</w:t>
            </w:r>
            <w:r w:rsidR="00932420">
              <w:t xml:space="preserve"> </w:t>
            </w:r>
            <w:r>
              <w:t>business</w:t>
            </w:r>
            <w:r w:rsidR="00932420">
              <w:t xml:space="preserve"> </w:t>
            </w:r>
            <w:r>
              <w:t>programs</w:t>
            </w:r>
          </w:p>
          <w:p w14:paraId="36781518" w14:textId="4D99A38D" w:rsidR="00065E2C" w:rsidRPr="00065E2C" w:rsidRDefault="00065E2C" w:rsidP="00065E2C">
            <w:pPr>
              <w:pStyle w:val="TableCopy"/>
              <w:rPr>
                <w:i/>
                <w:iCs/>
              </w:rPr>
            </w:pPr>
            <w:r w:rsidRPr="00065E2C">
              <w:rPr>
                <w:i/>
                <w:iCs/>
              </w:rPr>
              <w:t>Higher result due to increased awareness of Small Business Victoria programs, resulting from better promotion of those programs.</w:t>
            </w:r>
          </w:p>
        </w:tc>
        <w:tc>
          <w:tcPr>
            <w:tcW w:w="1134" w:type="dxa"/>
          </w:tcPr>
          <w:p w14:paraId="37CE101D" w14:textId="77777777" w:rsidR="00CA3C5B" w:rsidRDefault="00260033" w:rsidP="00065E2C">
            <w:pPr>
              <w:pStyle w:val="TableCopy"/>
            </w:pPr>
            <w:r>
              <w:t>number</w:t>
            </w:r>
          </w:p>
        </w:tc>
        <w:tc>
          <w:tcPr>
            <w:tcW w:w="1189" w:type="dxa"/>
          </w:tcPr>
          <w:p w14:paraId="774CEC91" w14:textId="77777777" w:rsidR="00CA3C5B" w:rsidRDefault="00260033" w:rsidP="00C0271E">
            <w:pPr>
              <w:pStyle w:val="TableCopy"/>
              <w:jc w:val="right"/>
            </w:pPr>
            <w:r>
              <w:t>34,387</w:t>
            </w:r>
          </w:p>
        </w:tc>
        <w:tc>
          <w:tcPr>
            <w:tcW w:w="1204" w:type="dxa"/>
          </w:tcPr>
          <w:p w14:paraId="5D1C742E" w14:textId="77777777" w:rsidR="00CA3C5B" w:rsidRDefault="00260033" w:rsidP="00C0271E">
            <w:pPr>
              <w:pStyle w:val="TableCopy"/>
              <w:jc w:val="right"/>
            </w:pPr>
            <w:r>
              <w:t>20,000</w:t>
            </w:r>
          </w:p>
        </w:tc>
        <w:tc>
          <w:tcPr>
            <w:tcW w:w="1414" w:type="dxa"/>
          </w:tcPr>
          <w:p w14:paraId="27A1EC25" w14:textId="77777777" w:rsidR="00CA3C5B" w:rsidRDefault="00260033" w:rsidP="00C0271E">
            <w:pPr>
              <w:pStyle w:val="TableCopy"/>
              <w:jc w:val="right"/>
            </w:pPr>
            <w:r>
              <w:t>71.9%</w:t>
            </w:r>
          </w:p>
        </w:tc>
        <w:tc>
          <w:tcPr>
            <w:tcW w:w="756" w:type="dxa"/>
          </w:tcPr>
          <w:p w14:paraId="09ECFC58" w14:textId="2B9A614A" w:rsidR="00CA3C5B" w:rsidRDefault="00F246C6" w:rsidP="00C0271E">
            <w:pPr>
              <w:pStyle w:val="TableCopy"/>
              <w:jc w:val="right"/>
            </w:pPr>
            <w:r w:rsidRPr="00F246C6">
              <w:t>1</w:t>
            </w:r>
          </w:p>
        </w:tc>
      </w:tr>
      <w:tr w:rsidR="00CA3C5B" w14:paraId="48FE9894" w14:textId="77777777" w:rsidTr="008A738D">
        <w:trPr>
          <w:cantSplit/>
        </w:trPr>
        <w:tc>
          <w:tcPr>
            <w:tcW w:w="4531" w:type="dxa"/>
          </w:tcPr>
          <w:p w14:paraId="62ECE9AD" w14:textId="77777777" w:rsidR="00CA3C5B" w:rsidRDefault="00260033" w:rsidP="00065E2C">
            <w:pPr>
              <w:pStyle w:val="TableCopy"/>
            </w:pPr>
            <w:r>
              <w:t>Private</w:t>
            </w:r>
            <w:r w:rsidR="00932420">
              <w:t xml:space="preserve"> </w:t>
            </w:r>
            <w:r>
              <w:t>sector</w:t>
            </w:r>
            <w:r w:rsidR="00932420">
              <w:t xml:space="preserve"> </w:t>
            </w:r>
            <w:r>
              <w:t>capital</w:t>
            </w:r>
            <w:r w:rsidR="00932420">
              <w:t xml:space="preserve"> </w:t>
            </w:r>
            <w:r>
              <w:t>leveraged</w:t>
            </w:r>
            <w:r w:rsidR="00932420">
              <w:t xml:space="preserve"> </w:t>
            </w:r>
            <w:r>
              <w:t>under</w:t>
            </w:r>
            <w:r w:rsidR="00932420">
              <w:t xml:space="preserve"> </w:t>
            </w:r>
            <w:r>
              <w:t>the</w:t>
            </w:r>
            <w:r w:rsidR="00932420">
              <w:t xml:space="preserve"> </w:t>
            </w:r>
            <w:r>
              <w:t>Victorian</w:t>
            </w:r>
            <w:r w:rsidR="00932420">
              <w:t xml:space="preserve"> </w:t>
            </w:r>
            <w:proofErr w:type="spellStart"/>
            <w:r>
              <w:t>Startup</w:t>
            </w:r>
            <w:proofErr w:type="spellEnd"/>
            <w:r w:rsidR="00932420">
              <w:t xml:space="preserve"> </w:t>
            </w:r>
            <w:r>
              <w:t>Capital</w:t>
            </w:r>
            <w:r w:rsidR="00932420">
              <w:t xml:space="preserve"> </w:t>
            </w:r>
            <w:r>
              <w:t>Fund</w:t>
            </w:r>
            <w:r w:rsidR="00932420">
              <w:t xml:space="preserve"> </w:t>
            </w:r>
            <w:r>
              <w:t>initiative</w:t>
            </w:r>
          </w:p>
          <w:p w14:paraId="6C91B190" w14:textId="11A4425E" w:rsidR="00065E2C" w:rsidRPr="00065E2C" w:rsidRDefault="00065E2C" w:rsidP="00065E2C">
            <w:pPr>
              <w:pStyle w:val="TableCopy"/>
              <w:rPr>
                <w:i/>
                <w:iCs/>
              </w:rPr>
            </w:pPr>
            <w:r w:rsidRPr="00065E2C">
              <w:rPr>
                <w:i/>
                <w:iCs/>
                <w:spacing w:val="1"/>
              </w:rPr>
              <w:t xml:space="preserve">Lower result as no private capital was raised in the 2022–23 financial year. Changing market conditions did not make the operation </w:t>
            </w:r>
            <w:r w:rsidRPr="00065E2C">
              <w:rPr>
                <w:i/>
                <w:iCs/>
              </w:rPr>
              <w:t>of the Victorian Start-up Capital Fund as a Fund-of-Funds model viable.</w:t>
            </w:r>
          </w:p>
        </w:tc>
        <w:tc>
          <w:tcPr>
            <w:tcW w:w="1134" w:type="dxa"/>
          </w:tcPr>
          <w:p w14:paraId="2C55CBCA" w14:textId="62AE5002" w:rsidR="00CA3C5B" w:rsidRDefault="00260033" w:rsidP="00065E2C">
            <w:pPr>
              <w:pStyle w:val="TableCopy"/>
            </w:pPr>
            <w:r>
              <w:t>$</w:t>
            </w:r>
            <w:r w:rsidR="00932420">
              <w:t xml:space="preserve"> </w:t>
            </w:r>
            <w:r>
              <w:t>million</w:t>
            </w:r>
          </w:p>
        </w:tc>
        <w:tc>
          <w:tcPr>
            <w:tcW w:w="1189" w:type="dxa"/>
          </w:tcPr>
          <w:p w14:paraId="7277BC34" w14:textId="77777777" w:rsidR="00CA3C5B" w:rsidRDefault="00260033" w:rsidP="00C0271E">
            <w:pPr>
              <w:pStyle w:val="TableCopy"/>
              <w:jc w:val="right"/>
            </w:pPr>
            <w:r>
              <w:t>0</w:t>
            </w:r>
          </w:p>
        </w:tc>
        <w:tc>
          <w:tcPr>
            <w:tcW w:w="1204" w:type="dxa"/>
          </w:tcPr>
          <w:p w14:paraId="767BFD17" w14:textId="77777777" w:rsidR="00CA3C5B" w:rsidRDefault="00260033" w:rsidP="00C0271E">
            <w:pPr>
              <w:pStyle w:val="TableCopy"/>
              <w:jc w:val="right"/>
            </w:pPr>
            <w:r>
              <w:t>40</w:t>
            </w:r>
          </w:p>
        </w:tc>
        <w:tc>
          <w:tcPr>
            <w:tcW w:w="1414" w:type="dxa"/>
          </w:tcPr>
          <w:p w14:paraId="0DA95245" w14:textId="77777777" w:rsidR="00CA3C5B" w:rsidRDefault="00260033" w:rsidP="00C0271E">
            <w:pPr>
              <w:pStyle w:val="TableCopy"/>
              <w:jc w:val="right"/>
            </w:pPr>
            <w:r>
              <w:t>-100.0%</w:t>
            </w:r>
          </w:p>
        </w:tc>
        <w:tc>
          <w:tcPr>
            <w:tcW w:w="756" w:type="dxa"/>
          </w:tcPr>
          <w:p w14:paraId="33C5DEBC" w14:textId="32F524AE" w:rsidR="00CA3C5B" w:rsidRDefault="009E1E84" w:rsidP="00C0271E">
            <w:pPr>
              <w:pStyle w:val="TableCopy"/>
              <w:jc w:val="right"/>
            </w:pPr>
            <w:r w:rsidRPr="009E1E84">
              <w:t>3</w:t>
            </w:r>
          </w:p>
        </w:tc>
      </w:tr>
      <w:tr w:rsidR="00CA3C5B" w14:paraId="4456B1AF" w14:textId="77777777" w:rsidTr="008A738D">
        <w:trPr>
          <w:cantSplit/>
        </w:trPr>
        <w:tc>
          <w:tcPr>
            <w:tcW w:w="4531" w:type="dxa"/>
          </w:tcPr>
          <w:p w14:paraId="2C8B9B4A" w14:textId="77777777" w:rsidR="00CA3C5B" w:rsidRDefault="00260033" w:rsidP="00065E2C">
            <w:pPr>
              <w:pStyle w:val="TableCopy"/>
            </w:pPr>
            <w:r>
              <w:lastRenderedPageBreak/>
              <w:t>Projects</w:t>
            </w:r>
            <w:r w:rsidR="00932420">
              <w:t xml:space="preserve"> </w:t>
            </w:r>
            <w:r>
              <w:t>supported</w:t>
            </w:r>
            <w:r w:rsidR="00932420">
              <w:t xml:space="preserve"> </w:t>
            </w:r>
            <w:r>
              <w:t>through</w:t>
            </w:r>
            <w:r w:rsidR="00932420">
              <w:t xml:space="preserve"> </w:t>
            </w:r>
            <w:r>
              <w:t>building</w:t>
            </w:r>
            <w:r w:rsidR="00932420">
              <w:t xml:space="preserve"> </w:t>
            </w:r>
            <w:r>
              <w:t>and</w:t>
            </w:r>
            <w:r w:rsidR="00932420">
              <w:t xml:space="preserve"> </w:t>
            </w:r>
            <w:r>
              <w:t>scaling</w:t>
            </w:r>
            <w:r w:rsidR="00932420">
              <w:t xml:space="preserve"> </w:t>
            </w:r>
            <w:r>
              <w:t>up</w:t>
            </w:r>
            <w:r w:rsidR="00932420">
              <w:t xml:space="preserve"> </w:t>
            </w:r>
            <w:r>
              <w:t>messenger</w:t>
            </w:r>
            <w:r w:rsidR="00932420">
              <w:t xml:space="preserve"> </w:t>
            </w:r>
            <w:r>
              <w:t>Ribonucleic</w:t>
            </w:r>
            <w:r w:rsidR="00932420">
              <w:t xml:space="preserve"> </w:t>
            </w:r>
            <w:r>
              <w:t>Acid</w:t>
            </w:r>
            <w:r w:rsidR="00932420">
              <w:t xml:space="preserve"> </w:t>
            </w:r>
            <w:r>
              <w:t>Vaccine</w:t>
            </w:r>
            <w:r w:rsidR="00932420">
              <w:t xml:space="preserve"> </w:t>
            </w:r>
            <w:r>
              <w:t>(mRNA)</w:t>
            </w:r>
            <w:r w:rsidR="00932420">
              <w:t xml:space="preserve"> </w:t>
            </w:r>
            <w:r>
              <w:t>manufacturing</w:t>
            </w:r>
            <w:r w:rsidR="00932420">
              <w:t xml:space="preserve"> </w:t>
            </w:r>
            <w:r>
              <w:t>capability</w:t>
            </w:r>
            <w:r w:rsidR="00932420">
              <w:t xml:space="preserve"> </w:t>
            </w:r>
            <w:r>
              <w:t>in</w:t>
            </w:r>
            <w:r w:rsidR="00932420">
              <w:t xml:space="preserve"> </w:t>
            </w:r>
            <w:r>
              <w:t>Victoria</w:t>
            </w:r>
          </w:p>
          <w:p w14:paraId="61AD2B5C" w14:textId="3A108261" w:rsidR="00065E2C" w:rsidRPr="00065E2C" w:rsidRDefault="00065E2C" w:rsidP="00065E2C">
            <w:pPr>
              <w:pStyle w:val="TableCopy"/>
              <w:rPr>
                <w:i/>
                <w:iCs/>
              </w:rPr>
            </w:pPr>
            <w:r w:rsidRPr="00065E2C">
              <w:rPr>
                <w:i/>
                <w:iCs/>
              </w:rPr>
              <w:t>Higher result due to the delivery of projects previously anticipated in 2021–22, and a larger than expected number of projects supported through the mRNA Victoria Activation Program.</w:t>
            </w:r>
          </w:p>
        </w:tc>
        <w:tc>
          <w:tcPr>
            <w:tcW w:w="1134" w:type="dxa"/>
          </w:tcPr>
          <w:p w14:paraId="4B6558F7" w14:textId="77777777" w:rsidR="00CA3C5B" w:rsidRDefault="00260033" w:rsidP="00065E2C">
            <w:pPr>
              <w:pStyle w:val="TableCopy"/>
            </w:pPr>
            <w:r>
              <w:t>number</w:t>
            </w:r>
          </w:p>
        </w:tc>
        <w:tc>
          <w:tcPr>
            <w:tcW w:w="1189" w:type="dxa"/>
          </w:tcPr>
          <w:p w14:paraId="0A12CED4" w14:textId="77777777" w:rsidR="00CA3C5B" w:rsidRDefault="00260033" w:rsidP="00C0271E">
            <w:pPr>
              <w:pStyle w:val="TableCopy"/>
              <w:jc w:val="right"/>
            </w:pPr>
            <w:r>
              <w:t>32</w:t>
            </w:r>
          </w:p>
        </w:tc>
        <w:tc>
          <w:tcPr>
            <w:tcW w:w="1204" w:type="dxa"/>
          </w:tcPr>
          <w:p w14:paraId="0E955F5B" w14:textId="77777777" w:rsidR="00CA3C5B" w:rsidRDefault="00260033" w:rsidP="00C0271E">
            <w:pPr>
              <w:pStyle w:val="TableCopy"/>
              <w:jc w:val="right"/>
            </w:pPr>
            <w:r>
              <w:t>7</w:t>
            </w:r>
          </w:p>
        </w:tc>
        <w:tc>
          <w:tcPr>
            <w:tcW w:w="1414" w:type="dxa"/>
          </w:tcPr>
          <w:p w14:paraId="1377CC5A" w14:textId="77777777" w:rsidR="00CA3C5B" w:rsidRDefault="00260033" w:rsidP="00C0271E">
            <w:pPr>
              <w:pStyle w:val="TableCopy"/>
              <w:jc w:val="right"/>
            </w:pPr>
            <w:r>
              <w:t>357.1%</w:t>
            </w:r>
          </w:p>
        </w:tc>
        <w:tc>
          <w:tcPr>
            <w:tcW w:w="756" w:type="dxa"/>
          </w:tcPr>
          <w:p w14:paraId="75E74533" w14:textId="10519D4E" w:rsidR="00CA3C5B" w:rsidRDefault="00F246C6" w:rsidP="00C0271E">
            <w:pPr>
              <w:pStyle w:val="TableCopy"/>
              <w:jc w:val="right"/>
            </w:pPr>
            <w:r w:rsidRPr="00F246C6">
              <w:t>1</w:t>
            </w:r>
          </w:p>
        </w:tc>
      </w:tr>
      <w:tr w:rsidR="00CA3C5B" w14:paraId="170B2005" w14:textId="77777777" w:rsidTr="008A738D">
        <w:trPr>
          <w:cantSplit/>
        </w:trPr>
        <w:tc>
          <w:tcPr>
            <w:tcW w:w="4531" w:type="dxa"/>
          </w:tcPr>
          <w:p w14:paraId="36970836" w14:textId="77777777" w:rsidR="00CA3C5B" w:rsidRDefault="00260033" w:rsidP="00065E2C">
            <w:pPr>
              <w:pStyle w:val="TableCopy"/>
            </w:pPr>
            <w:r>
              <w:t>Strategic</w:t>
            </w:r>
            <w:r w:rsidR="00932420">
              <w:t xml:space="preserve"> </w:t>
            </w:r>
            <w:r>
              <w:t>priority</w:t>
            </w:r>
            <w:r w:rsidR="00932420">
              <w:t xml:space="preserve"> </w:t>
            </w:r>
            <w:r>
              <w:t>businesses</w:t>
            </w:r>
            <w:r w:rsidR="00932420">
              <w:t xml:space="preserve"> </w:t>
            </w:r>
            <w:r>
              <w:t>engaged</w:t>
            </w:r>
            <w:r w:rsidR="00932420">
              <w:t xml:space="preserve"> </w:t>
            </w:r>
            <w:r>
              <w:t>on</w:t>
            </w:r>
            <w:r w:rsidR="00932420">
              <w:t xml:space="preserve"> </w:t>
            </w:r>
            <w:r>
              <w:t>investment</w:t>
            </w:r>
            <w:r w:rsidR="00932420">
              <w:t xml:space="preserve"> </w:t>
            </w:r>
            <w:r>
              <w:t>and</w:t>
            </w:r>
            <w:r w:rsidR="00932420">
              <w:t xml:space="preserve"> </w:t>
            </w:r>
            <w:r>
              <w:t>growth</w:t>
            </w:r>
          </w:p>
          <w:p w14:paraId="33275F32" w14:textId="58E519A2" w:rsidR="00065E2C" w:rsidRPr="00065E2C" w:rsidRDefault="00065E2C" w:rsidP="00065E2C">
            <w:pPr>
              <w:pStyle w:val="TableCopy"/>
              <w:rPr>
                <w:i/>
                <w:iCs/>
              </w:rPr>
            </w:pPr>
            <w:r w:rsidRPr="00065E2C">
              <w:rPr>
                <w:i/>
                <w:iCs/>
              </w:rPr>
              <w:t>Higher result due to additional targeted engagement with businesses in relation to industry transition and floods.</w:t>
            </w:r>
          </w:p>
        </w:tc>
        <w:tc>
          <w:tcPr>
            <w:tcW w:w="1134" w:type="dxa"/>
          </w:tcPr>
          <w:p w14:paraId="087BCBB9" w14:textId="77777777" w:rsidR="00CA3C5B" w:rsidRDefault="00260033" w:rsidP="00065E2C">
            <w:pPr>
              <w:pStyle w:val="TableCopy"/>
            </w:pPr>
            <w:r>
              <w:t>number</w:t>
            </w:r>
          </w:p>
        </w:tc>
        <w:tc>
          <w:tcPr>
            <w:tcW w:w="1189" w:type="dxa"/>
          </w:tcPr>
          <w:p w14:paraId="1043216C" w14:textId="77777777" w:rsidR="00CA3C5B" w:rsidRDefault="00260033" w:rsidP="00C0271E">
            <w:pPr>
              <w:pStyle w:val="TableCopy"/>
              <w:jc w:val="right"/>
            </w:pPr>
            <w:r>
              <w:t>1,602</w:t>
            </w:r>
          </w:p>
        </w:tc>
        <w:tc>
          <w:tcPr>
            <w:tcW w:w="1204" w:type="dxa"/>
          </w:tcPr>
          <w:p w14:paraId="7A65DBF6" w14:textId="77777777" w:rsidR="00CA3C5B" w:rsidRDefault="00260033" w:rsidP="00C0271E">
            <w:pPr>
              <w:pStyle w:val="TableCopy"/>
              <w:jc w:val="right"/>
            </w:pPr>
            <w:r>
              <w:t>1,500</w:t>
            </w:r>
          </w:p>
        </w:tc>
        <w:tc>
          <w:tcPr>
            <w:tcW w:w="1414" w:type="dxa"/>
          </w:tcPr>
          <w:p w14:paraId="30B46142" w14:textId="77777777" w:rsidR="00CA3C5B" w:rsidRDefault="00260033" w:rsidP="00C0271E">
            <w:pPr>
              <w:pStyle w:val="TableCopy"/>
              <w:jc w:val="right"/>
            </w:pPr>
            <w:r>
              <w:t>6.8%</w:t>
            </w:r>
          </w:p>
        </w:tc>
        <w:tc>
          <w:tcPr>
            <w:tcW w:w="756" w:type="dxa"/>
          </w:tcPr>
          <w:p w14:paraId="1303E23E" w14:textId="43E58E2F" w:rsidR="00CA3C5B" w:rsidRDefault="00F246C6" w:rsidP="00C0271E">
            <w:pPr>
              <w:pStyle w:val="TableCopy"/>
              <w:jc w:val="right"/>
            </w:pPr>
            <w:r w:rsidRPr="00F246C6">
              <w:t>1</w:t>
            </w:r>
          </w:p>
        </w:tc>
      </w:tr>
      <w:tr w:rsidR="00CA3C5B" w14:paraId="09A7838C" w14:textId="77777777" w:rsidTr="008A738D">
        <w:trPr>
          <w:cantSplit/>
        </w:trPr>
        <w:tc>
          <w:tcPr>
            <w:tcW w:w="4531" w:type="dxa"/>
          </w:tcPr>
          <w:p w14:paraId="19AD79FC" w14:textId="77777777" w:rsidR="00CA3C5B" w:rsidRDefault="00260033" w:rsidP="00065E2C">
            <w:pPr>
              <w:pStyle w:val="TableCopy"/>
            </w:pPr>
            <w:r>
              <w:t>Visits</w:t>
            </w:r>
            <w:r w:rsidR="00932420">
              <w:t xml:space="preserve"> </w:t>
            </w:r>
            <w:r>
              <w:t>to</w:t>
            </w:r>
            <w:r w:rsidR="00932420">
              <w:t xml:space="preserve"> </w:t>
            </w:r>
            <w:r>
              <w:t>Business</w:t>
            </w:r>
            <w:r w:rsidR="00932420">
              <w:t xml:space="preserve"> </w:t>
            </w:r>
            <w:r>
              <w:t>Victoria</w:t>
            </w:r>
            <w:r w:rsidR="00932420">
              <w:t xml:space="preserve"> </w:t>
            </w:r>
            <w:r>
              <w:t>digital</w:t>
            </w:r>
            <w:r w:rsidR="00932420">
              <w:t xml:space="preserve"> </w:t>
            </w:r>
            <w:r>
              <w:t>channels</w:t>
            </w:r>
          </w:p>
          <w:p w14:paraId="1D0A394C" w14:textId="59232A3C" w:rsidR="00065E2C" w:rsidRPr="00065E2C" w:rsidRDefault="00065E2C" w:rsidP="00065E2C">
            <w:pPr>
              <w:pStyle w:val="TableCopy"/>
              <w:rPr>
                <w:i/>
                <w:iCs/>
              </w:rPr>
            </w:pPr>
            <w:r w:rsidRPr="00065E2C">
              <w:rPr>
                <w:i/>
                <w:iCs/>
              </w:rPr>
              <w:t xml:space="preserve">Higher result due to increased engagement </w:t>
            </w:r>
            <w:proofErr w:type="gramStart"/>
            <w:r w:rsidRPr="00065E2C">
              <w:rPr>
                <w:i/>
                <w:iCs/>
              </w:rPr>
              <w:t>as a result of</w:t>
            </w:r>
            <w:proofErr w:type="gramEnd"/>
            <w:r w:rsidRPr="00065E2C">
              <w:rPr>
                <w:i/>
                <w:iCs/>
              </w:rPr>
              <w:t xml:space="preserve"> the COVID-19 pandemic.</w:t>
            </w:r>
          </w:p>
        </w:tc>
        <w:tc>
          <w:tcPr>
            <w:tcW w:w="1134" w:type="dxa"/>
          </w:tcPr>
          <w:p w14:paraId="2C44EB2F" w14:textId="77777777" w:rsidR="00CA3C5B" w:rsidRDefault="00260033" w:rsidP="00065E2C">
            <w:pPr>
              <w:pStyle w:val="TableCopy"/>
            </w:pPr>
            <w:r>
              <w:t>number</w:t>
            </w:r>
          </w:p>
        </w:tc>
        <w:tc>
          <w:tcPr>
            <w:tcW w:w="1189" w:type="dxa"/>
          </w:tcPr>
          <w:p w14:paraId="6AFF23FE" w14:textId="37F7815F" w:rsidR="00CA3C5B" w:rsidRDefault="00260033" w:rsidP="00C0271E">
            <w:pPr>
              <w:pStyle w:val="TableCopy"/>
              <w:jc w:val="right"/>
            </w:pPr>
            <w:r>
              <w:t>6,540,000</w:t>
            </w:r>
          </w:p>
        </w:tc>
        <w:tc>
          <w:tcPr>
            <w:tcW w:w="1204" w:type="dxa"/>
          </w:tcPr>
          <w:p w14:paraId="5914B0C5" w14:textId="2D2ADF45" w:rsidR="00CA3C5B" w:rsidRDefault="00260033" w:rsidP="00C0271E">
            <w:pPr>
              <w:pStyle w:val="TableCopy"/>
              <w:jc w:val="right"/>
            </w:pPr>
            <w:r>
              <w:t>4,000,000</w:t>
            </w:r>
          </w:p>
        </w:tc>
        <w:tc>
          <w:tcPr>
            <w:tcW w:w="1414" w:type="dxa"/>
          </w:tcPr>
          <w:p w14:paraId="09CE6C2E" w14:textId="77777777" w:rsidR="00CA3C5B" w:rsidRDefault="00260033" w:rsidP="00C0271E">
            <w:pPr>
              <w:pStyle w:val="TableCopy"/>
              <w:jc w:val="right"/>
            </w:pPr>
            <w:r>
              <w:t>63.5%</w:t>
            </w:r>
          </w:p>
        </w:tc>
        <w:tc>
          <w:tcPr>
            <w:tcW w:w="756" w:type="dxa"/>
          </w:tcPr>
          <w:p w14:paraId="4F18E8CB" w14:textId="22931AD1" w:rsidR="00CA3C5B" w:rsidRDefault="00F246C6" w:rsidP="00C0271E">
            <w:pPr>
              <w:pStyle w:val="TableCopy"/>
              <w:jc w:val="right"/>
            </w:pPr>
            <w:r w:rsidRPr="00F246C6">
              <w:t>1</w:t>
            </w:r>
          </w:p>
        </w:tc>
      </w:tr>
      <w:tr w:rsidR="00CA3C5B" w14:paraId="313A47CC" w14:textId="77777777" w:rsidTr="008A738D">
        <w:trPr>
          <w:cantSplit/>
        </w:trPr>
        <w:tc>
          <w:tcPr>
            <w:tcW w:w="4531" w:type="dxa"/>
          </w:tcPr>
          <w:p w14:paraId="6DC0346E" w14:textId="77777777" w:rsidR="00CA3C5B" w:rsidRDefault="00260033" w:rsidP="00F246C6">
            <w:pPr>
              <w:pStyle w:val="TableHeading"/>
            </w:pPr>
            <w:r>
              <w:t>Quality</w:t>
            </w:r>
          </w:p>
        </w:tc>
        <w:tc>
          <w:tcPr>
            <w:tcW w:w="1134" w:type="dxa"/>
          </w:tcPr>
          <w:p w14:paraId="01A864AA" w14:textId="77777777" w:rsidR="00CA3C5B" w:rsidRDefault="00CA3C5B" w:rsidP="00F246C6">
            <w:pPr>
              <w:pStyle w:val="TableCopy"/>
              <w:rPr>
                <w:lang w:val="en-AU"/>
              </w:rPr>
            </w:pPr>
          </w:p>
        </w:tc>
        <w:tc>
          <w:tcPr>
            <w:tcW w:w="1189" w:type="dxa"/>
          </w:tcPr>
          <w:p w14:paraId="342A753F" w14:textId="77777777" w:rsidR="00CA3C5B" w:rsidRDefault="00CA3C5B" w:rsidP="00C0271E">
            <w:pPr>
              <w:pStyle w:val="TableCopy"/>
              <w:jc w:val="right"/>
              <w:rPr>
                <w:lang w:val="en-AU"/>
              </w:rPr>
            </w:pPr>
          </w:p>
        </w:tc>
        <w:tc>
          <w:tcPr>
            <w:tcW w:w="1204" w:type="dxa"/>
          </w:tcPr>
          <w:p w14:paraId="5BE0C129" w14:textId="77777777" w:rsidR="00CA3C5B" w:rsidRDefault="00CA3C5B" w:rsidP="00C0271E">
            <w:pPr>
              <w:pStyle w:val="TableCopy"/>
              <w:jc w:val="right"/>
              <w:rPr>
                <w:lang w:val="en-AU"/>
              </w:rPr>
            </w:pPr>
          </w:p>
        </w:tc>
        <w:tc>
          <w:tcPr>
            <w:tcW w:w="1414" w:type="dxa"/>
          </w:tcPr>
          <w:p w14:paraId="585F2DFA" w14:textId="77777777" w:rsidR="00CA3C5B" w:rsidRDefault="00CA3C5B" w:rsidP="00C0271E">
            <w:pPr>
              <w:pStyle w:val="TableCopy"/>
              <w:jc w:val="right"/>
              <w:rPr>
                <w:lang w:val="en-AU"/>
              </w:rPr>
            </w:pPr>
          </w:p>
        </w:tc>
        <w:tc>
          <w:tcPr>
            <w:tcW w:w="756" w:type="dxa"/>
          </w:tcPr>
          <w:p w14:paraId="5673BD84" w14:textId="77777777" w:rsidR="00CA3C5B" w:rsidRDefault="00CA3C5B" w:rsidP="00C0271E">
            <w:pPr>
              <w:pStyle w:val="TableCopy"/>
              <w:jc w:val="right"/>
              <w:rPr>
                <w:lang w:val="en-AU"/>
              </w:rPr>
            </w:pPr>
          </w:p>
        </w:tc>
      </w:tr>
      <w:tr w:rsidR="00CA3C5B" w14:paraId="7D207106" w14:textId="77777777" w:rsidTr="008A738D">
        <w:trPr>
          <w:cantSplit/>
        </w:trPr>
        <w:tc>
          <w:tcPr>
            <w:tcW w:w="4531" w:type="dxa"/>
          </w:tcPr>
          <w:p w14:paraId="23E12498" w14:textId="3743D073" w:rsidR="00CA3C5B" w:rsidRDefault="00260033" w:rsidP="00F246C6">
            <w:pPr>
              <w:pStyle w:val="TableCopy"/>
            </w:pPr>
            <w:r>
              <w:t>Client</w:t>
            </w:r>
            <w:r w:rsidR="00932420">
              <w:t xml:space="preserve"> </w:t>
            </w:r>
            <w:r>
              <w:t>satisfaction</w:t>
            </w:r>
            <w:r w:rsidR="00932420">
              <w:t xml:space="preserve"> </w:t>
            </w:r>
            <w:r>
              <w:t>of</w:t>
            </w:r>
            <w:r w:rsidR="00932420">
              <w:t xml:space="preserve"> </w:t>
            </w:r>
            <w:r>
              <w:t>small</w:t>
            </w:r>
            <w:r w:rsidR="00932420">
              <w:t xml:space="preserve"> </w:t>
            </w:r>
            <w:r>
              <w:t>business</w:t>
            </w:r>
            <w:r w:rsidR="00932420">
              <w:t xml:space="preserve"> </w:t>
            </w:r>
            <w:r>
              <w:t>information,</w:t>
            </w:r>
            <w:r w:rsidR="00932420">
              <w:t xml:space="preserve"> </w:t>
            </w:r>
            <w:r>
              <w:t>referral,</w:t>
            </w:r>
            <w:r w:rsidR="00932420">
              <w:t xml:space="preserve"> </w:t>
            </w:r>
            <w:r>
              <w:t>coaching</w:t>
            </w:r>
            <w:r w:rsidR="00932420">
              <w:t xml:space="preserve"> </w:t>
            </w:r>
            <w:proofErr w:type="gramStart"/>
            <w:r>
              <w:t>service</w:t>
            </w:r>
            <w:proofErr w:type="gramEnd"/>
            <w:r w:rsidR="00932420">
              <w:t xml:space="preserve"> </w:t>
            </w:r>
            <w:r>
              <w:t>and</w:t>
            </w:r>
            <w:r w:rsidR="00932420">
              <w:t xml:space="preserve"> </w:t>
            </w:r>
            <w:r>
              <w:t>business</w:t>
            </w:r>
            <w:r w:rsidR="00932420">
              <w:t xml:space="preserve"> </w:t>
            </w:r>
            <w:r>
              <w:t>programs</w:t>
            </w:r>
          </w:p>
        </w:tc>
        <w:tc>
          <w:tcPr>
            <w:tcW w:w="1134" w:type="dxa"/>
          </w:tcPr>
          <w:p w14:paraId="0F4599A3" w14:textId="0E6F0D8F" w:rsidR="00CA3C5B" w:rsidRDefault="00260033" w:rsidP="00F246C6">
            <w:pPr>
              <w:pStyle w:val="TableCopy"/>
            </w:pPr>
            <w:r>
              <w:t>per</w:t>
            </w:r>
            <w:r w:rsidR="00932420">
              <w:t xml:space="preserve"> </w:t>
            </w:r>
            <w:r>
              <w:t>cent</w:t>
            </w:r>
          </w:p>
        </w:tc>
        <w:tc>
          <w:tcPr>
            <w:tcW w:w="1189" w:type="dxa"/>
          </w:tcPr>
          <w:p w14:paraId="7C23C173" w14:textId="77777777" w:rsidR="00CA3C5B" w:rsidRDefault="00260033" w:rsidP="00C0271E">
            <w:pPr>
              <w:pStyle w:val="TableCopy"/>
              <w:jc w:val="right"/>
            </w:pPr>
            <w:r>
              <w:t>94</w:t>
            </w:r>
          </w:p>
        </w:tc>
        <w:tc>
          <w:tcPr>
            <w:tcW w:w="1204" w:type="dxa"/>
          </w:tcPr>
          <w:p w14:paraId="02C164AC" w14:textId="77777777" w:rsidR="00CA3C5B" w:rsidRDefault="00260033" w:rsidP="00C0271E">
            <w:pPr>
              <w:pStyle w:val="TableCopy"/>
              <w:jc w:val="right"/>
            </w:pPr>
            <w:r>
              <w:t>90</w:t>
            </w:r>
          </w:p>
        </w:tc>
        <w:tc>
          <w:tcPr>
            <w:tcW w:w="1414" w:type="dxa"/>
          </w:tcPr>
          <w:p w14:paraId="503FD2C1" w14:textId="77777777" w:rsidR="00CA3C5B" w:rsidRDefault="00260033" w:rsidP="00C0271E">
            <w:pPr>
              <w:pStyle w:val="TableCopy"/>
              <w:jc w:val="right"/>
            </w:pPr>
            <w:r>
              <w:t>4.4%</w:t>
            </w:r>
          </w:p>
        </w:tc>
        <w:tc>
          <w:tcPr>
            <w:tcW w:w="756" w:type="dxa"/>
          </w:tcPr>
          <w:p w14:paraId="3B851FC4" w14:textId="2B6F1ABA" w:rsidR="00CA3C5B" w:rsidRDefault="00F246C6" w:rsidP="00C0271E">
            <w:pPr>
              <w:pStyle w:val="TableCopy"/>
              <w:jc w:val="right"/>
            </w:pPr>
            <w:r w:rsidRPr="00F246C6">
              <w:t>1</w:t>
            </w:r>
          </w:p>
        </w:tc>
      </w:tr>
      <w:tr w:rsidR="00CA3C5B" w14:paraId="331BFC1C" w14:textId="77777777" w:rsidTr="008A738D">
        <w:trPr>
          <w:cantSplit/>
        </w:trPr>
        <w:tc>
          <w:tcPr>
            <w:tcW w:w="4531" w:type="dxa"/>
          </w:tcPr>
          <w:p w14:paraId="609CF6AD" w14:textId="6FE1C130" w:rsidR="00CA3C5B" w:rsidRDefault="00260033" w:rsidP="00F246C6">
            <w:pPr>
              <w:pStyle w:val="TableCopy"/>
            </w:pPr>
            <w:r>
              <w:t>Client</w:t>
            </w:r>
            <w:r w:rsidR="00932420">
              <w:t xml:space="preserve"> </w:t>
            </w:r>
            <w:r>
              <w:t>satisfaction</w:t>
            </w:r>
            <w:r w:rsidR="00932420">
              <w:t xml:space="preserve"> </w:t>
            </w:r>
            <w:r>
              <w:t>with</w:t>
            </w:r>
            <w:r w:rsidR="00932420">
              <w:t xml:space="preserve"> </w:t>
            </w:r>
            <w:r>
              <w:t>the</w:t>
            </w:r>
            <w:r w:rsidR="00932420">
              <w:t xml:space="preserve"> </w:t>
            </w:r>
            <w:r>
              <w:t>Victorian</w:t>
            </w:r>
            <w:r w:rsidR="00932420">
              <w:t xml:space="preserve"> </w:t>
            </w:r>
            <w:r>
              <w:t>Government</w:t>
            </w:r>
            <w:r w:rsidR="00932420">
              <w:t xml:space="preserve"> </w:t>
            </w:r>
            <w:r>
              <w:t>Business</w:t>
            </w:r>
            <w:r w:rsidR="00932420">
              <w:t xml:space="preserve"> </w:t>
            </w:r>
            <w:r>
              <w:t>Offices</w:t>
            </w:r>
          </w:p>
        </w:tc>
        <w:tc>
          <w:tcPr>
            <w:tcW w:w="1134" w:type="dxa"/>
          </w:tcPr>
          <w:p w14:paraId="00B042AA" w14:textId="713175E9" w:rsidR="00CA3C5B" w:rsidRDefault="00260033" w:rsidP="00F246C6">
            <w:pPr>
              <w:pStyle w:val="TableCopy"/>
            </w:pPr>
            <w:r>
              <w:t>per</w:t>
            </w:r>
            <w:r w:rsidR="00932420">
              <w:t xml:space="preserve"> </w:t>
            </w:r>
            <w:r>
              <w:t>cent</w:t>
            </w:r>
          </w:p>
        </w:tc>
        <w:tc>
          <w:tcPr>
            <w:tcW w:w="1189" w:type="dxa"/>
          </w:tcPr>
          <w:p w14:paraId="04FA11E2" w14:textId="77777777" w:rsidR="00CA3C5B" w:rsidRDefault="00260033" w:rsidP="00C0271E">
            <w:pPr>
              <w:pStyle w:val="TableCopy"/>
              <w:jc w:val="right"/>
            </w:pPr>
            <w:r>
              <w:t>83.6</w:t>
            </w:r>
          </w:p>
        </w:tc>
        <w:tc>
          <w:tcPr>
            <w:tcW w:w="1204" w:type="dxa"/>
          </w:tcPr>
          <w:p w14:paraId="088CBF55" w14:textId="77777777" w:rsidR="00CA3C5B" w:rsidRDefault="00260033" w:rsidP="00C0271E">
            <w:pPr>
              <w:pStyle w:val="TableCopy"/>
              <w:jc w:val="right"/>
            </w:pPr>
            <w:r>
              <w:t>80</w:t>
            </w:r>
          </w:p>
        </w:tc>
        <w:tc>
          <w:tcPr>
            <w:tcW w:w="1414" w:type="dxa"/>
          </w:tcPr>
          <w:p w14:paraId="1A94CFA5" w14:textId="77777777" w:rsidR="00CA3C5B" w:rsidRDefault="00260033" w:rsidP="00C0271E">
            <w:pPr>
              <w:pStyle w:val="TableCopy"/>
              <w:jc w:val="right"/>
            </w:pPr>
            <w:r>
              <w:t>4.5%</w:t>
            </w:r>
          </w:p>
        </w:tc>
        <w:tc>
          <w:tcPr>
            <w:tcW w:w="756" w:type="dxa"/>
          </w:tcPr>
          <w:p w14:paraId="59EEA425" w14:textId="069DE86E" w:rsidR="00CA3C5B" w:rsidRDefault="00F246C6" w:rsidP="00C0271E">
            <w:pPr>
              <w:pStyle w:val="TableCopy"/>
              <w:jc w:val="right"/>
            </w:pPr>
            <w:r w:rsidRPr="00F246C6">
              <w:t>1</w:t>
            </w:r>
          </w:p>
        </w:tc>
      </w:tr>
      <w:tr w:rsidR="00CA3C5B" w14:paraId="060A9BFC" w14:textId="77777777" w:rsidTr="008A738D">
        <w:trPr>
          <w:cantSplit/>
        </w:trPr>
        <w:tc>
          <w:tcPr>
            <w:tcW w:w="4531" w:type="dxa"/>
          </w:tcPr>
          <w:p w14:paraId="34D4B0E1" w14:textId="77777777" w:rsidR="00CA3C5B" w:rsidRDefault="00260033" w:rsidP="00F246C6">
            <w:pPr>
              <w:pStyle w:val="TableCopy"/>
            </w:pPr>
            <w:r>
              <w:t>Client</w:t>
            </w:r>
            <w:r w:rsidR="00932420">
              <w:t xml:space="preserve"> </w:t>
            </w:r>
            <w:r>
              <w:t>satisfaction</w:t>
            </w:r>
            <w:r w:rsidR="00932420">
              <w:t xml:space="preserve"> </w:t>
            </w:r>
            <w:r>
              <w:t>with</w:t>
            </w:r>
            <w:r w:rsidR="00932420">
              <w:t xml:space="preserve"> </w:t>
            </w:r>
            <w:r>
              <w:t>Victorian</w:t>
            </w:r>
            <w:r w:rsidR="00932420">
              <w:t xml:space="preserve"> </w:t>
            </w:r>
            <w:r>
              <w:t>Small</w:t>
            </w:r>
            <w:r w:rsidR="00932420">
              <w:t xml:space="preserve"> </w:t>
            </w:r>
            <w:r>
              <w:t>Business</w:t>
            </w:r>
            <w:r w:rsidR="00932420">
              <w:t xml:space="preserve"> </w:t>
            </w:r>
            <w:r>
              <w:t>Commission</w:t>
            </w:r>
            <w:r w:rsidR="00932420">
              <w:t xml:space="preserve"> </w:t>
            </w:r>
            <w:r>
              <w:t>mediation</w:t>
            </w:r>
            <w:r w:rsidR="00932420">
              <w:t xml:space="preserve"> </w:t>
            </w:r>
            <w:r>
              <w:t>service</w:t>
            </w:r>
          </w:p>
          <w:p w14:paraId="53A393F7" w14:textId="749924BA" w:rsidR="00F246C6" w:rsidRPr="00F246C6" w:rsidRDefault="00F246C6" w:rsidP="00F246C6">
            <w:pPr>
              <w:pStyle w:val="TableCopy"/>
              <w:rPr>
                <w:i/>
                <w:iCs/>
              </w:rPr>
            </w:pPr>
            <w:r w:rsidRPr="00F246C6">
              <w:rPr>
                <w:i/>
                <w:iCs/>
              </w:rPr>
              <w:t>Lower result is due to increased complexity of disputes relating to the COVID-19 pandemic.</w:t>
            </w:r>
          </w:p>
        </w:tc>
        <w:tc>
          <w:tcPr>
            <w:tcW w:w="1134" w:type="dxa"/>
          </w:tcPr>
          <w:p w14:paraId="457043BF" w14:textId="20D67015" w:rsidR="00CA3C5B" w:rsidRDefault="00260033" w:rsidP="00F246C6">
            <w:pPr>
              <w:pStyle w:val="TableCopy"/>
            </w:pPr>
            <w:r>
              <w:t>per</w:t>
            </w:r>
            <w:r w:rsidR="00932420">
              <w:t xml:space="preserve"> </w:t>
            </w:r>
            <w:r>
              <w:t>cent</w:t>
            </w:r>
          </w:p>
        </w:tc>
        <w:tc>
          <w:tcPr>
            <w:tcW w:w="1189" w:type="dxa"/>
          </w:tcPr>
          <w:p w14:paraId="7EE3C821" w14:textId="77777777" w:rsidR="00CA3C5B" w:rsidRDefault="00260033" w:rsidP="00C0271E">
            <w:pPr>
              <w:pStyle w:val="TableCopy"/>
              <w:jc w:val="right"/>
            </w:pPr>
            <w:r>
              <w:t>80</w:t>
            </w:r>
          </w:p>
        </w:tc>
        <w:tc>
          <w:tcPr>
            <w:tcW w:w="1204" w:type="dxa"/>
          </w:tcPr>
          <w:p w14:paraId="0381A0B7" w14:textId="77777777" w:rsidR="00CA3C5B" w:rsidRDefault="00260033" w:rsidP="00C0271E">
            <w:pPr>
              <w:pStyle w:val="TableCopy"/>
              <w:jc w:val="right"/>
            </w:pPr>
            <w:r>
              <w:t>85</w:t>
            </w:r>
          </w:p>
        </w:tc>
        <w:tc>
          <w:tcPr>
            <w:tcW w:w="1414" w:type="dxa"/>
          </w:tcPr>
          <w:p w14:paraId="1EFF3060" w14:textId="77777777" w:rsidR="00CA3C5B" w:rsidRDefault="00260033" w:rsidP="00C0271E">
            <w:pPr>
              <w:pStyle w:val="TableCopy"/>
              <w:jc w:val="right"/>
            </w:pPr>
            <w:r>
              <w:t>-5.9%</w:t>
            </w:r>
          </w:p>
        </w:tc>
        <w:tc>
          <w:tcPr>
            <w:tcW w:w="756" w:type="dxa"/>
          </w:tcPr>
          <w:p w14:paraId="3EEF8693" w14:textId="17EA12DB" w:rsidR="00CA3C5B" w:rsidRDefault="009E1E84" w:rsidP="00C0271E">
            <w:pPr>
              <w:pStyle w:val="TableCopy"/>
              <w:jc w:val="right"/>
            </w:pPr>
            <w:r w:rsidRPr="009E1E84">
              <w:t>3</w:t>
            </w:r>
          </w:p>
        </w:tc>
      </w:tr>
      <w:tr w:rsidR="00CA3C5B" w14:paraId="1A72DEC6" w14:textId="77777777" w:rsidTr="008A738D">
        <w:trPr>
          <w:cantSplit/>
        </w:trPr>
        <w:tc>
          <w:tcPr>
            <w:tcW w:w="4531" w:type="dxa"/>
          </w:tcPr>
          <w:p w14:paraId="458F1620" w14:textId="77777777" w:rsidR="00CA3C5B" w:rsidRDefault="00260033" w:rsidP="00F246C6">
            <w:pPr>
              <w:pStyle w:val="TableCopy"/>
            </w:pPr>
            <w:r>
              <w:lastRenderedPageBreak/>
              <w:t>Proportion</w:t>
            </w:r>
            <w:r w:rsidR="00932420">
              <w:t xml:space="preserve"> </w:t>
            </w:r>
            <w:r>
              <w:t>of</w:t>
            </w:r>
            <w:r w:rsidR="00932420">
              <w:t xml:space="preserve"> </w:t>
            </w:r>
            <w:r>
              <w:t>business</w:t>
            </w:r>
            <w:r w:rsidR="00932420">
              <w:t xml:space="preserve"> </w:t>
            </w:r>
            <w:r>
              <w:t>disputes</w:t>
            </w:r>
            <w:r w:rsidR="00932420">
              <w:t xml:space="preserve"> </w:t>
            </w:r>
            <w:r>
              <w:t>presented</w:t>
            </w:r>
            <w:r w:rsidR="00932420">
              <w:t xml:space="preserve"> </w:t>
            </w:r>
            <w:r>
              <w:t>to</w:t>
            </w:r>
            <w:r w:rsidR="00932420">
              <w:t xml:space="preserve"> </w:t>
            </w:r>
            <w:r>
              <w:t>the</w:t>
            </w:r>
            <w:r w:rsidR="00932420">
              <w:t xml:space="preserve"> </w:t>
            </w:r>
            <w:r>
              <w:t>Victorian</w:t>
            </w:r>
            <w:r w:rsidR="00932420">
              <w:t xml:space="preserve"> </w:t>
            </w:r>
            <w:r>
              <w:t>Small</w:t>
            </w:r>
            <w:r w:rsidR="00932420">
              <w:t xml:space="preserve"> </w:t>
            </w:r>
            <w:r>
              <w:t>Business</w:t>
            </w:r>
            <w:r w:rsidR="00932420">
              <w:t xml:space="preserve"> </w:t>
            </w:r>
            <w:r>
              <w:t>Commission</w:t>
            </w:r>
            <w:r w:rsidR="00932420">
              <w:t xml:space="preserve"> </w:t>
            </w:r>
            <w:r>
              <w:t>successfully</w:t>
            </w:r>
            <w:r w:rsidR="00932420">
              <w:t xml:space="preserve"> </w:t>
            </w:r>
            <w:r>
              <w:t>mediated</w:t>
            </w:r>
          </w:p>
          <w:p w14:paraId="5D11BA48" w14:textId="72CDD04A" w:rsidR="00F246C6" w:rsidRPr="00F246C6" w:rsidRDefault="00F246C6" w:rsidP="00F246C6">
            <w:pPr>
              <w:pStyle w:val="TableCopy"/>
              <w:rPr>
                <w:i/>
                <w:iCs/>
              </w:rPr>
            </w:pPr>
            <w:r w:rsidRPr="00F246C6">
              <w:rPr>
                <w:i/>
                <w:iCs/>
              </w:rPr>
              <w:t>Lower result reflects increased financial stresses on retail landlords and tenants following the effects of COVID-19 on market conditions, reducing capacity for participants to be able to negotiate successful outcomes at mediation.</w:t>
            </w:r>
          </w:p>
        </w:tc>
        <w:tc>
          <w:tcPr>
            <w:tcW w:w="1134" w:type="dxa"/>
          </w:tcPr>
          <w:p w14:paraId="0C24370C" w14:textId="37686924" w:rsidR="00CA3C5B" w:rsidRDefault="00260033" w:rsidP="00F246C6">
            <w:pPr>
              <w:pStyle w:val="TableCopy"/>
            </w:pPr>
            <w:r>
              <w:t>per</w:t>
            </w:r>
            <w:r w:rsidR="00932420">
              <w:t xml:space="preserve"> </w:t>
            </w:r>
            <w:r>
              <w:t>cent</w:t>
            </w:r>
          </w:p>
        </w:tc>
        <w:tc>
          <w:tcPr>
            <w:tcW w:w="1189" w:type="dxa"/>
          </w:tcPr>
          <w:p w14:paraId="6460877F" w14:textId="77777777" w:rsidR="00CA3C5B" w:rsidRDefault="00260033" w:rsidP="00C0271E">
            <w:pPr>
              <w:pStyle w:val="TableCopy"/>
              <w:jc w:val="right"/>
            </w:pPr>
            <w:r>
              <w:t>66.1</w:t>
            </w:r>
          </w:p>
        </w:tc>
        <w:tc>
          <w:tcPr>
            <w:tcW w:w="1204" w:type="dxa"/>
          </w:tcPr>
          <w:p w14:paraId="663AFF8E" w14:textId="77777777" w:rsidR="00CA3C5B" w:rsidRDefault="00260033" w:rsidP="00C0271E">
            <w:pPr>
              <w:pStyle w:val="TableCopy"/>
              <w:jc w:val="right"/>
            </w:pPr>
            <w:r>
              <w:t>75</w:t>
            </w:r>
          </w:p>
        </w:tc>
        <w:tc>
          <w:tcPr>
            <w:tcW w:w="1414" w:type="dxa"/>
          </w:tcPr>
          <w:p w14:paraId="006AE46C" w14:textId="77777777" w:rsidR="00CA3C5B" w:rsidRDefault="00260033" w:rsidP="00C0271E">
            <w:pPr>
              <w:pStyle w:val="TableCopy"/>
              <w:jc w:val="right"/>
            </w:pPr>
            <w:r>
              <w:t>-11.8%</w:t>
            </w:r>
          </w:p>
        </w:tc>
        <w:tc>
          <w:tcPr>
            <w:tcW w:w="756" w:type="dxa"/>
          </w:tcPr>
          <w:p w14:paraId="1FC9C40D" w14:textId="433928FB" w:rsidR="00CA3C5B" w:rsidRDefault="009E1E84" w:rsidP="00C0271E">
            <w:pPr>
              <w:pStyle w:val="TableCopy"/>
              <w:jc w:val="right"/>
            </w:pPr>
            <w:r w:rsidRPr="009E1E84">
              <w:t>3</w:t>
            </w:r>
          </w:p>
        </w:tc>
      </w:tr>
      <w:tr w:rsidR="00CA3C5B" w14:paraId="13D11A1F" w14:textId="77777777" w:rsidTr="008A738D">
        <w:trPr>
          <w:cantSplit/>
        </w:trPr>
        <w:tc>
          <w:tcPr>
            <w:tcW w:w="4531" w:type="dxa"/>
          </w:tcPr>
          <w:p w14:paraId="6EDF0387" w14:textId="77777777" w:rsidR="00CA3C5B" w:rsidRDefault="00260033" w:rsidP="00F246C6">
            <w:pPr>
              <w:pStyle w:val="TableCopy"/>
            </w:pPr>
            <w:r>
              <w:t>Proportion</w:t>
            </w:r>
            <w:r w:rsidR="00932420">
              <w:t xml:space="preserve"> </w:t>
            </w:r>
            <w:r>
              <w:t>of</w:t>
            </w:r>
            <w:r w:rsidR="00932420">
              <w:t xml:space="preserve"> </w:t>
            </w:r>
            <w:r>
              <w:t>business</w:t>
            </w:r>
            <w:r w:rsidR="00932420">
              <w:t xml:space="preserve"> </w:t>
            </w:r>
            <w:r>
              <w:t>disputes</w:t>
            </w:r>
            <w:r w:rsidR="00932420">
              <w:t xml:space="preserve"> </w:t>
            </w:r>
            <w:r>
              <w:t>resolved</w:t>
            </w:r>
            <w:r w:rsidR="00932420">
              <w:t xml:space="preserve"> </w:t>
            </w:r>
            <w:r>
              <w:t>by</w:t>
            </w:r>
            <w:r w:rsidR="00932420">
              <w:t xml:space="preserve"> </w:t>
            </w:r>
            <w:r>
              <w:t>the</w:t>
            </w:r>
            <w:r w:rsidR="00932420">
              <w:t xml:space="preserve"> </w:t>
            </w:r>
            <w:r>
              <w:t>Victorian</w:t>
            </w:r>
            <w:r w:rsidR="00932420">
              <w:t xml:space="preserve"> </w:t>
            </w:r>
            <w:r>
              <w:t>Small</w:t>
            </w:r>
            <w:r w:rsidR="00932420">
              <w:t xml:space="preserve"> </w:t>
            </w:r>
            <w:r>
              <w:t>Business</w:t>
            </w:r>
            <w:r w:rsidR="00932420">
              <w:t xml:space="preserve"> </w:t>
            </w:r>
            <w:r>
              <w:t>Commission</w:t>
            </w:r>
            <w:r w:rsidR="00932420">
              <w:t xml:space="preserve"> </w:t>
            </w:r>
            <w:r>
              <w:t>prior</w:t>
            </w:r>
            <w:r w:rsidR="00932420">
              <w:t xml:space="preserve"> </w:t>
            </w:r>
            <w:r>
              <w:t>to</w:t>
            </w:r>
            <w:r w:rsidR="00932420">
              <w:t xml:space="preserve"> </w:t>
            </w:r>
            <w:r>
              <w:t>mediation</w:t>
            </w:r>
          </w:p>
          <w:p w14:paraId="3953F125" w14:textId="568AC8D2" w:rsidR="00F246C6" w:rsidRPr="00F246C6" w:rsidRDefault="00F246C6" w:rsidP="00F246C6">
            <w:pPr>
              <w:pStyle w:val="TableCopy"/>
              <w:rPr>
                <w:i/>
                <w:iCs/>
              </w:rPr>
            </w:pPr>
            <w:r w:rsidRPr="00F246C6">
              <w:rPr>
                <w:i/>
                <w:iCs/>
              </w:rPr>
              <w:t>Higher result demonstrates effective application of the alternative dispute resolution processes and early assistance by the VSBC’s dispute resolution team.</w:t>
            </w:r>
          </w:p>
        </w:tc>
        <w:tc>
          <w:tcPr>
            <w:tcW w:w="1134" w:type="dxa"/>
          </w:tcPr>
          <w:p w14:paraId="6456F02E" w14:textId="665FEBD7" w:rsidR="00CA3C5B" w:rsidRDefault="00260033" w:rsidP="00F246C6">
            <w:pPr>
              <w:pStyle w:val="TableCopy"/>
            </w:pPr>
            <w:r>
              <w:t>per</w:t>
            </w:r>
            <w:r w:rsidR="00932420">
              <w:t xml:space="preserve"> </w:t>
            </w:r>
            <w:r>
              <w:t>cent</w:t>
            </w:r>
          </w:p>
        </w:tc>
        <w:tc>
          <w:tcPr>
            <w:tcW w:w="1189" w:type="dxa"/>
          </w:tcPr>
          <w:p w14:paraId="76490972" w14:textId="77777777" w:rsidR="00CA3C5B" w:rsidRDefault="00260033" w:rsidP="00C0271E">
            <w:pPr>
              <w:pStyle w:val="TableCopy"/>
              <w:jc w:val="right"/>
            </w:pPr>
            <w:r>
              <w:t>32.0</w:t>
            </w:r>
          </w:p>
        </w:tc>
        <w:tc>
          <w:tcPr>
            <w:tcW w:w="1204" w:type="dxa"/>
          </w:tcPr>
          <w:p w14:paraId="6AFC5A77" w14:textId="77777777" w:rsidR="00CA3C5B" w:rsidRDefault="00260033" w:rsidP="00C0271E">
            <w:pPr>
              <w:pStyle w:val="TableCopy"/>
              <w:jc w:val="right"/>
            </w:pPr>
            <w:r>
              <w:t>30</w:t>
            </w:r>
          </w:p>
        </w:tc>
        <w:tc>
          <w:tcPr>
            <w:tcW w:w="1414" w:type="dxa"/>
          </w:tcPr>
          <w:p w14:paraId="6E277167" w14:textId="77777777" w:rsidR="00CA3C5B" w:rsidRDefault="00260033" w:rsidP="00C0271E">
            <w:pPr>
              <w:pStyle w:val="TableCopy"/>
              <w:jc w:val="right"/>
            </w:pPr>
            <w:r>
              <w:t>6.5%</w:t>
            </w:r>
          </w:p>
        </w:tc>
        <w:tc>
          <w:tcPr>
            <w:tcW w:w="756" w:type="dxa"/>
          </w:tcPr>
          <w:p w14:paraId="7A366517" w14:textId="29DA9F81" w:rsidR="00CA3C5B" w:rsidRDefault="00F246C6" w:rsidP="00C0271E">
            <w:pPr>
              <w:pStyle w:val="TableCopy"/>
              <w:jc w:val="right"/>
            </w:pPr>
            <w:r w:rsidRPr="00F246C6">
              <w:t>1</w:t>
            </w:r>
          </w:p>
        </w:tc>
      </w:tr>
      <w:tr w:rsidR="00CA3C5B" w14:paraId="112E8A23" w14:textId="77777777" w:rsidTr="008A738D">
        <w:trPr>
          <w:cantSplit/>
        </w:trPr>
        <w:tc>
          <w:tcPr>
            <w:tcW w:w="4531" w:type="dxa"/>
          </w:tcPr>
          <w:p w14:paraId="6E9E95BC" w14:textId="77777777" w:rsidR="00CA3C5B" w:rsidRDefault="00260033" w:rsidP="00F246C6">
            <w:pPr>
              <w:pStyle w:val="TableHeading"/>
            </w:pPr>
            <w:r>
              <w:t>Cost</w:t>
            </w:r>
          </w:p>
        </w:tc>
        <w:tc>
          <w:tcPr>
            <w:tcW w:w="1134" w:type="dxa"/>
          </w:tcPr>
          <w:p w14:paraId="54E32F27" w14:textId="77777777" w:rsidR="00CA3C5B" w:rsidRDefault="00CA3C5B">
            <w:pPr>
              <w:pStyle w:val="NoParagraphStyle"/>
              <w:spacing w:line="240" w:lineRule="auto"/>
              <w:textAlignment w:val="auto"/>
              <w:rPr>
                <w:rFonts w:ascii="VIC Medium" w:hAnsi="VIC Medium" w:cstheme="minorBidi"/>
                <w:color w:val="auto"/>
                <w:lang w:val="en-AU"/>
              </w:rPr>
            </w:pPr>
          </w:p>
        </w:tc>
        <w:tc>
          <w:tcPr>
            <w:tcW w:w="1189" w:type="dxa"/>
          </w:tcPr>
          <w:p w14:paraId="2A94CDB3" w14:textId="77777777" w:rsidR="00CA3C5B" w:rsidRDefault="00CA3C5B" w:rsidP="00C0271E">
            <w:pPr>
              <w:pStyle w:val="NoParagraphStyle"/>
              <w:spacing w:line="240" w:lineRule="auto"/>
              <w:jc w:val="right"/>
              <w:textAlignment w:val="auto"/>
              <w:rPr>
                <w:rFonts w:ascii="VIC Medium" w:hAnsi="VIC Medium" w:cstheme="minorBidi"/>
                <w:color w:val="auto"/>
                <w:lang w:val="en-AU"/>
              </w:rPr>
            </w:pPr>
          </w:p>
        </w:tc>
        <w:tc>
          <w:tcPr>
            <w:tcW w:w="1204" w:type="dxa"/>
          </w:tcPr>
          <w:p w14:paraId="29A42066" w14:textId="77777777" w:rsidR="00CA3C5B" w:rsidRDefault="00CA3C5B" w:rsidP="00C0271E">
            <w:pPr>
              <w:pStyle w:val="NoParagraphStyle"/>
              <w:spacing w:line="240" w:lineRule="auto"/>
              <w:jc w:val="right"/>
              <w:textAlignment w:val="auto"/>
              <w:rPr>
                <w:rFonts w:ascii="VIC Medium" w:hAnsi="VIC Medium" w:cstheme="minorBidi"/>
                <w:color w:val="auto"/>
                <w:lang w:val="en-AU"/>
              </w:rPr>
            </w:pPr>
          </w:p>
        </w:tc>
        <w:tc>
          <w:tcPr>
            <w:tcW w:w="1414" w:type="dxa"/>
          </w:tcPr>
          <w:p w14:paraId="187BB0C4" w14:textId="77777777" w:rsidR="00CA3C5B" w:rsidRDefault="00CA3C5B" w:rsidP="00C0271E">
            <w:pPr>
              <w:pStyle w:val="NoParagraphStyle"/>
              <w:spacing w:line="240" w:lineRule="auto"/>
              <w:jc w:val="right"/>
              <w:textAlignment w:val="auto"/>
              <w:rPr>
                <w:rFonts w:ascii="VIC Medium" w:hAnsi="VIC Medium" w:cstheme="minorBidi"/>
                <w:color w:val="auto"/>
                <w:lang w:val="en-AU"/>
              </w:rPr>
            </w:pPr>
          </w:p>
        </w:tc>
        <w:tc>
          <w:tcPr>
            <w:tcW w:w="756" w:type="dxa"/>
          </w:tcPr>
          <w:p w14:paraId="5C38FC29" w14:textId="77777777" w:rsidR="00CA3C5B" w:rsidRDefault="00CA3C5B" w:rsidP="00C0271E">
            <w:pPr>
              <w:pStyle w:val="NoParagraphStyle"/>
              <w:spacing w:line="240" w:lineRule="auto"/>
              <w:jc w:val="right"/>
              <w:textAlignment w:val="auto"/>
              <w:rPr>
                <w:rFonts w:ascii="VIC Medium" w:hAnsi="VIC Medium" w:cstheme="minorBidi"/>
                <w:color w:val="auto"/>
                <w:lang w:val="en-AU"/>
              </w:rPr>
            </w:pPr>
          </w:p>
        </w:tc>
      </w:tr>
      <w:tr w:rsidR="00CA3C5B" w:rsidRPr="00F246C6" w14:paraId="411436E8" w14:textId="77777777" w:rsidTr="008A738D">
        <w:trPr>
          <w:cantSplit/>
        </w:trPr>
        <w:tc>
          <w:tcPr>
            <w:tcW w:w="4531" w:type="dxa"/>
          </w:tcPr>
          <w:p w14:paraId="41762101" w14:textId="29CB135D" w:rsidR="00CA3C5B" w:rsidRPr="00F246C6" w:rsidRDefault="00260033" w:rsidP="00F246C6">
            <w:pPr>
              <w:pStyle w:val="TableCopy"/>
              <w:rPr>
                <w:b/>
                <w:bCs/>
              </w:rPr>
            </w:pPr>
            <w:r w:rsidRPr="00F246C6">
              <w:rPr>
                <w:b/>
                <w:bCs/>
              </w:rPr>
              <w:t>Total</w:t>
            </w:r>
            <w:r w:rsidR="00932420" w:rsidRPr="00F246C6">
              <w:rPr>
                <w:b/>
                <w:bCs/>
              </w:rPr>
              <w:t xml:space="preserve"> </w:t>
            </w:r>
            <w:r w:rsidRPr="00F246C6">
              <w:rPr>
                <w:b/>
                <w:bCs/>
              </w:rPr>
              <w:t>output</w:t>
            </w:r>
            <w:r w:rsidR="00932420" w:rsidRPr="00F246C6">
              <w:rPr>
                <w:b/>
                <w:bCs/>
              </w:rPr>
              <w:t xml:space="preserve"> </w:t>
            </w:r>
            <w:r w:rsidRPr="00F246C6">
              <w:rPr>
                <w:b/>
                <w:bCs/>
              </w:rPr>
              <w:t>cost</w:t>
            </w:r>
          </w:p>
        </w:tc>
        <w:tc>
          <w:tcPr>
            <w:tcW w:w="1134" w:type="dxa"/>
          </w:tcPr>
          <w:p w14:paraId="6BDCF75B" w14:textId="56B62CBD" w:rsidR="00CA3C5B" w:rsidRPr="00F246C6" w:rsidRDefault="00260033" w:rsidP="00F246C6">
            <w:pPr>
              <w:pStyle w:val="TableCopy"/>
              <w:rPr>
                <w:b/>
                <w:bCs/>
              </w:rPr>
            </w:pPr>
            <w:r w:rsidRPr="00F246C6">
              <w:rPr>
                <w:b/>
                <w:bCs/>
              </w:rPr>
              <w:t>$</w:t>
            </w:r>
            <w:r w:rsidR="00932420" w:rsidRPr="00F246C6">
              <w:rPr>
                <w:b/>
                <w:bCs/>
              </w:rPr>
              <w:t xml:space="preserve"> </w:t>
            </w:r>
            <w:r w:rsidRPr="00F246C6">
              <w:rPr>
                <w:b/>
                <w:bCs/>
              </w:rPr>
              <w:t>million</w:t>
            </w:r>
          </w:p>
        </w:tc>
        <w:tc>
          <w:tcPr>
            <w:tcW w:w="1189" w:type="dxa"/>
          </w:tcPr>
          <w:p w14:paraId="170A4FA7" w14:textId="77777777" w:rsidR="00CA3C5B" w:rsidRPr="00F246C6" w:rsidRDefault="00260033" w:rsidP="00C0271E">
            <w:pPr>
              <w:pStyle w:val="TableCopy"/>
              <w:jc w:val="right"/>
              <w:rPr>
                <w:b/>
                <w:bCs/>
              </w:rPr>
            </w:pPr>
            <w:r w:rsidRPr="00F246C6">
              <w:rPr>
                <w:b/>
                <w:bCs/>
              </w:rPr>
              <w:t>273.4</w:t>
            </w:r>
          </w:p>
        </w:tc>
        <w:tc>
          <w:tcPr>
            <w:tcW w:w="1204" w:type="dxa"/>
          </w:tcPr>
          <w:p w14:paraId="019E7B3C" w14:textId="77777777" w:rsidR="00CA3C5B" w:rsidRPr="00F246C6" w:rsidRDefault="00260033" w:rsidP="00C0271E">
            <w:pPr>
              <w:pStyle w:val="TableCopy"/>
              <w:jc w:val="right"/>
              <w:rPr>
                <w:b/>
                <w:bCs/>
              </w:rPr>
            </w:pPr>
            <w:r w:rsidRPr="00F246C6">
              <w:rPr>
                <w:b/>
                <w:bCs/>
              </w:rPr>
              <w:t>298.5</w:t>
            </w:r>
          </w:p>
        </w:tc>
        <w:tc>
          <w:tcPr>
            <w:tcW w:w="1414" w:type="dxa"/>
          </w:tcPr>
          <w:p w14:paraId="37EA5DCD" w14:textId="77777777" w:rsidR="00CA3C5B" w:rsidRPr="00F246C6" w:rsidRDefault="00260033" w:rsidP="00C0271E">
            <w:pPr>
              <w:pStyle w:val="TableCopy"/>
              <w:jc w:val="right"/>
              <w:rPr>
                <w:b/>
                <w:bCs/>
              </w:rPr>
            </w:pPr>
            <w:r w:rsidRPr="00F246C6">
              <w:rPr>
                <w:b/>
                <w:bCs/>
              </w:rPr>
              <w:t>-8.4%</w:t>
            </w:r>
          </w:p>
        </w:tc>
        <w:tc>
          <w:tcPr>
            <w:tcW w:w="756" w:type="dxa"/>
          </w:tcPr>
          <w:p w14:paraId="351D535F" w14:textId="20C4E2EE" w:rsidR="00CA3C5B" w:rsidRPr="00F246C6" w:rsidRDefault="00F246C6" w:rsidP="00C0271E">
            <w:pPr>
              <w:pStyle w:val="TableCopy"/>
              <w:jc w:val="right"/>
              <w:rPr>
                <w:b/>
                <w:bCs/>
              </w:rPr>
            </w:pPr>
            <w:r w:rsidRPr="00F246C6">
              <w:t>1</w:t>
            </w:r>
          </w:p>
        </w:tc>
      </w:tr>
      <w:tr w:rsidR="00F246C6" w:rsidRPr="00F246C6" w14:paraId="4669A7F9" w14:textId="77777777" w:rsidTr="008A738D">
        <w:trPr>
          <w:cantSplit/>
        </w:trPr>
        <w:tc>
          <w:tcPr>
            <w:tcW w:w="4531" w:type="dxa"/>
          </w:tcPr>
          <w:p w14:paraId="3671AB37" w14:textId="7BCA78EA" w:rsidR="00F246C6" w:rsidRPr="00F246C6" w:rsidRDefault="00F246C6" w:rsidP="00F246C6">
            <w:pPr>
              <w:pStyle w:val="TableCopy"/>
              <w:rPr>
                <w:i/>
                <w:iCs/>
              </w:rPr>
            </w:pPr>
            <w:r w:rsidRPr="00F246C6">
              <w:rPr>
                <w:i/>
                <w:iCs/>
              </w:rPr>
              <w:t>The 2022–23 result is lower than the 2022–23 budget due to timing of payments for industry support grant programs, with milestone payments now expected to be made in future years.</w:t>
            </w:r>
          </w:p>
        </w:tc>
        <w:tc>
          <w:tcPr>
            <w:tcW w:w="1134" w:type="dxa"/>
          </w:tcPr>
          <w:p w14:paraId="41C22E6E" w14:textId="77777777" w:rsidR="00F246C6" w:rsidRPr="008A738D" w:rsidRDefault="00F246C6" w:rsidP="008A738D">
            <w:pPr>
              <w:pStyle w:val="TableCopy"/>
            </w:pPr>
          </w:p>
        </w:tc>
        <w:tc>
          <w:tcPr>
            <w:tcW w:w="1189" w:type="dxa"/>
          </w:tcPr>
          <w:p w14:paraId="517BF672" w14:textId="77777777" w:rsidR="00F246C6" w:rsidRPr="008A738D" w:rsidRDefault="00F246C6" w:rsidP="008A738D">
            <w:pPr>
              <w:pStyle w:val="TableCopy"/>
            </w:pPr>
          </w:p>
        </w:tc>
        <w:tc>
          <w:tcPr>
            <w:tcW w:w="1204" w:type="dxa"/>
          </w:tcPr>
          <w:p w14:paraId="1BAA4E01" w14:textId="77777777" w:rsidR="00F246C6" w:rsidRPr="008A738D" w:rsidRDefault="00F246C6" w:rsidP="008A738D">
            <w:pPr>
              <w:pStyle w:val="TableCopy"/>
            </w:pPr>
          </w:p>
        </w:tc>
        <w:tc>
          <w:tcPr>
            <w:tcW w:w="1414" w:type="dxa"/>
          </w:tcPr>
          <w:p w14:paraId="6F7F46FD" w14:textId="77777777" w:rsidR="00F246C6" w:rsidRPr="008A738D" w:rsidRDefault="00F246C6" w:rsidP="008A738D">
            <w:pPr>
              <w:pStyle w:val="TableCopy"/>
            </w:pPr>
          </w:p>
        </w:tc>
        <w:tc>
          <w:tcPr>
            <w:tcW w:w="756" w:type="dxa"/>
          </w:tcPr>
          <w:p w14:paraId="00D354D2" w14:textId="77777777" w:rsidR="00F246C6" w:rsidRPr="008A738D" w:rsidRDefault="00F246C6" w:rsidP="008A738D">
            <w:pPr>
              <w:pStyle w:val="TableCopy"/>
            </w:pPr>
          </w:p>
        </w:tc>
      </w:tr>
    </w:tbl>
    <w:p w14:paraId="13CCE86F" w14:textId="77777777" w:rsidR="00F246C6" w:rsidRDefault="00F246C6" w:rsidP="00F246C6">
      <w:pPr>
        <w:pStyle w:val="FootnoteText"/>
      </w:pPr>
      <w:r>
        <w:t>Note:</w:t>
      </w:r>
    </w:p>
    <w:p w14:paraId="6F9C1AF4" w14:textId="77B6DCDC" w:rsidR="00F246C6" w:rsidRPr="009E1E84" w:rsidRDefault="009E1E84" w:rsidP="009E1E84">
      <w:pPr>
        <w:pStyle w:val="FootnoteText"/>
      </w:pPr>
      <w:r>
        <w:t>1</w:t>
      </w:r>
      <w:r w:rsidR="00F246C6" w:rsidRPr="009E1E84">
        <w:t xml:space="preserve"> Performance target achieved or exceeded</w:t>
      </w:r>
    </w:p>
    <w:p w14:paraId="1791AF0B" w14:textId="713D09D0" w:rsidR="00F246C6" w:rsidRPr="009E1E84" w:rsidRDefault="009E1E84" w:rsidP="009E1E84">
      <w:pPr>
        <w:pStyle w:val="FootnoteText"/>
      </w:pPr>
      <w:r>
        <w:t>2</w:t>
      </w:r>
      <w:r w:rsidR="00F246C6" w:rsidRPr="009E1E84">
        <w:t xml:space="preserve"> Performance target not achieved – but within 5% variance</w:t>
      </w:r>
    </w:p>
    <w:p w14:paraId="34F85F5F" w14:textId="383D001F" w:rsidR="00CA3C5B" w:rsidRPr="009E1E84" w:rsidRDefault="009E1E84" w:rsidP="009E1E84">
      <w:pPr>
        <w:pStyle w:val="FootnoteText"/>
      </w:pPr>
      <w:r>
        <w:t>3</w:t>
      </w:r>
      <w:r w:rsidR="00F246C6" w:rsidRPr="009E1E84">
        <w:t xml:space="preserve"> Performance target not achieved – exceeds 5% variance</w:t>
      </w:r>
    </w:p>
    <w:p w14:paraId="376F98C1" w14:textId="63173328" w:rsidR="00CA3C5B" w:rsidRDefault="00260033" w:rsidP="009E1E84">
      <w:pPr>
        <w:pStyle w:val="Heading2"/>
      </w:pPr>
      <w:bookmarkStart w:id="13" w:name="_Toc152067216"/>
      <w:r>
        <w:t>Objective</w:t>
      </w:r>
      <w:r w:rsidR="00932420">
        <w:t xml:space="preserve"> </w:t>
      </w:r>
      <w:r>
        <w:t>3:</w:t>
      </w:r>
      <w:r w:rsidR="00932420">
        <w:t xml:space="preserve"> </w:t>
      </w:r>
      <w:r>
        <w:t>Be</w:t>
      </w:r>
      <w:r w:rsidR="00932420">
        <w:t xml:space="preserve"> </w:t>
      </w:r>
      <w:r>
        <w:t>a</w:t>
      </w:r>
      <w:r w:rsidR="00932420">
        <w:t xml:space="preserve"> </w:t>
      </w:r>
      <w:r>
        <w:t>globally</w:t>
      </w:r>
      <w:r w:rsidR="00932420">
        <w:t xml:space="preserve"> </w:t>
      </w:r>
      <w:r>
        <w:t>connected</w:t>
      </w:r>
      <w:r w:rsidR="00932420">
        <w:t xml:space="preserve"> </w:t>
      </w:r>
      <w:r>
        <w:t>economy</w:t>
      </w:r>
      <w:bookmarkEnd w:id="13"/>
    </w:p>
    <w:p w14:paraId="4F43E467" w14:textId="25A8B2B2" w:rsidR="00CA3C5B" w:rsidRDefault="00260033" w:rsidP="009E1E84">
      <w:pPr>
        <w:keepLines/>
      </w:pPr>
      <w:r>
        <w:t>This</w:t>
      </w:r>
      <w:r w:rsidR="00932420">
        <w:t xml:space="preserve"> </w:t>
      </w:r>
      <w:r>
        <w:t>objective</w:t>
      </w:r>
      <w:r w:rsidR="00932420">
        <w:t xml:space="preserve"> </w:t>
      </w:r>
      <w:r>
        <w:t>seeks</w:t>
      </w:r>
      <w:r w:rsidR="00932420">
        <w:t xml:space="preserve"> </w:t>
      </w:r>
      <w:r>
        <w:t>to</w:t>
      </w:r>
      <w:r w:rsidR="00932420">
        <w:t xml:space="preserve"> </w:t>
      </w:r>
      <w:r>
        <w:t>strengthen</w:t>
      </w:r>
      <w:r w:rsidR="00932420">
        <w:t xml:space="preserve"> </w:t>
      </w:r>
      <w:r>
        <w:t>Victoria’s</w:t>
      </w:r>
      <w:r w:rsidR="00932420">
        <w:t xml:space="preserve"> </w:t>
      </w:r>
      <w:r>
        <w:t>economic</w:t>
      </w:r>
      <w:r w:rsidR="00932420">
        <w:t xml:space="preserve"> </w:t>
      </w:r>
      <w:r>
        <w:t>performance</w:t>
      </w:r>
      <w:r w:rsidR="00932420">
        <w:t xml:space="preserve"> </w:t>
      </w:r>
      <w:r>
        <w:t>through</w:t>
      </w:r>
      <w:r w:rsidR="00932420">
        <w:t xml:space="preserve"> </w:t>
      </w:r>
      <w:r>
        <w:t>facilitating</w:t>
      </w:r>
      <w:r w:rsidR="00932420">
        <w:t xml:space="preserve"> </w:t>
      </w:r>
      <w:r>
        <w:t>private</w:t>
      </w:r>
      <w:r w:rsidR="00932420">
        <w:t xml:space="preserve"> </w:t>
      </w:r>
      <w:r>
        <w:t>sector</w:t>
      </w:r>
      <w:r w:rsidR="00932420">
        <w:t xml:space="preserve"> </w:t>
      </w:r>
      <w:r>
        <w:t>investment</w:t>
      </w:r>
      <w:r w:rsidR="00932420">
        <w:t xml:space="preserve"> </w:t>
      </w:r>
      <w:r>
        <w:t>in</w:t>
      </w:r>
      <w:r w:rsidR="00932420">
        <w:t xml:space="preserve"> </w:t>
      </w:r>
      <w:r>
        <w:t>Victoria,</w:t>
      </w:r>
      <w:r w:rsidR="00932420">
        <w:t xml:space="preserve"> </w:t>
      </w:r>
      <w:r>
        <w:t>helping</w:t>
      </w:r>
      <w:r w:rsidR="00932420">
        <w:t xml:space="preserve"> </w:t>
      </w:r>
      <w:r>
        <w:t>Victorian</w:t>
      </w:r>
      <w:r w:rsidR="00932420">
        <w:t xml:space="preserve"> </w:t>
      </w:r>
      <w:r>
        <w:t>businesses</w:t>
      </w:r>
      <w:r w:rsidR="00932420">
        <w:t xml:space="preserve"> </w:t>
      </w:r>
      <w:r>
        <w:t>successfully</w:t>
      </w:r>
      <w:r w:rsidR="00932420">
        <w:t xml:space="preserve"> </w:t>
      </w:r>
      <w:r>
        <w:t>trade</w:t>
      </w:r>
      <w:r w:rsidR="00932420">
        <w:t xml:space="preserve"> </w:t>
      </w:r>
      <w:r>
        <w:t>into</w:t>
      </w:r>
      <w:r w:rsidR="00932420">
        <w:t xml:space="preserve"> </w:t>
      </w:r>
      <w:r>
        <w:t>global</w:t>
      </w:r>
      <w:r w:rsidR="00932420">
        <w:t xml:space="preserve"> </w:t>
      </w:r>
      <w:r>
        <w:t>markets,</w:t>
      </w:r>
      <w:r w:rsidR="00932420">
        <w:t xml:space="preserve"> </w:t>
      </w:r>
      <w:r>
        <w:t>and</w:t>
      </w:r>
      <w:r w:rsidR="00932420">
        <w:t xml:space="preserve"> </w:t>
      </w:r>
      <w:r>
        <w:t>growing</w:t>
      </w:r>
      <w:r w:rsidR="00932420">
        <w:t xml:space="preserve"> </w:t>
      </w:r>
      <w:r>
        <w:t>Victorian’s</w:t>
      </w:r>
      <w:r w:rsidR="00932420">
        <w:t xml:space="preserve"> </w:t>
      </w:r>
      <w:r>
        <w:t>market</w:t>
      </w:r>
      <w:r w:rsidR="00932420">
        <w:t xml:space="preserve"> </w:t>
      </w:r>
      <w:r>
        <w:t>share</w:t>
      </w:r>
      <w:r w:rsidR="00932420">
        <w:t xml:space="preserve"> </w:t>
      </w:r>
      <w:r>
        <w:t>of</w:t>
      </w:r>
      <w:r w:rsidR="00932420">
        <w:t xml:space="preserve"> </w:t>
      </w:r>
      <w:r>
        <w:t>international</w:t>
      </w:r>
      <w:r w:rsidR="00932420">
        <w:t xml:space="preserve"> </w:t>
      </w:r>
      <w:r>
        <w:t>student</w:t>
      </w:r>
      <w:r w:rsidR="00932420">
        <w:t xml:space="preserve"> </w:t>
      </w:r>
      <w:r>
        <w:t>enrolments</w:t>
      </w:r>
      <w:r w:rsidR="00932420">
        <w:t xml:space="preserve"> </w:t>
      </w:r>
      <w:r>
        <w:t>in</w:t>
      </w:r>
      <w:r w:rsidR="00932420">
        <w:t xml:space="preserve"> </w:t>
      </w:r>
      <w:r>
        <w:t>Australia.</w:t>
      </w:r>
    </w:p>
    <w:p w14:paraId="7A9E1769" w14:textId="1DD5D211" w:rsidR="00CA3C5B" w:rsidRDefault="00260033" w:rsidP="009E1E84">
      <w:pPr>
        <w:pStyle w:val="Heading3"/>
      </w:pPr>
      <w:r>
        <w:lastRenderedPageBreak/>
        <w:t>Progress</w:t>
      </w:r>
      <w:r w:rsidR="00932420">
        <w:t xml:space="preserve"> </w:t>
      </w:r>
      <w:r>
        <w:t>towards</w:t>
      </w:r>
      <w:r w:rsidR="00932420">
        <w:t xml:space="preserve"> </w:t>
      </w:r>
      <w:r>
        <w:t>achieving</w:t>
      </w:r>
      <w:r w:rsidR="00932420">
        <w:t xml:space="preserve"> </w:t>
      </w:r>
      <w:r>
        <w:t>this</w:t>
      </w:r>
      <w:r w:rsidR="00932420">
        <w:t xml:space="preserve"> </w:t>
      </w:r>
      <w:r>
        <w:t>objective</w:t>
      </w:r>
    </w:p>
    <w:p w14:paraId="1DF508BD" w14:textId="5DFF1CC1" w:rsidR="00CA3C5B" w:rsidRDefault="00260033" w:rsidP="009E1E84">
      <w:r>
        <w:t>In</w:t>
      </w:r>
      <w:r w:rsidR="00932420">
        <w:t xml:space="preserve"> </w:t>
      </w:r>
      <w:r>
        <w:t>2022–23,</w:t>
      </w:r>
      <w:r w:rsidR="00932420">
        <w:t xml:space="preserve"> </w:t>
      </w:r>
      <w:r>
        <w:t>the</w:t>
      </w:r>
      <w:r w:rsidR="00932420">
        <w:t xml:space="preserve"> </w:t>
      </w:r>
      <w:r>
        <w:t>department</w:t>
      </w:r>
      <w:r w:rsidR="00932420">
        <w:t xml:space="preserve"> </w:t>
      </w:r>
      <w:r>
        <w:t>reported</w:t>
      </w:r>
      <w:r w:rsidR="00932420">
        <w:t xml:space="preserve"> </w:t>
      </w:r>
      <w:r>
        <w:t>progress</w:t>
      </w:r>
      <w:r w:rsidR="00932420">
        <w:t xml:space="preserve"> </w:t>
      </w:r>
      <w:r>
        <w:t>against</w:t>
      </w:r>
      <w:r w:rsidR="00932420">
        <w:t xml:space="preserve"> </w:t>
      </w:r>
      <w:r>
        <w:t>this</w:t>
      </w:r>
      <w:r w:rsidR="00932420">
        <w:t xml:space="preserve"> </w:t>
      </w:r>
      <w:r>
        <w:t>objective</w:t>
      </w:r>
      <w:r w:rsidR="00932420">
        <w:t xml:space="preserve"> </w:t>
      </w:r>
      <w:r>
        <w:t>using</w:t>
      </w:r>
      <w:r w:rsidR="00932420">
        <w:t xml:space="preserve"> </w:t>
      </w:r>
      <w:r>
        <w:t>the</w:t>
      </w:r>
      <w:r w:rsidR="00932420">
        <w:t xml:space="preserve"> </w:t>
      </w:r>
      <w:r>
        <w:t>following</w:t>
      </w:r>
      <w:r w:rsidR="00932420">
        <w:t xml:space="preserve"> </w:t>
      </w:r>
      <w:r>
        <w:t>objective</w:t>
      </w:r>
      <w:r w:rsidR="00932420">
        <w:t xml:space="preserve"> </w:t>
      </w:r>
      <w:r>
        <w:t>indicators</w:t>
      </w:r>
      <w:r w:rsidR="00932420">
        <w:t xml:space="preserve"> </w:t>
      </w:r>
      <w:r>
        <w:t>and</w:t>
      </w:r>
      <w:r w:rsidR="00932420">
        <w:t xml:space="preserve"> </w:t>
      </w:r>
      <w:r>
        <w:t>outputs:</w:t>
      </w:r>
    </w:p>
    <w:p w14:paraId="5C5CFC39" w14:textId="36FC3F26" w:rsidR="00CA3C5B" w:rsidRPr="009E1E84" w:rsidRDefault="00260033" w:rsidP="009E1E84">
      <w:pPr>
        <w:pStyle w:val="Normalbeforebullets"/>
        <w:rPr>
          <w:b/>
          <w:bCs/>
        </w:rPr>
      </w:pPr>
      <w:r w:rsidRPr="009E1E84">
        <w:rPr>
          <w:b/>
          <w:bCs/>
        </w:rPr>
        <w:t>Objective</w:t>
      </w:r>
      <w:r w:rsidR="00932420" w:rsidRPr="009E1E84">
        <w:rPr>
          <w:b/>
          <w:bCs/>
        </w:rPr>
        <w:t xml:space="preserve"> </w:t>
      </w:r>
      <w:r w:rsidRPr="009E1E84">
        <w:rPr>
          <w:b/>
          <w:bCs/>
        </w:rPr>
        <w:t>Indicators</w:t>
      </w:r>
    </w:p>
    <w:p w14:paraId="7644EE12" w14:textId="43019C46" w:rsidR="00CA3C5B" w:rsidRDefault="00260033" w:rsidP="009E1E84">
      <w:pPr>
        <w:pStyle w:val="Bullet"/>
      </w:pPr>
      <w:r>
        <w:t>Export</w:t>
      </w:r>
      <w:r w:rsidR="00932420">
        <w:t xml:space="preserve"> </w:t>
      </w:r>
      <w:r>
        <w:t>sales</w:t>
      </w:r>
      <w:r w:rsidR="00932420">
        <w:t xml:space="preserve"> </w:t>
      </w:r>
      <w:r>
        <w:t>generated</w:t>
      </w:r>
      <w:r w:rsidR="00932420">
        <w:t xml:space="preserve"> </w:t>
      </w:r>
      <w:r>
        <w:t>from</w:t>
      </w:r>
      <w:r w:rsidR="00932420">
        <w:t xml:space="preserve"> </w:t>
      </w:r>
      <w:r>
        <w:t>government</w:t>
      </w:r>
      <w:r w:rsidR="00932420">
        <w:t xml:space="preserve"> </w:t>
      </w:r>
      <w:r>
        <w:t>programs</w:t>
      </w:r>
    </w:p>
    <w:p w14:paraId="4D6E20CC" w14:textId="619FA951" w:rsidR="00CA3C5B" w:rsidRDefault="00260033" w:rsidP="009E1E84">
      <w:pPr>
        <w:pStyle w:val="Bullet"/>
      </w:pPr>
      <w:r>
        <w:t>Victoria’s</w:t>
      </w:r>
      <w:r w:rsidR="00932420">
        <w:t xml:space="preserve"> </w:t>
      </w:r>
      <w:r>
        <w:t>share</w:t>
      </w:r>
      <w:r w:rsidR="00932420">
        <w:t xml:space="preserve"> </w:t>
      </w:r>
      <w:r>
        <w:t>of</w:t>
      </w:r>
      <w:r w:rsidR="00932420">
        <w:t xml:space="preserve"> </w:t>
      </w:r>
      <w:r>
        <w:t>international</w:t>
      </w:r>
      <w:r w:rsidR="00932420">
        <w:t xml:space="preserve"> </w:t>
      </w:r>
      <w:r>
        <w:t>student</w:t>
      </w:r>
      <w:r w:rsidR="00932420">
        <w:t xml:space="preserve"> </w:t>
      </w:r>
      <w:r>
        <w:t>enrolments</w:t>
      </w:r>
    </w:p>
    <w:p w14:paraId="14ED207B" w14:textId="71E9787E" w:rsidR="00CA3C5B" w:rsidRDefault="00260033" w:rsidP="009E1E84">
      <w:pPr>
        <w:pStyle w:val="Bulletlast"/>
      </w:pPr>
      <w:r>
        <w:rPr>
          <w:spacing w:val="-3"/>
        </w:rPr>
        <w:t>Jobs,</w:t>
      </w:r>
      <w:r w:rsidR="00932420">
        <w:rPr>
          <w:spacing w:val="-3"/>
        </w:rPr>
        <w:t xml:space="preserve"> </w:t>
      </w:r>
      <w:proofErr w:type="gramStart"/>
      <w:r>
        <w:rPr>
          <w:spacing w:val="-3"/>
        </w:rPr>
        <w:t>wages</w:t>
      </w:r>
      <w:proofErr w:type="gramEnd"/>
      <w:r w:rsidR="00932420">
        <w:rPr>
          <w:spacing w:val="-3"/>
        </w:rPr>
        <w:t xml:space="preserve"> </w:t>
      </w:r>
      <w:r>
        <w:rPr>
          <w:spacing w:val="-3"/>
        </w:rPr>
        <w:t>and</w:t>
      </w:r>
      <w:r w:rsidR="00932420">
        <w:rPr>
          <w:spacing w:val="-3"/>
        </w:rPr>
        <w:t xml:space="preserve"> </w:t>
      </w:r>
      <w:r>
        <w:rPr>
          <w:spacing w:val="-3"/>
        </w:rPr>
        <w:t>innovation</w:t>
      </w:r>
      <w:r w:rsidR="00932420">
        <w:rPr>
          <w:spacing w:val="-3"/>
        </w:rPr>
        <w:t xml:space="preserve"> </w:t>
      </w:r>
      <w:r>
        <w:rPr>
          <w:spacing w:val="-3"/>
        </w:rPr>
        <w:t>expenditure</w:t>
      </w:r>
      <w:r w:rsidR="00932420">
        <w:rPr>
          <w:spacing w:val="-3"/>
        </w:rPr>
        <w:t xml:space="preserve"> </w:t>
      </w:r>
      <w:r>
        <w:rPr>
          <w:spacing w:val="-3"/>
        </w:rPr>
        <w:t>generated</w:t>
      </w:r>
      <w:r w:rsidR="00932420">
        <w:rPr>
          <w:spacing w:val="-3"/>
        </w:rPr>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6803D783" w14:textId="77777777" w:rsidR="00CA3C5B" w:rsidRPr="009E1E84" w:rsidRDefault="00260033" w:rsidP="009E1E84">
      <w:pPr>
        <w:pStyle w:val="Normalbeforebullets"/>
        <w:rPr>
          <w:b/>
          <w:bCs/>
        </w:rPr>
      </w:pPr>
      <w:r w:rsidRPr="009E1E84">
        <w:rPr>
          <w:b/>
          <w:bCs/>
        </w:rPr>
        <w:t>Outputs</w:t>
      </w:r>
    </w:p>
    <w:p w14:paraId="766FABB5" w14:textId="31F019BC" w:rsidR="00CA3C5B" w:rsidRDefault="00260033" w:rsidP="009E1E84">
      <w:pPr>
        <w:pStyle w:val="Bulletlast"/>
      </w:pPr>
      <w:r>
        <w:t>Trade</w:t>
      </w:r>
      <w:r w:rsidR="00932420">
        <w:t xml:space="preserve"> </w:t>
      </w:r>
      <w:r>
        <w:t>and</w:t>
      </w:r>
      <w:r w:rsidR="00932420">
        <w:t xml:space="preserve"> </w:t>
      </w:r>
      <w:r>
        <w:t>Investment</w:t>
      </w:r>
    </w:p>
    <w:p w14:paraId="351B26E8" w14:textId="67164B06" w:rsidR="00CA3C5B" w:rsidRDefault="00260033" w:rsidP="009E1E84">
      <w:pPr>
        <w:pStyle w:val="Heading2"/>
      </w:pPr>
      <w:bookmarkStart w:id="14" w:name="_Toc152067217"/>
      <w:r>
        <w:t>Indicator:</w:t>
      </w:r>
      <w:r w:rsidR="00932420">
        <w:t xml:space="preserve"> </w:t>
      </w:r>
      <w:r>
        <w:t>Export</w:t>
      </w:r>
      <w:r w:rsidR="00932420">
        <w:t xml:space="preserve"> </w:t>
      </w:r>
      <w:r>
        <w:t>sales</w:t>
      </w:r>
      <w:r w:rsidR="00932420">
        <w:t xml:space="preserve"> </w:t>
      </w:r>
      <w:r>
        <w:t>generated</w:t>
      </w:r>
      <w:r w:rsidR="00932420">
        <w:t xml:space="preserve"> </w:t>
      </w:r>
      <w:r>
        <w:t>from</w:t>
      </w:r>
      <w:r w:rsidR="00932420">
        <w:t xml:space="preserve"> </w:t>
      </w:r>
      <w:r>
        <w:t>government</w:t>
      </w:r>
      <w:r w:rsidR="00932420">
        <w:t xml:space="preserve"> </w:t>
      </w:r>
      <w:r>
        <w:t>programs</w:t>
      </w:r>
      <w:bookmarkEnd w:id="14"/>
    </w:p>
    <w:p w14:paraId="6DB05856" w14:textId="79C2E41C" w:rsidR="00CA3C5B" w:rsidRDefault="00260033" w:rsidP="009E1E84">
      <w:pPr>
        <w:pStyle w:val="TableHeading"/>
      </w:pPr>
      <w:r>
        <w:t>Table</w:t>
      </w:r>
      <w:r w:rsidR="00932420">
        <w:t xml:space="preserve"> </w:t>
      </w:r>
      <w:r>
        <w:t>6:</w:t>
      </w:r>
      <w:r w:rsidR="00932420">
        <w:t xml:space="preserve"> </w:t>
      </w:r>
      <w:r>
        <w:t>Export</w:t>
      </w:r>
      <w:r w:rsidR="00932420">
        <w:t xml:space="preserve"> </w:t>
      </w:r>
      <w:r>
        <w:t>sales</w:t>
      </w:r>
      <w:r w:rsidR="00932420">
        <w:t xml:space="preserve"> </w:t>
      </w:r>
      <w:r>
        <w:t>generated</w:t>
      </w:r>
      <w:r w:rsidR="00932420">
        <w:t xml:space="preserve"> </w:t>
      </w:r>
      <w:r>
        <w:t>from</w:t>
      </w:r>
      <w:r w:rsidR="00932420">
        <w:t xml:space="preserve"> </w:t>
      </w:r>
      <w:r>
        <w:t>government</w:t>
      </w:r>
      <w:r w:rsidR="00932420">
        <w:t xml:space="preserve"> </w:t>
      </w:r>
      <w:r>
        <w:t>programs</w:t>
      </w:r>
    </w:p>
    <w:tbl>
      <w:tblPr>
        <w:tblStyle w:val="TableGrid"/>
        <w:tblW w:w="9638" w:type="dxa"/>
        <w:tblLayout w:type="fixed"/>
        <w:tblLook w:val="0020" w:firstRow="1" w:lastRow="0" w:firstColumn="0" w:lastColumn="0" w:noHBand="0" w:noVBand="0"/>
      </w:tblPr>
      <w:tblGrid>
        <w:gridCol w:w="4815"/>
        <w:gridCol w:w="1205"/>
        <w:gridCol w:w="1206"/>
        <w:gridCol w:w="1206"/>
        <w:gridCol w:w="1206"/>
      </w:tblGrid>
      <w:tr w:rsidR="00CA3C5B" w14:paraId="39E02D1B" w14:textId="77777777" w:rsidTr="009E1E84">
        <w:trPr>
          <w:trHeight w:val="333"/>
        </w:trPr>
        <w:tc>
          <w:tcPr>
            <w:tcW w:w="4815" w:type="dxa"/>
          </w:tcPr>
          <w:p w14:paraId="2139D514" w14:textId="5DBA4150" w:rsidR="00CA3C5B" w:rsidRDefault="00260033" w:rsidP="009E1E84">
            <w:pPr>
              <w:pStyle w:val="TableColumnHeading"/>
            </w:pPr>
            <w:bookmarkStart w:id="15" w:name="ColumnTitle_6"/>
            <w:bookmarkEnd w:id="15"/>
            <w:r>
              <w:t>Measure</w:t>
            </w:r>
            <w:r w:rsidR="00932420">
              <w:t xml:space="preserve"> </w:t>
            </w:r>
            <w:r>
              <w:t>(unit</w:t>
            </w:r>
            <w:r w:rsidR="00932420">
              <w:t xml:space="preserve"> </w:t>
            </w:r>
            <w:r>
              <w:t>of</w:t>
            </w:r>
            <w:r w:rsidR="00932420">
              <w:t xml:space="preserve"> </w:t>
            </w:r>
            <w:r>
              <w:t>measure)</w:t>
            </w:r>
          </w:p>
        </w:tc>
        <w:tc>
          <w:tcPr>
            <w:tcW w:w="1205" w:type="dxa"/>
          </w:tcPr>
          <w:p w14:paraId="42B0213B" w14:textId="77777777" w:rsidR="00CA3C5B" w:rsidRDefault="00260033" w:rsidP="009E1E84">
            <w:pPr>
              <w:pStyle w:val="TableColumnHeading"/>
              <w:jc w:val="right"/>
            </w:pPr>
            <w:r>
              <w:t>2019–20</w:t>
            </w:r>
          </w:p>
        </w:tc>
        <w:tc>
          <w:tcPr>
            <w:tcW w:w="1206" w:type="dxa"/>
          </w:tcPr>
          <w:p w14:paraId="79F79A6A" w14:textId="77777777" w:rsidR="00CA3C5B" w:rsidRDefault="00260033" w:rsidP="009E1E84">
            <w:pPr>
              <w:pStyle w:val="TableColumnHeading"/>
              <w:jc w:val="right"/>
            </w:pPr>
            <w:r>
              <w:t>2020–21</w:t>
            </w:r>
          </w:p>
        </w:tc>
        <w:tc>
          <w:tcPr>
            <w:tcW w:w="1206" w:type="dxa"/>
          </w:tcPr>
          <w:p w14:paraId="2AEBC760" w14:textId="77777777" w:rsidR="00CA3C5B" w:rsidRDefault="00260033" w:rsidP="009E1E84">
            <w:pPr>
              <w:pStyle w:val="TableColumnHeading"/>
              <w:jc w:val="right"/>
            </w:pPr>
            <w:r>
              <w:t>2021–22</w:t>
            </w:r>
          </w:p>
        </w:tc>
        <w:tc>
          <w:tcPr>
            <w:tcW w:w="1206" w:type="dxa"/>
          </w:tcPr>
          <w:p w14:paraId="324C72E3" w14:textId="77777777" w:rsidR="00CA3C5B" w:rsidRDefault="00260033" w:rsidP="009E1E84">
            <w:pPr>
              <w:pStyle w:val="TableColumnHeading"/>
              <w:jc w:val="right"/>
            </w:pPr>
            <w:r>
              <w:t>2022–23</w:t>
            </w:r>
          </w:p>
        </w:tc>
      </w:tr>
      <w:tr w:rsidR="00CA3C5B" w14:paraId="2DD969B0" w14:textId="77777777" w:rsidTr="009E1E84">
        <w:trPr>
          <w:trHeight w:val="60"/>
        </w:trPr>
        <w:tc>
          <w:tcPr>
            <w:tcW w:w="4815" w:type="dxa"/>
          </w:tcPr>
          <w:p w14:paraId="682F38F3" w14:textId="28B2B21F" w:rsidR="00CA3C5B" w:rsidRDefault="00260033" w:rsidP="009E1E84">
            <w:pPr>
              <w:pStyle w:val="TableCopy"/>
            </w:pPr>
            <w:r>
              <w:t>Actual</w:t>
            </w:r>
            <w:r w:rsidR="00932420">
              <w:t xml:space="preserve"> </w:t>
            </w:r>
            <w:r>
              <w:t>export</w:t>
            </w:r>
            <w:r w:rsidR="00932420">
              <w:t xml:space="preserve"> </w:t>
            </w:r>
            <w:r>
              <w:t>sales</w:t>
            </w:r>
            <w:r w:rsidR="00932420">
              <w:t xml:space="preserve"> </w:t>
            </w:r>
            <w:r>
              <w:t>generated</w:t>
            </w:r>
            <w:r w:rsidR="00932420">
              <w:t xml:space="preserve"> </w:t>
            </w:r>
            <w:proofErr w:type="gramStart"/>
            <w:r>
              <w:t>as</w:t>
            </w:r>
            <w:r w:rsidR="00932420">
              <w:t xml:space="preserve"> </w:t>
            </w:r>
            <w:r>
              <w:t>a</w:t>
            </w:r>
            <w:r w:rsidR="00932420">
              <w:t xml:space="preserve"> </w:t>
            </w:r>
            <w:r>
              <w:t>result</w:t>
            </w:r>
            <w:r w:rsidR="00932420">
              <w:t xml:space="preserve"> </w:t>
            </w:r>
            <w:r>
              <w:t>of</w:t>
            </w:r>
            <w:proofErr w:type="gramEnd"/>
            <w:r w:rsidR="00932420">
              <w:t xml:space="preserve"> </w:t>
            </w:r>
            <w:r>
              <w:t>participation</w:t>
            </w:r>
            <w:r w:rsidR="00932420">
              <w:t xml:space="preserve"> </w:t>
            </w:r>
            <w:r>
              <w:t>in</w:t>
            </w:r>
            <w:r w:rsidR="00932420">
              <w:t xml:space="preserve"> </w:t>
            </w:r>
            <w:r>
              <w:t>government</w:t>
            </w:r>
            <w:r w:rsidR="00932420">
              <w:t xml:space="preserve"> </w:t>
            </w:r>
            <w:r>
              <w:t>programs</w:t>
            </w:r>
            <w:r w:rsidR="00932420">
              <w:t xml:space="preserve"> </w:t>
            </w:r>
            <w:r>
              <w:t>($</w:t>
            </w:r>
            <w:r w:rsidR="009E1E84">
              <w:t> </w:t>
            </w:r>
            <w:r>
              <w:t>million)</w:t>
            </w:r>
          </w:p>
        </w:tc>
        <w:tc>
          <w:tcPr>
            <w:tcW w:w="1205" w:type="dxa"/>
          </w:tcPr>
          <w:p w14:paraId="76A8C1CD" w14:textId="77777777" w:rsidR="00CA3C5B" w:rsidRDefault="00260033" w:rsidP="009E1E84">
            <w:pPr>
              <w:pStyle w:val="TableCopy"/>
              <w:jc w:val="right"/>
            </w:pPr>
            <w:r>
              <w:t>709</w:t>
            </w:r>
          </w:p>
        </w:tc>
        <w:tc>
          <w:tcPr>
            <w:tcW w:w="1206" w:type="dxa"/>
          </w:tcPr>
          <w:p w14:paraId="431FDB85" w14:textId="77777777" w:rsidR="00CA3C5B" w:rsidRDefault="00260033" w:rsidP="009E1E84">
            <w:pPr>
              <w:pStyle w:val="TableCopy"/>
              <w:jc w:val="right"/>
            </w:pPr>
            <w:r>
              <w:t>569</w:t>
            </w:r>
          </w:p>
        </w:tc>
        <w:tc>
          <w:tcPr>
            <w:tcW w:w="1206" w:type="dxa"/>
          </w:tcPr>
          <w:p w14:paraId="38355582" w14:textId="77777777" w:rsidR="00CA3C5B" w:rsidRDefault="00260033" w:rsidP="009E1E84">
            <w:pPr>
              <w:pStyle w:val="TableCopy"/>
              <w:jc w:val="right"/>
            </w:pPr>
            <w:r>
              <w:t>627</w:t>
            </w:r>
          </w:p>
        </w:tc>
        <w:tc>
          <w:tcPr>
            <w:tcW w:w="1206" w:type="dxa"/>
          </w:tcPr>
          <w:p w14:paraId="711E2E0C" w14:textId="77777777" w:rsidR="00CA3C5B" w:rsidRDefault="00260033" w:rsidP="009E1E84">
            <w:pPr>
              <w:pStyle w:val="TableCopy"/>
              <w:jc w:val="right"/>
            </w:pPr>
            <w:r>
              <w:t>704</w:t>
            </w:r>
          </w:p>
        </w:tc>
      </w:tr>
    </w:tbl>
    <w:p w14:paraId="08B84B00" w14:textId="77777777" w:rsidR="00CA3C5B" w:rsidRDefault="00CA3C5B" w:rsidP="009E1E84"/>
    <w:p w14:paraId="2121EC1C" w14:textId="3F33A769" w:rsidR="00CA3C5B" w:rsidRDefault="00260033" w:rsidP="009E1E84">
      <w:pPr>
        <w:pStyle w:val="FigureHeading"/>
      </w:pPr>
      <w:r>
        <w:t>Figure</w:t>
      </w:r>
      <w:r w:rsidR="00932420">
        <w:t xml:space="preserve"> </w:t>
      </w:r>
      <w:r>
        <w:t>4:</w:t>
      </w:r>
      <w:r w:rsidR="00932420">
        <w:t xml:space="preserve"> </w:t>
      </w:r>
      <w:r>
        <w:t>Export</w:t>
      </w:r>
      <w:r w:rsidR="00932420">
        <w:t xml:space="preserve"> </w:t>
      </w:r>
      <w:r>
        <w:t>sales</w:t>
      </w:r>
      <w:r w:rsidR="00932420">
        <w:t xml:space="preserve"> </w:t>
      </w:r>
      <w:r>
        <w:t>generated</w:t>
      </w:r>
      <w:r w:rsidR="00932420">
        <w:t xml:space="preserve"> </w:t>
      </w:r>
      <w:r>
        <w:t>from</w:t>
      </w:r>
      <w:r w:rsidR="00932420">
        <w:t xml:space="preserve"> </w:t>
      </w:r>
      <w:r>
        <w:t>government</w:t>
      </w:r>
      <w:r w:rsidR="00932420">
        <w:t xml:space="preserve"> </w:t>
      </w:r>
      <w:r>
        <w:t>programs</w:t>
      </w:r>
    </w:p>
    <w:p w14:paraId="2D6BAEFC" w14:textId="70AF66B4" w:rsidR="00CA3C5B" w:rsidRDefault="009E1E84" w:rsidP="009E1E84">
      <w:r>
        <w:rPr>
          <w:noProof/>
        </w:rPr>
        <w:drawing>
          <wp:inline distT="0" distB="0" distL="0" distR="0" wp14:anchorId="14040A71" wp14:editId="013797B7">
            <wp:extent cx="3229337" cy="2160553"/>
            <wp:effectExtent l="0" t="0" r="0" b="0"/>
            <wp:docPr id="4" name="Picture 4" descr="Figure 4: Export sales generated from government program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Export sales generated from government programs graph. Data in table above."/>
                    <pic:cNvPicPr/>
                  </pic:nvPicPr>
                  <pic:blipFill>
                    <a:blip r:embed="rId13"/>
                    <a:stretch>
                      <a:fillRect/>
                    </a:stretch>
                  </pic:blipFill>
                  <pic:spPr>
                    <a:xfrm>
                      <a:off x="0" y="0"/>
                      <a:ext cx="3250708" cy="2174851"/>
                    </a:xfrm>
                    <a:prstGeom prst="rect">
                      <a:avLst/>
                    </a:prstGeom>
                  </pic:spPr>
                </pic:pic>
              </a:graphicData>
            </a:graphic>
          </wp:inline>
        </w:drawing>
      </w:r>
    </w:p>
    <w:p w14:paraId="1724D7F6" w14:textId="54739FDD" w:rsidR="00CA3C5B" w:rsidRDefault="00260033" w:rsidP="009E1E84">
      <w:r>
        <w:t>In</w:t>
      </w:r>
      <w:r w:rsidR="00932420">
        <w:t xml:space="preserve"> </w:t>
      </w:r>
      <w:r>
        <w:t>2022–23,</w:t>
      </w:r>
      <w:r w:rsidR="00932420">
        <w:t xml:space="preserve"> </w:t>
      </w:r>
      <w:r>
        <w:t>the</w:t>
      </w:r>
      <w:r w:rsidR="00932420">
        <w:t xml:space="preserve"> </w:t>
      </w:r>
      <w:r>
        <w:t>department</w:t>
      </w:r>
      <w:r w:rsidR="00932420">
        <w:t xml:space="preserve"> </w:t>
      </w:r>
      <w:r>
        <w:t>supported</w:t>
      </w:r>
      <w:r w:rsidR="00932420">
        <w:t xml:space="preserve"> </w:t>
      </w:r>
      <w:r>
        <w:t>$704</w:t>
      </w:r>
      <w:r w:rsidR="00932420">
        <w:t xml:space="preserve"> </w:t>
      </w:r>
      <w:r>
        <w:t>million</w:t>
      </w:r>
      <w:r w:rsidR="00932420">
        <w:t xml:space="preserve"> </w:t>
      </w:r>
      <w:r>
        <w:t>of</w:t>
      </w:r>
      <w:r w:rsidR="00932420">
        <w:t xml:space="preserve"> </w:t>
      </w:r>
      <w:r>
        <w:t>actual</w:t>
      </w:r>
      <w:r w:rsidR="00932420">
        <w:t xml:space="preserve"> </w:t>
      </w:r>
      <w:r>
        <w:t>export</w:t>
      </w:r>
      <w:r w:rsidR="00932420">
        <w:t xml:space="preserve"> </w:t>
      </w:r>
      <w:r>
        <w:t>sales,</w:t>
      </w:r>
      <w:r w:rsidR="00932420">
        <w:t xml:space="preserve"> </w:t>
      </w:r>
      <w:r>
        <w:t>underpinned</w:t>
      </w:r>
      <w:r w:rsidR="00932420">
        <w:t xml:space="preserve"> </w:t>
      </w:r>
      <w:r>
        <w:t>by</w:t>
      </w:r>
      <w:r w:rsidR="00932420">
        <w:t xml:space="preserve"> </w:t>
      </w:r>
      <w:r>
        <w:t>strong</w:t>
      </w:r>
      <w:r w:rsidR="00932420">
        <w:t xml:space="preserve"> </w:t>
      </w:r>
      <w:r>
        <w:rPr>
          <w:spacing w:val="-1"/>
        </w:rPr>
        <w:t>demand</w:t>
      </w:r>
      <w:r w:rsidR="00932420">
        <w:rPr>
          <w:spacing w:val="-1"/>
        </w:rPr>
        <w:t xml:space="preserve"> </w:t>
      </w:r>
      <w:r>
        <w:rPr>
          <w:spacing w:val="-1"/>
        </w:rPr>
        <w:t>for</w:t>
      </w:r>
      <w:r w:rsidR="00932420">
        <w:rPr>
          <w:spacing w:val="-1"/>
        </w:rPr>
        <w:t xml:space="preserve"> </w:t>
      </w:r>
      <w:r>
        <w:rPr>
          <w:spacing w:val="-1"/>
        </w:rPr>
        <w:t>export</w:t>
      </w:r>
      <w:r w:rsidR="00932420">
        <w:rPr>
          <w:spacing w:val="-1"/>
        </w:rPr>
        <w:t xml:space="preserve"> </w:t>
      </w:r>
      <w:r>
        <w:rPr>
          <w:spacing w:val="-1"/>
        </w:rPr>
        <w:t>support</w:t>
      </w:r>
      <w:r w:rsidR="00932420">
        <w:rPr>
          <w:spacing w:val="-1"/>
        </w:rPr>
        <w:t xml:space="preserve"> </w:t>
      </w:r>
      <w:r>
        <w:rPr>
          <w:spacing w:val="-1"/>
        </w:rPr>
        <w:t>services</w:t>
      </w:r>
      <w:r w:rsidR="00932420">
        <w:rPr>
          <w:spacing w:val="-1"/>
        </w:rPr>
        <w:t xml:space="preserve"> </w:t>
      </w:r>
      <w:r>
        <w:rPr>
          <w:spacing w:val="-1"/>
        </w:rPr>
        <w:t>delivered</w:t>
      </w:r>
      <w:r w:rsidR="00932420">
        <w:rPr>
          <w:spacing w:val="-1"/>
        </w:rPr>
        <w:t xml:space="preserve"> </w:t>
      </w:r>
      <w:r>
        <w:rPr>
          <w:spacing w:val="-1"/>
        </w:rPr>
        <w:t>both</w:t>
      </w:r>
      <w:r w:rsidR="00932420">
        <w:rPr>
          <w:spacing w:val="-1"/>
        </w:rPr>
        <w:t xml:space="preserve"> </w:t>
      </w:r>
      <w:r>
        <w:rPr>
          <w:spacing w:val="-1"/>
        </w:rPr>
        <w:t>domestically</w:t>
      </w:r>
      <w:r w:rsidR="00932420">
        <w:rPr>
          <w:spacing w:val="-1"/>
        </w:rPr>
        <w:t xml:space="preserve"> </w:t>
      </w:r>
      <w:r>
        <w:rPr>
          <w:spacing w:val="-1"/>
        </w:rPr>
        <w:t>and</w:t>
      </w:r>
      <w:r w:rsidR="00932420">
        <w:rPr>
          <w:spacing w:val="-1"/>
        </w:rPr>
        <w:t xml:space="preserve"> </w:t>
      </w:r>
      <w:r>
        <w:rPr>
          <w:spacing w:val="-1"/>
        </w:rPr>
        <w:t>internationally.</w:t>
      </w:r>
      <w:r w:rsidR="00932420">
        <w:rPr>
          <w:spacing w:val="-1"/>
        </w:rPr>
        <w:t xml:space="preserve"> </w:t>
      </w:r>
      <w:r>
        <w:rPr>
          <w:spacing w:val="-1"/>
        </w:rPr>
        <w:t>Victorian</w:t>
      </w:r>
      <w:r w:rsidR="00932420">
        <w:rPr>
          <w:spacing w:val="-1"/>
        </w:rPr>
        <w:t xml:space="preserve"> </w:t>
      </w:r>
      <w:r>
        <w:rPr>
          <w:spacing w:val="-1"/>
        </w:rPr>
        <w:t>exporting</w:t>
      </w:r>
      <w:r w:rsidR="00932420">
        <w:rPr>
          <w:spacing w:val="-1"/>
        </w:rPr>
        <w:t xml:space="preserve"> </w:t>
      </w:r>
      <w:r>
        <w:rPr>
          <w:spacing w:val="1"/>
        </w:rPr>
        <w:t>businesses</w:t>
      </w:r>
      <w:r w:rsidR="00932420">
        <w:rPr>
          <w:spacing w:val="1"/>
        </w:rPr>
        <w:t xml:space="preserve"> </w:t>
      </w:r>
      <w:r>
        <w:rPr>
          <w:spacing w:val="1"/>
        </w:rPr>
        <w:t>continued</w:t>
      </w:r>
      <w:r w:rsidR="00932420">
        <w:rPr>
          <w:spacing w:val="1"/>
        </w:rPr>
        <w:t xml:space="preserve"> </w:t>
      </w:r>
      <w:r>
        <w:rPr>
          <w:spacing w:val="1"/>
        </w:rPr>
        <w:t>to</w:t>
      </w:r>
      <w:r w:rsidR="00932420">
        <w:rPr>
          <w:spacing w:val="1"/>
        </w:rPr>
        <w:t xml:space="preserve"> </w:t>
      </w:r>
      <w:r>
        <w:rPr>
          <w:spacing w:val="1"/>
        </w:rPr>
        <w:t>seek</w:t>
      </w:r>
      <w:r w:rsidR="00932420">
        <w:rPr>
          <w:spacing w:val="1"/>
        </w:rPr>
        <w:t xml:space="preserve"> </w:t>
      </w:r>
      <w:r>
        <w:rPr>
          <w:spacing w:val="1"/>
        </w:rPr>
        <w:t>new</w:t>
      </w:r>
      <w:r w:rsidR="00932420">
        <w:rPr>
          <w:spacing w:val="1"/>
        </w:rPr>
        <w:t xml:space="preserve"> </w:t>
      </w:r>
      <w:r>
        <w:rPr>
          <w:spacing w:val="1"/>
        </w:rPr>
        <w:t>business</w:t>
      </w:r>
      <w:r w:rsidR="00932420">
        <w:rPr>
          <w:spacing w:val="1"/>
        </w:rPr>
        <w:t xml:space="preserve"> </w:t>
      </w:r>
      <w:r>
        <w:t>opportunities</w:t>
      </w:r>
      <w:r w:rsidR="00932420">
        <w:t xml:space="preserve"> </w:t>
      </w:r>
      <w:r>
        <w:t>and</w:t>
      </w:r>
      <w:r w:rsidR="00932420">
        <w:t xml:space="preserve"> </w:t>
      </w:r>
      <w:r>
        <w:t>to</w:t>
      </w:r>
      <w:r w:rsidR="00932420">
        <w:t xml:space="preserve"> </w:t>
      </w:r>
      <w:r>
        <w:t>re-establish</w:t>
      </w:r>
      <w:r w:rsidR="00932420">
        <w:t xml:space="preserve"> </w:t>
      </w:r>
      <w:r>
        <w:t>and</w:t>
      </w:r>
      <w:r w:rsidR="00932420">
        <w:t xml:space="preserve"> </w:t>
      </w:r>
      <w:r>
        <w:t>re-engage</w:t>
      </w:r>
      <w:r w:rsidR="00932420">
        <w:t xml:space="preserve"> </w:t>
      </w:r>
      <w:r>
        <w:t>with</w:t>
      </w:r>
      <w:r w:rsidR="00932420">
        <w:t xml:space="preserve"> </w:t>
      </w:r>
      <w:r>
        <w:t>international</w:t>
      </w:r>
      <w:r w:rsidR="00932420">
        <w:t xml:space="preserve"> </w:t>
      </w:r>
      <w:r>
        <w:t>markets</w:t>
      </w:r>
      <w:r w:rsidR="00932420">
        <w:t xml:space="preserve"> </w:t>
      </w:r>
      <w:r>
        <w:t>as</w:t>
      </w:r>
      <w:r w:rsidR="00932420">
        <w:t xml:space="preserve"> </w:t>
      </w:r>
      <w:r>
        <w:t>global</w:t>
      </w:r>
      <w:r w:rsidR="00932420">
        <w:t xml:space="preserve"> </w:t>
      </w:r>
      <w:r>
        <w:t>trade</w:t>
      </w:r>
      <w:r w:rsidR="00932420">
        <w:t xml:space="preserve"> </w:t>
      </w:r>
      <w:r>
        <w:t>began</w:t>
      </w:r>
      <w:r w:rsidR="00932420">
        <w:t xml:space="preserve"> </w:t>
      </w:r>
      <w:r>
        <w:t>to</w:t>
      </w:r>
      <w:r w:rsidR="00932420">
        <w:t xml:space="preserve"> </w:t>
      </w:r>
      <w:r>
        <w:t>normalise</w:t>
      </w:r>
      <w:r w:rsidR="00932420">
        <w:t xml:space="preserve"> </w:t>
      </w:r>
      <w:r>
        <w:t>post-pandemic.</w:t>
      </w:r>
    </w:p>
    <w:p w14:paraId="7B7DA6BF" w14:textId="127BC327" w:rsidR="00CA3C5B" w:rsidRDefault="00260033" w:rsidP="009E1E84">
      <w:pPr>
        <w:rPr>
          <w:spacing w:val="-1"/>
        </w:rPr>
      </w:pPr>
      <w:r>
        <w:lastRenderedPageBreak/>
        <w:t>Key</w:t>
      </w:r>
      <w:r w:rsidR="00932420">
        <w:t xml:space="preserve"> </w:t>
      </w:r>
      <w:r>
        <w:t>initiatives</w:t>
      </w:r>
      <w:r w:rsidR="00932420">
        <w:t xml:space="preserve"> </w:t>
      </w:r>
      <w:r>
        <w:t>delivered</w:t>
      </w:r>
      <w:r w:rsidR="00932420">
        <w:t xml:space="preserve"> </w:t>
      </w:r>
      <w:r>
        <w:t>across</w:t>
      </w:r>
      <w:r w:rsidR="00932420">
        <w:t xml:space="preserve"> </w:t>
      </w:r>
      <w:r>
        <w:t>the</w:t>
      </w:r>
      <w:r w:rsidR="00932420">
        <w:t xml:space="preserve"> </w:t>
      </w:r>
      <w:r>
        <w:t>financial</w:t>
      </w:r>
      <w:r w:rsidR="00932420">
        <w:t xml:space="preserve"> </w:t>
      </w:r>
      <w:r>
        <w:t>year</w:t>
      </w:r>
      <w:r w:rsidR="00932420">
        <w:t xml:space="preserve"> </w:t>
      </w:r>
      <w:r>
        <w:t>supported</w:t>
      </w:r>
      <w:r w:rsidR="00932420">
        <w:t xml:space="preserve"> </w:t>
      </w:r>
      <w:r>
        <w:t>a</w:t>
      </w:r>
      <w:r w:rsidR="00932420">
        <w:t xml:space="preserve"> </w:t>
      </w:r>
      <w:r>
        <w:t>strong</w:t>
      </w:r>
      <w:r w:rsidR="00932420">
        <w:t xml:space="preserve"> </w:t>
      </w:r>
      <w:r>
        <w:t>result</w:t>
      </w:r>
      <w:r w:rsidR="00932420">
        <w:t xml:space="preserve"> </w:t>
      </w:r>
      <w:r>
        <w:t>for</w:t>
      </w:r>
      <w:r w:rsidR="00932420">
        <w:t xml:space="preserve"> </w:t>
      </w:r>
      <w:r>
        <w:t>the</w:t>
      </w:r>
      <w:r w:rsidR="00932420">
        <w:t xml:space="preserve"> </w:t>
      </w:r>
      <w:r>
        <w:t>export</w:t>
      </w:r>
      <w:r w:rsidR="00932420">
        <w:t xml:space="preserve"> </w:t>
      </w:r>
      <w:r>
        <w:t>sales</w:t>
      </w:r>
      <w:r w:rsidR="00932420">
        <w:t xml:space="preserve"> </w:t>
      </w:r>
      <w:r>
        <w:t>measure,</w:t>
      </w:r>
      <w:r w:rsidR="00932420">
        <w:t xml:space="preserve"> </w:t>
      </w:r>
      <w:r>
        <w:t>with</w:t>
      </w:r>
      <w:r w:rsidR="00932420">
        <w:t xml:space="preserve"> </w:t>
      </w:r>
      <w:r>
        <w:t>the</w:t>
      </w:r>
      <w:r w:rsidR="00932420">
        <w:t xml:space="preserve"> </w:t>
      </w:r>
      <w:r>
        <w:t>department</w:t>
      </w:r>
      <w:r w:rsidR="00932420">
        <w:t xml:space="preserve"> </w:t>
      </w:r>
      <w:r>
        <w:t>delivering</w:t>
      </w:r>
      <w:r w:rsidR="00932420">
        <w:t xml:space="preserve"> </w:t>
      </w:r>
      <w:r>
        <w:t>47</w:t>
      </w:r>
      <w:r w:rsidR="00932420">
        <w:t xml:space="preserve"> </w:t>
      </w:r>
      <w:r>
        <w:t>trade</w:t>
      </w:r>
      <w:r w:rsidR="00932420">
        <w:t xml:space="preserve"> </w:t>
      </w:r>
      <w:r>
        <w:t>missions</w:t>
      </w:r>
      <w:r w:rsidR="00932420">
        <w:t xml:space="preserve"> </w:t>
      </w:r>
      <w:r>
        <w:t>to</w:t>
      </w:r>
      <w:r w:rsidR="00932420">
        <w:t xml:space="preserve"> </w:t>
      </w:r>
      <w:r>
        <w:t>21</w:t>
      </w:r>
      <w:r w:rsidR="00932420">
        <w:t xml:space="preserve"> </w:t>
      </w:r>
      <w:r>
        <w:t>priority</w:t>
      </w:r>
      <w:r w:rsidR="00932420">
        <w:t xml:space="preserve"> </w:t>
      </w:r>
      <w:r>
        <w:t>international</w:t>
      </w:r>
      <w:r w:rsidR="00932420">
        <w:t xml:space="preserve"> </w:t>
      </w:r>
      <w:r>
        <w:t>markets</w:t>
      </w:r>
      <w:r w:rsidR="00932420">
        <w:t xml:space="preserve"> </w:t>
      </w:r>
      <w:r>
        <w:t>–</w:t>
      </w:r>
      <w:r w:rsidR="00932420">
        <w:t xml:space="preserve"> </w:t>
      </w:r>
      <w:r>
        <w:t>with</w:t>
      </w:r>
      <w:r w:rsidR="00932420">
        <w:t xml:space="preserve"> </w:t>
      </w:r>
      <w:r>
        <w:t>many</w:t>
      </w:r>
      <w:r w:rsidR="00932420">
        <w:t xml:space="preserve"> </w:t>
      </w:r>
      <w:r>
        <w:t>activities</w:t>
      </w:r>
      <w:r w:rsidR="00932420">
        <w:t xml:space="preserve"> </w:t>
      </w:r>
      <w:r>
        <w:t>heavily</w:t>
      </w:r>
      <w:r w:rsidR="00932420">
        <w:t xml:space="preserve"> </w:t>
      </w:r>
      <w:r>
        <w:t>or</w:t>
      </w:r>
      <w:r w:rsidR="00932420">
        <w:t xml:space="preserve"> </w:t>
      </w:r>
      <w:r>
        <w:t>often</w:t>
      </w:r>
      <w:r w:rsidR="00932420">
        <w:t xml:space="preserve"> </w:t>
      </w:r>
      <w:r>
        <w:t>over-subscribed.</w:t>
      </w:r>
      <w:r w:rsidR="00932420">
        <w:t xml:space="preserve"> </w:t>
      </w:r>
      <w:r>
        <w:rPr>
          <w:spacing w:val="-1"/>
        </w:rPr>
        <w:t>In</w:t>
      </w:r>
      <w:r w:rsidR="00932420">
        <w:rPr>
          <w:spacing w:val="-1"/>
        </w:rPr>
        <w:t xml:space="preserve"> </w:t>
      </w:r>
      <w:r>
        <w:rPr>
          <w:spacing w:val="-1"/>
        </w:rPr>
        <w:t>total,</w:t>
      </w:r>
      <w:r w:rsidR="00932420">
        <w:rPr>
          <w:spacing w:val="-1"/>
        </w:rPr>
        <w:t xml:space="preserve"> </w:t>
      </w:r>
      <w:r>
        <w:rPr>
          <w:spacing w:val="-1"/>
        </w:rPr>
        <w:t>the</w:t>
      </w:r>
      <w:r w:rsidR="00932420">
        <w:rPr>
          <w:spacing w:val="-1"/>
        </w:rPr>
        <w:t xml:space="preserve"> </w:t>
      </w:r>
      <w:r>
        <w:rPr>
          <w:spacing w:val="-1"/>
        </w:rPr>
        <w:t>department</w:t>
      </w:r>
      <w:r w:rsidR="00932420">
        <w:rPr>
          <w:spacing w:val="-1"/>
        </w:rPr>
        <w:t xml:space="preserve"> </w:t>
      </w:r>
      <w:r>
        <w:rPr>
          <w:spacing w:val="-1"/>
        </w:rPr>
        <w:t>supported</w:t>
      </w:r>
      <w:r w:rsidR="00932420">
        <w:rPr>
          <w:spacing w:val="-1"/>
        </w:rPr>
        <w:t xml:space="preserve"> </w:t>
      </w:r>
      <w:r>
        <w:rPr>
          <w:spacing w:val="-1"/>
        </w:rPr>
        <w:t>more</w:t>
      </w:r>
      <w:r w:rsidR="00932420">
        <w:rPr>
          <w:spacing w:val="-1"/>
        </w:rPr>
        <w:t xml:space="preserve"> </w:t>
      </w:r>
      <w:r>
        <w:rPr>
          <w:spacing w:val="-1"/>
        </w:rPr>
        <w:t>than</w:t>
      </w:r>
      <w:r w:rsidR="00932420">
        <w:rPr>
          <w:spacing w:val="-1"/>
        </w:rPr>
        <w:t xml:space="preserve"> </w:t>
      </w:r>
      <w:r>
        <w:rPr>
          <w:spacing w:val="-1"/>
        </w:rPr>
        <w:t>3,080</w:t>
      </w:r>
      <w:r w:rsidR="00932420">
        <w:rPr>
          <w:spacing w:val="-1"/>
        </w:rPr>
        <w:t xml:space="preserve"> </w:t>
      </w:r>
      <w:r>
        <w:rPr>
          <w:spacing w:val="-1"/>
        </w:rPr>
        <w:t>Victorian</w:t>
      </w:r>
      <w:r w:rsidR="00932420">
        <w:rPr>
          <w:spacing w:val="-1"/>
        </w:rPr>
        <w:t xml:space="preserve"> </w:t>
      </w:r>
      <w:r>
        <w:rPr>
          <w:spacing w:val="-1"/>
        </w:rPr>
        <w:t>businesses</w:t>
      </w:r>
      <w:r w:rsidR="00932420">
        <w:rPr>
          <w:spacing w:val="-1"/>
        </w:rPr>
        <w:t xml:space="preserve"> </w:t>
      </w:r>
      <w:r>
        <w:rPr>
          <w:spacing w:val="-1"/>
        </w:rPr>
        <w:t>through</w:t>
      </w:r>
      <w:r w:rsidR="00932420">
        <w:rPr>
          <w:spacing w:val="-1"/>
        </w:rPr>
        <w:t xml:space="preserve"> </w:t>
      </w:r>
      <w:r>
        <w:rPr>
          <w:spacing w:val="-1"/>
        </w:rPr>
        <w:t>its</w:t>
      </w:r>
      <w:r w:rsidR="00932420">
        <w:rPr>
          <w:spacing w:val="-1"/>
        </w:rPr>
        <w:t xml:space="preserve"> </w:t>
      </w:r>
      <w:r>
        <w:rPr>
          <w:spacing w:val="-1"/>
        </w:rPr>
        <w:t>suite</w:t>
      </w:r>
      <w:r w:rsidR="00932420">
        <w:rPr>
          <w:spacing w:val="-1"/>
        </w:rPr>
        <w:t xml:space="preserve"> </w:t>
      </w:r>
      <w:r>
        <w:rPr>
          <w:spacing w:val="-1"/>
        </w:rPr>
        <w:t>of</w:t>
      </w:r>
      <w:r w:rsidR="00932420">
        <w:rPr>
          <w:spacing w:val="-1"/>
        </w:rPr>
        <w:t xml:space="preserve"> </w:t>
      </w:r>
      <w:r>
        <w:rPr>
          <w:spacing w:val="-1"/>
        </w:rPr>
        <w:t>international</w:t>
      </w:r>
      <w:r w:rsidR="00932420">
        <w:rPr>
          <w:spacing w:val="-1"/>
        </w:rPr>
        <w:t xml:space="preserve"> </w:t>
      </w:r>
      <w:r>
        <w:rPr>
          <w:spacing w:val="-1"/>
        </w:rPr>
        <w:t>business</w:t>
      </w:r>
      <w:r w:rsidR="00932420">
        <w:rPr>
          <w:spacing w:val="-1"/>
        </w:rPr>
        <w:t xml:space="preserve"> </w:t>
      </w:r>
      <w:r>
        <w:rPr>
          <w:spacing w:val="-1"/>
        </w:rPr>
        <w:t>engagement</w:t>
      </w:r>
      <w:r w:rsidR="00932420">
        <w:rPr>
          <w:spacing w:val="-1"/>
        </w:rPr>
        <w:t xml:space="preserve"> </w:t>
      </w:r>
      <w:r>
        <w:rPr>
          <w:spacing w:val="-1"/>
        </w:rPr>
        <w:t>programs</w:t>
      </w:r>
      <w:r w:rsidR="00932420">
        <w:rPr>
          <w:spacing w:val="-1"/>
        </w:rPr>
        <w:t xml:space="preserve"> </w:t>
      </w:r>
      <w:r>
        <w:rPr>
          <w:spacing w:val="-1"/>
        </w:rPr>
        <w:t>and</w:t>
      </w:r>
      <w:r w:rsidR="00932420">
        <w:rPr>
          <w:spacing w:val="-1"/>
        </w:rPr>
        <w:t xml:space="preserve"> </w:t>
      </w:r>
      <w:r>
        <w:rPr>
          <w:spacing w:val="-1"/>
        </w:rPr>
        <w:t>services.</w:t>
      </w:r>
      <w:r w:rsidR="00932420">
        <w:rPr>
          <w:spacing w:val="-1"/>
        </w:rPr>
        <w:t xml:space="preserve"> </w:t>
      </w:r>
      <w:r>
        <w:rPr>
          <w:spacing w:val="-1"/>
        </w:rPr>
        <w:t>In</w:t>
      </w:r>
      <w:r w:rsidR="00932420">
        <w:rPr>
          <w:spacing w:val="-1"/>
        </w:rPr>
        <w:t xml:space="preserve"> </w:t>
      </w:r>
      <w:r>
        <w:rPr>
          <w:spacing w:val="-1"/>
        </w:rPr>
        <w:t>addition,</w:t>
      </w:r>
      <w:r w:rsidR="00932420">
        <w:rPr>
          <w:spacing w:val="-1"/>
        </w:rPr>
        <w:t xml:space="preserve"> </w:t>
      </w:r>
      <w:r>
        <w:rPr>
          <w:spacing w:val="-1"/>
        </w:rPr>
        <w:t>a</w:t>
      </w:r>
      <w:r w:rsidR="00932420">
        <w:rPr>
          <w:spacing w:val="-1"/>
        </w:rPr>
        <w:t xml:space="preserve"> </w:t>
      </w:r>
      <w:r>
        <w:rPr>
          <w:spacing w:val="-1"/>
        </w:rPr>
        <w:t>strong</w:t>
      </w:r>
      <w:r w:rsidR="00932420">
        <w:rPr>
          <w:spacing w:val="-1"/>
        </w:rPr>
        <w:t xml:space="preserve"> </w:t>
      </w:r>
      <w:r>
        <w:rPr>
          <w:spacing w:val="-1"/>
        </w:rPr>
        <w:t>program</w:t>
      </w:r>
      <w:r w:rsidR="00932420">
        <w:rPr>
          <w:spacing w:val="-1"/>
        </w:rPr>
        <w:t xml:space="preserve"> </w:t>
      </w:r>
      <w:r>
        <w:rPr>
          <w:spacing w:val="-1"/>
        </w:rPr>
        <w:t>of</w:t>
      </w:r>
      <w:r w:rsidR="00932420">
        <w:rPr>
          <w:spacing w:val="-1"/>
        </w:rPr>
        <w:t xml:space="preserve"> </w:t>
      </w:r>
      <w:r>
        <w:rPr>
          <w:spacing w:val="-1"/>
        </w:rPr>
        <w:t>activity</w:t>
      </w:r>
      <w:r w:rsidR="00932420">
        <w:rPr>
          <w:spacing w:val="-1"/>
        </w:rPr>
        <w:t xml:space="preserve"> </w:t>
      </w:r>
      <w:r>
        <w:rPr>
          <w:spacing w:val="-1"/>
        </w:rPr>
        <w:t>delivered</w:t>
      </w:r>
      <w:r w:rsidR="00932420">
        <w:rPr>
          <w:spacing w:val="-1"/>
        </w:rPr>
        <w:t xml:space="preserve"> </w:t>
      </w:r>
      <w:r>
        <w:rPr>
          <w:spacing w:val="-1"/>
        </w:rPr>
        <w:t>in</w:t>
      </w:r>
      <w:r w:rsidR="00932420">
        <w:rPr>
          <w:spacing w:val="-1"/>
        </w:rPr>
        <w:t xml:space="preserve"> </w:t>
      </w:r>
      <w:r>
        <w:rPr>
          <w:spacing w:val="-1"/>
        </w:rPr>
        <w:t>previous</w:t>
      </w:r>
      <w:r w:rsidR="00932420">
        <w:rPr>
          <w:spacing w:val="-1"/>
        </w:rPr>
        <w:t xml:space="preserve"> </w:t>
      </w:r>
      <w:r>
        <w:rPr>
          <w:spacing w:val="-1"/>
        </w:rPr>
        <w:t>years</w:t>
      </w:r>
      <w:r w:rsidR="00932420">
        <w:rPr>
          <w:spacing w:val="-1"/>
        </w:rPr>
        <w:t xml:space="preserve"> </w:t>
      </w:r>
      <w:r>
        <w:rPr>
          <w:spacing w:val="-1"/>
        </w:rPr>
        <w:t>generated</w:t>
      </w:r>
      <w:r w:rsidR="00932420">
        <w:rPr>
          <w:spacing w:val="-1"/>
        </w:rPr>
        <w:t xml:space="preserve"> </w:t>
      </w:r>
      <w:r>
        <w:rPr>
          <w:spacing w:val="-1"/>
        </w:rPr>
        <w:t>positive</w:t>
      </w:r>
      <w:r w:rsidR="00932420">
        <w:rPr>
          <w:spacing w:val="-1"/>
        </w:rPr>
        <w:t xml:space="preserve"> </w:t>
      </w:r>
      <w:r>
        <w:rPr>
          <w:spacing w:val="-1"/>
        </w:rPr>
        <w:t>exports</w:t>
      </w:r>
      <w:r w:rsidR="00932420">
        <w:rPr>
          <w:spacing w:val="-1"/>
        </w:rPr>
        <w:t xml:space="preserve"> </w:t>
      </w:r>
      <w:r>
        <w:rPr>
          <w:spacing w:val="-1"/>
        </w:rPr>
        <w:t>sales</w:t>
      </w:r>
      <w:r w:rsidR="00932420">
        <w:rPr>
          <w:spacing w:val="-1"/>
        </w:rPr>
        <w:t xml:space="preserve"> </w:t>
      </w:r>
      <w:r>
        <w:rPr>
          <w:spacing w:val="-1"/>
        </w:rPr>
        <w:t>outcomes</w:t>
      </w:r>
      <w:r w:rsidR="00932420">
        <w:rPr>
          <w:spacing w:val="-1"/>
        </w:rPr>
        <w:t xml:space="preserve"> </w:t>
      </w:r>
      <w:r>
        <w:rPr>
          <w:spacing w:val="-1"/>
        </w:rPr>
        <w:t>this</w:t>
      </w:r>
      <w:r w:rsidR="00932420">
        <w:rPr>
          <w:spacing w:val="-1"/>
        </w:rPr>
        <w:t xml:space="preserve"> </w:t>
      </w:r>
      <w:r>
        <w:rPr>
          <w:spacing w:val="-1"/>
        </w:rPr>
        <w:t>financial</w:t>
      </w:r>
      <w:r w:rsidR="00932420">
        <w:rPr>
          <w:spacing w:val="-1"/>
        </w:rPr>
        <w:t xml:space="preserve"> </w:t>
      </w:r>
      <w:r>
        <w:rPr>
          <w:spacing w:val="-1"/>
        </w:rPr>
        <w:t>year.</w:t>
      </w:r>
    </w:p>
    <w:p w14:paraId="1E72D7F0" w14:textId="0A05801B" w:rsidR="00CA3C5B" w:rsidRDefault="00260033" w:rsidP="009E1E84">
      <w:r>
        <w:t>The</w:t>
      </w:r>
      <w:r w:rsidR="00932420">
        <w:t xml:space="preserve"> </w:t>
      </w:r>
      <w:r>
        <w:t>department</w:t>
      </w:r>
      <w:r w:rsidR="00932420">
        <w:t xml:space="preserve"> </w:t>
      </w:r>
      <w:r>
        <w:t>further</w:t>
      </w:r>
      <w:r w:rsidR="00932420">
        <w:t xml:space="preserve"> </w:t>
      </w:r>
      <w:r>
        <w:t>supported</w:t>
      </w:r>
      <w:r w:rsidR="00932420">
        <w:t xml:space="preserve"> </w:t>
      </w:r>
      <w:r>
        <w:t>businesses</w:t>
      </w:r>
      <w:r w:rsidR="00932420">
        <w:t xml:space="preserve"> </w:t>
      </w:r>
      <w:r>
        <w:t>in</w:t>
      </w:r>
      <w:r w:rsidR="00932420">
        <w:t xml:space="preserve"> </w:t>
      </w:r>
      <w:r>
        <w:t>international</w:t>
      </w:r>
      <w:r w:rsidR="00932420">
        <w:t xml:space="preserve"> </w:t>
      </w:r>
      <w:r>
        <w:t>markets</w:t>
      </w:r>
      <w:r w:rsidR="00932420">
        <w:t xml:space="preserve"> </w:t>
      </w:r>
      <w:r>
        <w:t>through</w:t>
      </w:r>
      <w:r w:rsidR="00932420">
        <w:t xml:space="preserve"> </w:t>
      </w:r>
      <w:r>
        <w:t>its</w:t>
      </w:r>
      <w:r w:rsidR="00932420">
        <w:t xml:space="preserve"> </w:t>
      </w:r>
      <w:r>
        <w:t>network</w:t>
      </w:r>
      <w:r w:rsidR="00932420">
        <w:t xml:space="preserve"> </w:t>
      </w:r>
      <w:r>
        <w:t>of</w:t>
      </w:r>
      <w:r w:rsidR="00932420">
        <w:t xml:space="preserve"> </w:t>
      </w:r>
      <w:r>
        <w:t>23</w:t>
      </w:r>
      <w:r w:rsidR="00932420">
        <w:t xml:space="preserve"> </w:t>
      </w:r>
      <w:r>
        <w:t>Victorian</w:t>
      </w:r>
      <w:r w:rsidR="00932420">
        <w:t xml:space="preserve"> </w:t>
      </w:r>
      <w:r>
        <w:t>Government</w:t>
      </w:r>
      <w:r w:rsidR="00932420">
        <w:t xml:space="preserve"> </w:t>
      </w:r>
      <w:r>
        <w:t>Trade</w:t>
      </w:r>
      <w:r w:rsidR="00932420">
        <w:t xml:space="preserve"> </w:t>
      </w:r>
      <w:r>
        <w:t>and</w:t>
      </w:r>
      <w:r w:rsidR="00932420">
        <w:t xml:space="preserve"> </w:t>
      </w:r>
      <w:r>
        <w:t>Investment</w:t>
      </w:r>
      <w:r w:rsidR="00932420">
        <w:t xml:space="preserve"> </w:t>
      </w:r>
      <w:r>
        <w:t>offices</w:t>
      </w:r>
      <w:r w:rsidR="00932420">
        <w:t xml:space="preserve"> </w:t>
      </w:r>
      <w:r>
        <w:t>–</w:t>
      </w:r>
      <w:r w:rsidR="00932420">
        <w:t xml:space="preserve"> </w:t>
      </w:r>
      <w:r>
        <w:t>providing</w:t>
      </w:r>
      <w:r w:rsidR="00932420">
        <w:t xml:space="preserve"> </w:t>
      </w:r>
      <w:r>
        <w:t>tailored</w:t>
      </w:r>
      <w:r w:rsidR="00932420">
        <w:t xml:space="preserve"> </w:t>
      </w:r>
      <w:r>
        <w:t>support</w:t>
      </w:r>
      <w:r w:rsidR="00932420">
        <w:t xml:space="preserve"> </w:t>
      </w:r>
      <w:r>
        <w:t>to</w:t>
      </w:r>
      <w:r w:rsidR="00932420">
        <w:t xml:space="preserve"> </w:t>
      </w:r>
      <w:r>
        <w:t>assist</w:t>
      </w:r>
      <w:r w:rsidR="00932420">
        <w:t xml:space="preserve"> </w:t>
      </w:r>
      <w:r>
        <w:t>firms</w:t>
      </w:r>
      <w:r w:rsidR="00932420">
        <w:t xml:space="preserve"> </w:t>
      </w:r>
      <w:r>
        <w:t>in</w:t>
      </w:r>
      <w:r w:rsidR="00932420">
        <w:t xml:space="preserve"> </w:t>
      </w:r>
      <w:r>
        <w:t>realising</w:t>
      </w:r>
      <w:r w:rsidR="00932420">
        <w:t xml:space="preserve"> </w:t>
      </w:r>
      <w:r>
        <w:t>and</w:t>
      </w:r>
      <w:r w:rsidR="00932420">
        <w:t xml:space="preserve"> </w:t>
      </w:r>
      <w:r>
        <w:t>capturing</w:t>
      </w:r>
      <w:r w:rsidR="00932420">
        <w:t xml:space="preserve"> </w:t>
      </w:r>
      <w:r>
        <w:t>export</w:t>
      </w:r>
      <w:r w:rsidR="00932420">
        <w:t xml:space="preserve"> </w:t>
      </w:r>
      <w:r>
        <w:t>sales.</w:t>
      </w:r>
      <w:r w:rsidR="00932420">
        <w:t xml:space="preserve"> </w:t>
      </w:r>
      <w:r>
        <w:t>Uptake</w:t>
      </w:r>
      <w:r w:rsidR="00932420">
        <w:t xml:space="preserve"> </w:t>
      </w:r>
      <w:r>
        <w:t>in</w:t>
      </w:r>
      <w:r w:rsidR="00932420">
        <w:t xml:space="preserve"> </w:t>
      </w:r>
      <w:r>
        <w:t>client</w:t>
      </w:r>
      <w:r w:rsidR="00932420">
        <w:t xml:space="preserve"> </w:t>
      </w:r>
      <w:r>
        <w:t>facilitation</w:t>
      </w:r>
      <w:r w:rsidR="00932420">
        <w:t xml:space="preserve"> </w:t>
      </w:r>
      <w:r>
        <w:t>services</w:t>
      </w:r>
      <w:r w:rsidR="00932420">
        <w:t xml:space="preserve"> </w:t>
      </w:r>
      <w:r>
        <w:t>delivered</w:t>
      </w:r>
      <w:r w:rsidR="00932420">
        <w:t xml:space="preserve"> </w:t>
      </w:r>
      <w:r>
        <w:t>both</w:t>
      </w:r>
      <w:r w:rsidR="00932420">
        <w:t xml:space="preserve"> </w:t>
      </w:r>
      <w:r>
        <w:t>domestically</w:t>
      </w:r>
      <w:r w:rsidR="00932420">
        <w:t xml:space="preserve"> </w:t>
      </w:r>
      <w:r>
        <w:t>and</w:t>
      </w:r>
      <w:r w:rsidR="00932420">
        <w:t xml:space="preserve"> </w:t>
      </w:r>
      <w:r>
        <w:t>internationally</w:t>
      </w:r>
      <w:r w:rsidR="00932420">
        <w:t xml:space="preserve"> </w:t>
      </w:r>
      <w:r>
        <w:t>significantly</w:t>
      </w:r>
      <w:r w:rsidR="00932420">
        <w:t xml:space="preserve"> </w:t>
      </w:r>
      <w:r>
        <w:t>contributed</w:t>
      </w:r>
      <w:r w:rsidR="00932420">
        <w:t xml:space="preserve"> </w:t>
      </w:r>
      <w:r>
        <w:t>to</w:t>
      </w:r>
      <w:r w:rsidR="00932420">
        <w:t xml:space="preserve"> </w:t>
      </w:r>
      <w:r>
        <w:t>export</w:t>
      </w:r>
      <w:r w:rsidR="00932420">
        <w:t xml:space="preserve"> </w:t>
      </w:r>
      <w:r>
        <w:t>sales</w:t>
      </w:r>
      <w:r w:rsidR="00932420">
        <w:t xml:space="preserve"> </w:t>
      </w:r>
      <w:r>
        <w:t>measure</w:t>
      </w:r>
      <w:r w:rsidR="00932420">
        <w:t xml:space="preserve"> </w:t>
      </w:r>
      <w:r>
        <w:t>performance,</w:t>
      </w:r>
      <w:r w:rsidR="00932420">
        <w:t xml:space="preserve"> </w:t>
      </w:r>
      <w:r>
        <w:t>underpinned</w:t>
      </w:r>
      <w:r w:rsidR="00932420">
        <w:t xml:space="preserve"> </w:t>
      </w:r>
      <w:r>
        <w:t>by</w:t>
      </w:r>
      <w:r w:rsidR="00932420">
        <w:t xml:space="preserve"> </w:t>
      </w:r>
      <w:r>
        <w:t>strong</w:t>
      </w:r>
      <w:r w:rsidR="00932420">
        <w:t xml:space="preserve"> </w:t>
      </w:r>
      <w:r>
        <w:t>demand</w:t>
      </w:r>
      <w:r w:rsidR="00932420">
        <w:t xml:space="preserve"> </w:t>
      </w:r>
      <w:r>
        <w:t>for</w:t>
      </w:r>
      <w:r w:rsidR="00932420">
        <w:t xml:space="preserve"> </w:t>
      </w:r>
      <w:r>
        <w:t>services</w:t>
      </w:r>
      <w:r w:rsidR="00932420">
        <w:t xml:space="preserve"> </w:t>
      </w:r>
      <w:r>
        <w:t>in</w:t>
      </w:r>
      <w:r w:rsidR="00932420">
        <w:t xml:space="preserve"> </w:t>
      </w:r>
      <w:r>
        <w:t>the</w:t>
      </w:r>
      <w:r w:rsidR="00932420">
        <w:t xml:space="preserve"> </w:t>
      </w:r>
      <w:r>
        <w:t>traditional</w:t>
      </w:r>
      <w:r w:rsidR="00932420">
        <w:t xml:space="preserve"> </w:t>
      </w:r>
      <w:r>
        <w:t>export</w:t>
      </w:r>
      <w:r w:rsidR="00932420">
        <w:t xml:space="preserve"> </w:t>
      </w:r>
      <w:r>
        <w:t>markets</w:t>
      </w:r>
      <w:r w:rsidR="00932420">
        <w:t xml:space="preserve"> </w:t>
      </w:r>
      <w:r>
        <w:t>of</w:t>
      </w:r>
      <w:r w:rsidR="00932420">
        <w:t xml:space="preserve"> </w:t>
      </w:r>
      <w:r>
        <w:t>the</w:t>
      </w:r>
      <w:r w:rsidR="00932420">
        <w:t xml:space="preserve"> </w:t>
      </w:r>
      <w:r>
        <w:t>UK,</w:t>
      </w:r>
      <w:r w:rsidR="00932420">
        <w:t xml:space="preserve"> </w:t>
      </w:r>
      <w:proofErr w:type="gramStart"/>
      <w:r>
        <w:t>Europe</w:t>
      </w:r>
      <w:proofErr w:type="gramEnd"/>
      <w:r w:rsidR="00932420">
        <w:t xml:space="preserve"> </w:t>
      </w:r>
      <w:r>
        <w:t>and</w:t>
      </w:r>
      <w:r w:rsidR="00932420">
        <w:t xml:space="preserve"> </w:t>
      </w:r>
      <w:r>
        <w:t>USA.</w:t>
      </w:r>
    </w:p>
    <w:p w14:paraId="36D2D10E" w14:textId="24B98890" w:rsidR="00CA3C5B" w:rsidRDefault="00260033" w:rsidP="009E1E84">
      <w:r>
        <w:t>In</w:t>
      </w:r>
      <w:r w:rsidR="00932420">
        <w:t xml:space="preserve"> </w:t>
      </w:r>
      <w:r>
        <w:t>2023–24</w:t>
      </w:r>
      <w:r w:rsidR="00932420">
        <w:t xml:space="preserve"> </w:t>
      </w:r>
      <w:r>
        <w:t>the</w:t>
      </w:r>
      <w:r w:rsidR="00932420">
        <w:t xml:space="preserve"> </w:t>
      </w:r>
      <w:r>
        <w:t>department</w:t>
      </w:r>
      <w:r w:rsidR="00932420">
        <w:t xml:space="preserve"> </w:t>
      </w:r>
      <w:r>
        <w:t>will</w:t>
      </w:r>
      <w:r w:rsidR="00932420">
        <w:t xml:space="preserve"> </w:t>
      </w:r>
      <w:r>
        <w:t>continue</w:t>
      </w:r>
      <w:r w:rsidR="00932420">
        <w:t xml:space="preserve"> </w:t>
      </w:r>
      <w:r>
        <w:t>to</w:t>
      </w:r>
      <w:r w:rsidR="00932420">
        <w:t xml:space="preserve"> </w:t>
      </w:r>
      <w:r>
        <w:t>support</w:t>
      </w:r>
      <w:r w:rsidR="00932420">
        <w:t xml:space="preserve"> </w:t>
      </w:r>
      <w:r>
        <w:t>businesses</w:t>
      </w:r>
      <w:r w:rsidR="00932420">
        <w:t xml:space="preserve"> </w:t>
      </w:r>
      <w:r>
        <w:t>to</w:t>
      </w:r>
      <w:r w:rsidR="00932420">
        <w:t xml:space="preserve"> </w:t>
      </w:r>
      <w:r>
        <w:t>maximise</w:t>
      </w:r>
      <w:r w:rsidR="00932420">
        <w:t xml:space="preserve"> </w:t>
      </w:r>
      <w:r>
        <w:t>their</w:t>
      </w:r>
      <w:r w:rsidR="00932420">
        <w:t xml:space="preserve"> </w:t>
      </w:r>
      <w:r>
        <w:t>international</w:t>
      </w:r>
      <w:r w:rsidR="00932420">
        <w:t xml:space="preserve"> </w:t>
      </w:r>
      <w:r>
        <w:t>business</w:t>
      </w:r>
      <w:r w:rsidR="00932420">
        <w:t xml:space="preserve"> </w:t>
      </w:r>
      <w:r>
        <w:t>opportunities.</w:t>
      </w:r>
      <w:r w:rsidR="00932420">
        <w:t xml:space="preserve"> </w:t>
      </w:r>
      <w:r>
        <w:t>Prioritising</w:t>
      </w:r>
      <w:r w:rsidR="00932420">
        <w:t xml:space="preserve"> </w:t>
      </w:r>
      <w:r>
        <w:t>limited</w:t>
      </w:r>
      <w:r w:rsidR="00932420">
        <w:t xml:space="preserve"> </w:t>
      </w:r>
      <w:r>
        <w:t>resources</w:t>
      </w:r>
      <w:r w:rsidR="00932420">
        <w:t xml:space="preserve"> </w:t>
      </w:r>
      <w:r>
        <w:t>and</w:t>
      </w:r>
      <w:r w:rsidR="00932420">
        <w:t xml:space="preserve"> </w:t>
      </w:r>
      <w:r>
        <w:t>supporting</w:t>
      </w:r>
      <w:r w:rsidR="00932420">
        <w:t xml:space="preserve"> </w:t>
      </w:r>
      <w:r>
        <w:t>the</w:t>
      </w:r>
      <w:r w:rsidR="00932420">
        <w:t xml:space="preserve"> </w:t>
      </w:r>
      <w:r>
        <w:t>highest</w:t>
      </w:r>
      <w:r w:rsidR="00932420">
        <w:t xml:space="preserve"> </w:t>
      </w:r>
      <w:r>
        <w:t>growth</w:t>
      </w:r>
      <w:r w:rsidR="00932420">
        <w:t xml:space="preserve"> </w:t>
      </w:r>
      <w:r>
        <w:t>potential</w:t>
      </w:r>
      <w:r w:rsidR="00932420">
        <w:t xml:space="preserve"> </w:t>
      </w:r>
      <w:r>
        <w:t>businesses</w:t>
      </w:r>
      <w:r w:rsidR="00932420">
        <w:t xml:space="preserve"> </w:t>
      </w:r>
      <w:r>
        <w:t>remain</w:t>
      </w:r>
      <w:r w:rsidR="00932420">
        <w:t xml:space="preserve"> </w:t>
      </w:r>
      <w:r>
        <w:t>key</w:t>
      </w:r>
      <w:r w:rsidR="00932420">
        <w:t xml:space="preserve"> </w:t>
      </w:r>
      <w:r>
        <w:t>priorities</w:t>
      </w:r>
      <w:r w:rsidR="00932420">
        <w:t xml:space="preserve"> </w:t>
      </w:r>
      <w:r>
        <w:t>for</w:t>
      </w:r>
      <w:r w:rsidR="00932420">
        <w:t xml:space="preserve"> </w:t>
      </w:r>
      <w:r>
        <w:t>the</w:t>
      </w:r>
      <w:r w:rsidR="00932420">
        <w:t xml:space="preserve"> </w:t>
      </w:r>
      <w:r>
        <w:t>portfolio.</w:t>
      </w:r>
    </w:p>
    <w:p w14:paraId="42E520BB" w14:textId="2F04A4BC" w:rsidR="00CA3C5B" w:rsidRDefault="00260033" w:rsidP="009E1E84">
      <w:pPr>
        <w:pStyle w:val="Heading2"/>
      </w:pPr>
      <w:bookmarkStart w:id="16" w:name="_Toc152067218"/>
      <w:r>
        <w:t>Indicator:</w:t>
      </w:r>
      <w:r w:rsidR="00932420">
        <w:t xml:space="preserve"> </w:t>
      </w:r>
      <w:r>
        <w:t>International</w:t>
      </w:r>
      <w:r w:rsidR="00932420">
        <w:t xml:space="preserve"> </w:t>
      </w:r>
      <w:r>
        <w:t>students</w:t>
      </w:r>
      <w:r w:rsidR="00932420">
        <w:t xml:space="preserve"> </w:t>
      </w:r>
      <w:r>
        <w:t>attracted</w:t>
      </w:r>
      <w:r w:rsidR="00932420">
        <w:t xml:space="preserve"> </w:t>
      </w:r>
      <w:r>
        <w:t>to</w:t>
      </w:r>
      <w:r w:rsidR="00932420">
        <w:t xml:space="preserve"> </w:t>
      </w:r>
      <w:r>
        <w:t>Victoria</w:t>
      </w:r>
      <w:bookmarkEnd w:id="16"/>
    </w:p>
    <w:p w14:paraId="6B2586BD" w14:textId="72B13D9D" w:rsidR="00CA3C5B" w:rsidRDefault="00260033" w:rsidP="009E1E84">
      <w:pPr>
        <w:pStyle w:val="TableHeading"/>
      </w:pPr>
      <w:r>
        <w:t>Table</w:t>
      </w:r>
      <w:r w:rsidR="00932420">
        <w:t xml:space="preserve"> </w:t>
      </w:r>
      <w:r>
        <w:t>7:</w:t>
      </w:r>
      <w:r w:rsidR="00932420">
        <w:t xml:space="preserve"> </w:t>
      </w:r>
      <w:r>
        <w:t>Victoria’s</w:t>
      </w:r>
      <w:r w:rsidR="00932420">
        <w:t xml:space="preserve"> </w:t>
      </w:r>
      <w:r>
        <w:t>proportion</w:t>
      </w:r>
      <w:r w:rsidR="00932420">
        <w:t xml:space="preserve"> </w:t>
      </w:r>
      <w:r>
        <w:t>of</w:t>
      </w:r>
      <w:r w:rsidR="00932420">
        <w:t xml:space="preserve"> </w:t>
      </w:r>
      <w:r>
        <w:t>international</w:t>
      </w:r>
      <w:r w:rsidR="00932420">
        <w:t xml:space="preserve"> </w:t>
      </w:r>
      <w:r>
        <w:t>student</w:t>
      </w:r>
      <w:r w:rsidR="00932420">
        <w:t xml:space="preserve"> </w:t>
      </w:r>
      <w:r>
        <w:t>enrolments</w:t>
      </w:r>
      <w:r w:rsidR="00932420">
        <w:t xml:space="preserve"> </w:t>
      </w:r>
      <w:r>
        <w:t>in</w:t>
      </w:r>
      <w:r w:rsidR="00932420">
        <w:t xml:space="preserve"> </w:t>
      </w:r>
      <w:r>
        <w:t>Australia</w:t>
      </w:r>
    </w:p>
    <w:tbl>
      <w:tblPr>
        <w:tblStyle w:val="TableGrid"/>
        <w:tblW w:w="9638" w:type="dxa"/>
        <w:tblLayout w:type="fixed"/>
        <w:tblLook w:val="0020" w:firstRow="1" w:lastRow="0" w:firstColumn="0" w:lastColumn="0" w:noHBand="0" w:noVBand="0"/>
      </w:tblPr>
      <w:tblGrid>
        <w:gridCol w:w="4815"/>
        <w:gridCol w:w="1205"/>
        <w:gridCol w:w="1206"/>
        <w:gridCol w:w="1206"/>
        <w:gridCol w:w="1206"/>
      </w:tblGrid>
      <w:tr w:rsidR="00CA3C5B" w14:paraId="01560852" w14:textId="77777777" w:rsidTr="009E1E84">
        <w:trPr>
          <w:trHeight w:val="333"/>
        </w:trPr>
        <w:tc>
          <w:tcPr>
            <w:tcW w:w="4815" w:type="dxa"/>
          </w:tcPr>
          <w:p w14:paraId="19AEF494" w14:textId="5E819E33" w:rsidR="00CA3C5B" w:rsidRDefault="00260033" w:rsidP="009E1E84">
            <w:pPr>
              <w:pStyle w:val="TableColumnHeading"/>
            </w:pPr>
            <w:bookmarkStart w:id="17" w:name="ColumnTitle_7"/>
            <w:bookmarkEnd w:id="17"/>
            <w:r>
              <w:t>Measure</w:t>
            </w:r>
            <w:r w:rsidR="00932420">
              <w:t xml:space="preserve"> </w:t>
            </w:r>
            <w:r>
              <w:t>(unit</w:t>
            </w:r>
            <w:r w:rsidR="00932420">
              <w:t xml:space="preserve"> </w:t>
            </w:r>
            <w:r>
              <w:t>of</w:t>
            </w:r>
            <w:r w:rsidR="00932420">
              <w:t xml:space="preserve"> </w:t>
            </w:r>
            <w:r>
              <w:t>measure)</w:t>
            </w:r>
          </w:p>
        </w:tc>
        <w:tc>
          <w:tcPr>
            <w:tcW w:w="1205" w:type="dxa"/>
          </w:tcPr>
          <w:p w14:paraId="67E9853D" w14:textId="77777777" w:rsidR="00CA3C5B" w:rsidRDefault="00260033" w:rsidP="00C0271E">
            <w:pPr>
              <w:pStyle w:val="TableColumnHeading"/>
              <w:jc w:val="right"/>
            </w:pPr>
            <w:r>
              <w:t>2019–20</w:t>
            </w:r>
          </w:p>
        </w:tc>
        <w:tc>
          <w:tcPr>
            <w:tcW w:w="1206" w:type="dxa"/>
          </w:tcPr>
          <w:p w14:paraId="04A96D33" w14:textId="77777777" w:rsidR="00CA3C5B" w:rsidRDefault="00260033" w:rsidP="00C0271E">
            <w:pPr>
              <w:pStyle w:val="TableColumnHeading"/>
              <w:jc w:val="right"/>
            </w:pPr>
            <w:r>
              <w:t>2020–21</w:t>
            </w:r>
          </w:p>
        </w:tc>
        <w:tc>
          <w:tcPr>
            <w:tcW w:w="1206" w:type="dxa"/>
          </w:tcPr>
          <w:p w14:paraId="72CEF08D" w14:textId="77777777" w:rsidR="00CA3C5B" w:rsidRDefault="00260033" w:rsidP="00C0271E">
            <w:pPr>
              <w:pStyle w:val="TableColumnHeading"/>
              <w:jc w:val="right"/>
            </w:pPr>
            <w:r>
              <w:t>2021–22</w:t>
            </w:r>
          </w:p>
        </w:tc>
        <w:tc>
          <w:tcPr>
            <w:tcW w:w="1206" w:type="dxa"/>
          </w:tcPr>
          <w:p w14:paraId="07EF45D1" w14:textId="77777777" w:rsidR="00CA3C5B" w:rsidRDefault="00260033" w:rsidP="00C0271E">
            <w:pPr>
              <w:pStyle w:val="TableColumnHeading"/>
              <w:jc w:val="right"/>
            </w:pPr>
            <w:r>
              <w:rPr>
                <w:lang w:val="en-US"/>
              </w:rPr>
              <w:t>2022–23</w:t>
            </w:r>
          </w:p>
        </w:tc>
      </w:tr>
      <w:tr w:rsidR="00CA3C5B" w14:paraId="0C50BA4B" w14:textId="77777777" w:rsidTr="009E1E84">
        <w:trPr>
          <w:trHeight w:val="60"/>
        </w:trPr>
        <w:tc>
          <w:tcPr>
            <w:tcW w:w="4815" w:type="dxa"/>
          </w:tcPr>
          <w:p w14:paraId="5C89D767" w14:textId="603086E1" w:rsidR="00CA3C5B" w:rsidRDefault="00260033" w:rsidP="009E1E84">
            <w:pPr>
              <w:pStyle w:val="TableCopy"/>
            </w:pPr>
            <w:r>
              <w:t>Victoria’s</w:t>
            </w:r>
            <w:r w:rsidR="00932420">
              <w:t xml:space="preserve"> </w:t>
            </w:r>
            <w:r>
              <w:t>proportion</w:t>
            </w:r>
            <w:r w:rsidR="00932420">
              <w:t xml:space="preserve"> </w:t>
            </w:r>
            <w:r>
              <w:t>of</w:t>
            </w:r>
            <w:r w:rsidR="00932420">
              <w:t xml:space="preserve"> </w:t>
            </w:r>
            <w:r>
              <w:t>all</w:t>
            </w:r>
            <w:r w:rsidR="00932420">
              <w:t xml:space="preserve"> </w:t>
            </w:r>
            <w:r>
              <w:t>international</w:t>
            </w:r>
            <w:r w:rsidR="00932420">
              <w:t xml:space="preserve"> </w:t>
            </w:r>
            <w:r>
              <w:t>student</w:t>
            </w:r>
            <w:r w:rsidR="00932420">
              <w:t xml:space="preserve"> </w:t>
            </w:r>
            <w:r>
              <w:t>enrolments</w:t>
            </w:r>
            <w:r w:rsidR="00932420">
              <w:t xml:space="preserve"> </w:t>
            </w:r>
            <w:r>
              <w:t>in</w:t>
            </w:r>
            <w:r w:rsidR="00932420">
              <w:t xml:space="preserve"> </w:t>
            </w:r>
            <w:r>
              <w:t>Australia</w:t>
            </w:r>
            <w:r w:rsidR="00932420">
              <w:t xml:space="preserve"> </w:t>
            </w:r>
            <w:r>
              <w:t>(%)</w:t>
            </w:r>
          </w:p>
        </w:tc>
        <w:tc>
          <w:tcPr>
            <w:tcW w:w="1205" w:type="dxa"/>
          </w:tcPr>
          <w:p w14:paraId="2F196B4E" w14:textId="77777777" w:rsidR="00CA3C5B" w:rsidRDefault="00260033" w:rsidP="00C0271E">
            <w:pPr>
              <w:pStyle w:val="TableCopy"/>
              <w:jc w:val="right"/>
            </w:pPr>
            <w:r>
              <w:t>32.3</w:t>
            </w:r>
          </w:p>
        </w:tc>
        <w:tc>
          <w:tcPr>
            <w:tcW w:w="1206" w:type="dxa"/>
          </w:tcPr>
          <w:p w14:paraId="7D3648F4" w14:textId="77777777" w:rsidR="00CA3C5B" w:rsidRDefault="00260033" w:rsidP="00C0271E">
            <w:pPr>
              <w:pStyle w:val="TableCopy"/>
              <w:jc w:val="right"/>
            </w:pPr>
            <w:r>
              <w:t>32.2</w:t>
            </w:r>
          </w:p>
        </w:tc>
        <w:tc>
          <w:tcPr>
            <w:tcW w:w="1206" w:type="dxa"/>
          </w:tcPr>
          <w:p w14:paraId="2699ACA2" w14:textId="77777777" w:rsidR="00CA3C5B" w:rsidRDefault="00260033" w:rsidP="00C0271E">
            <w:pPr>
              <w:pStyle w:val="TableCopy"/>
              <w:jc w:val="right"/>
            </w:pPr>
            <w:r>
              <w:t>31.7</w:t>
            </w:r>
          </w:p>
        </w:tc>
        <w:tc>
          <w:tcPr>
            <w:tcW w:w="1206" w:type="dxa"/>
          </w:tcPr>
          <w:p w14:paraId="70807D38" w14:textId="77777777" w:rsidR="00CA3C5B" w:rsidRDefault="00260033" w:rsidP="00C0271E">
            <w:pPr>
              <w:pStyle w:val="TableCopy"/>
              <w:jc w:val="right"/>
            </w:pPr>
            <w:r>
              <w:rPr>
                <w:lang w:val="en-US"/>
              </w:rPr>
              <w:t>29.9</w:t>
            </w:r>
          </w:p>
        </w:tc>
      </w:tr>
    </w:tbl>
    <w:p w14:paraId="3BAAEF01" w14:textId="35D90D61" w:rsidR="00CA3C5B" w:rsidRDefault="00C0271E" w:rsidP="00C0271E">
      <w:pPr>
        <w:pStyle w:val="FootnoteText"/>
        <w:spacing w:before="120" w:after="280"/>
      </w:pPr>
      <w:r>
        <w:t>Note: Financial year data on international student enrolments is not available. Figures in the table are calendar year data reflecting the academic year and capturing peaks and troughs of enrolment periods. Data includes student visa holders enrolled onshore and offshore.</w:t>
      </w:r>
    </w:p>
    <w:p w14:paraId="279FDC92" w14:textId="69A1AD05" w:rsidR="00CA3C5B" w:rsidRDefault="00260033" w:rsidP="00C0271E">
      <w:pPr>
        <w:pStyle w:val="FigureHeading"/>
      </w:pPr>
      <w:r>
        <w:t>Figure</w:t>
      </w:r>
      <w:r w:rsidR="00932420">
        <w:t xml:space="preserve"> </w:t>
      </w:r>
      <w:r>
        <w:t>5:</w:t>
      </w:r>
      <w:r w:rsidR="00932420">
        <w:t xml:space="preserve"> </w:t>
      </w:r>
      <w:r>
        <w:t>Victoria’s</w:t>
      </w:r>
      <w:r w:rsidR="00932420">
        <w:t xml:space="preserve"> </w:t>
      </w:r>
      <w:r>
        <w:t>proportion</w:t>
      </w:r>
      <w:r w:rsidR="00932420">
        <w:t xml:space="preserve"> </w:t>
      </w:r>
      <w:r>
        <w:t>of</w:t>
      </w:r>
      <w:r w:rsidR="00932420">
        <w:t xml:space="preserve"> </w:t>
      </w:r>
      <w:r>
        <w:t>international</w:t>
      </w:r>
      <w:r w:rsidR="00932420">
        <w:t xml:space="preserve"> </w:t>
      </w:r>
      <w:r>
        <w:t>student</w:t>
      </w:r>
      <w:r w:rsidR="00932420">
        <w:t xml:space="preserve"> </w:t>
      </w:r>
      <w:r>
        <w:t>enrolments</w:t>
      </w:r>
      <w:r w:rsidR="00932420">
        <w:t xml:space="preserve"> </w:t>
      </w:r>
      <w:r>
        <w:t>in</w:t>
      </w:r>
      <w:r w:rsidR="00932420">
        <w:t xml:space="preserve"> </w:t>
      </w:r>
      <w:r>
        <w:t>Australia</w:t>
      </w:r>
    </w:p>
    <w:p w14:paraId="3ADD9366" w14:textId="658DDD60" w:rsidR="00CA3C5B" w:rsidRDefault="00C0271E" w:rsidP="00C0271E">
      <w:r>
        <w:rPr>
          <w:noProof/>
        </w:rPr>
        <w:drawing>
          <wp:inline distT="0" distB="0" distL="0" distR="0" wp14:anchorId="0E72A08B" wp14:editId="7FBF9CD5">
            <wp:extent cx="3235124" cy="2164424"/>
            <wp:effectExtent l="0" t="0" r="3810" b="7620"/>
            <wp:docPr id="5" name="Picture 5" descr="Figure 5: Victoria’s proportion of international student enrolments in Australia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5: Victoria’s proportion of international student enrolments in Australia graph. Data in table above."/>
                    <pic:cNvPicPr/>
                  </pic:nvPicPr>
                  <pic:blipFill>
                    <a:blip r:embed="rId14"/>
                    <a:stretch>
                      <a:fillRect/>
                    </a:stretch>
                  </pic:blipFill>
                  <pic:spPr>
                    <a:xfrm>
                      <a:off x="0" y="0"/>
                      <a:ext cx="3262300" cy="2182606"/>
                    </a:xfrm>
                    <a:prstGeom prst="rect">
                      <a:avLst/>
                    </a:prstGeom>
                  </pic:spPr>
                </pic:pic>
              </a:graphicData>
            </a:graphic>
          </wp:inline>
        </w:drawing>
      </w:r>
    </w:p>
    <w:p w14:paraId="616C7908" w14:textId="68E563A8" w:rsidR="00CA3C5B" w:rsidRDefault="00260033" w:rsidP="00C0271E">
      <w:r>
        <w:lastRenderedPageBreak/>
        <w:t>In</w:t>
      </w:r>
      <w:r w:rsidR="00932420">
        <w:t xml:space="preserve"> </w:t>
      </w:r>
      <w:r>
        <w:t>the</w:t>
      </w:r>
      <w:r w:rsidR="00932420">
        <w:t xml:space="preserve"> </w:t>
      </w:r>
      <w:r>
        <w:t>full</w:t>
      </w:r>
      <w:r w:rsidR="00932420">
        <w:t xml:space="preserve"> </w:t>
      </w:r>
      <w:r>
        <w:t>year</w:t>
      </w:r>
      <w:r w:rsidR="00932420">
        <w:t xml:space="preserve"> </w:t>
      </w:r>
      <w:r>
        <w:t>to</w:t>
      </w:r>
      <w:r w:rsidR="00932420">
        <w:t xml:space="preserve"> </w:t>
      </w:r>
      <w:r>
        <w:t>December</w:t>
      </w:r>
      <w:r w:rsidR="00932420">
        <w:t xml:space="preserve"> </w:t>
      </w:r>
      <w:r>
        <w:t>2022,</w:t>
      </w:r>
      <w:r w:rsidR="00932420">
        <w:t xml:space="preserve"> </w:t>
      </w:r>
      <w:r>
        <w:t>there</w:t>
      </w:r>
      <w:r w:rsidR="00932420">
        <w:t xml:space="preserve"> </w:t>
      </w:r>
      <w:r>
        <w:t>were</w:t>
      </w:r>
      <w:r w:rsidR="00932420">
        <w:t xml:space="preserve"> </w:t>
      </w:r>
      <w:r>
        <w:t>approximately</w:t>
      </w:r>
      <w:r w:rsidR="00932420">
        <w:t xml:space="preserve"> </w:t>
      </w:r>
      <w:r>
        <w:t>223,000</w:t>
      </w:r>
      <w:r w:rsidR="00932420">
        <w:t xml:space="preserve"> </w:t>
      </w:r>
      <w:r>
        <w:t>international</w:t>
      </w:r>
      <w:r w:rsidR="00932420">
        <w:t xml:space="preserve"> </w:t>
      </w:r>
      <w:r>
        <w:t>students</w:t>
      </w:r>
      <w:r w:rsidR="00932420">
        <w:t xml:space="preserve"> </w:t>
      </w:r>
      <w:r>
        <w:t>enrolled</w:t>
      </w:r>
      <w:r w:rsidR="00932420">
        <w:t xml:space="preserve"> </w:t>
      </w:r>
      <w:r>
        <w:t>with</w:t>
      </w:r>
      <w:r w:rsidR="00932420">
        <w:t xml:space="preserve"> </w:t>
      </w:r>
      <w:r>
        <w:t>Victorian</w:t>
      </w:r>
      <w:r w:rsidR="00932420">
        <w:t xml:space="preserve"> </w:t>
      </w:r>
      <w:r>
        <w:t>providers.</w:t>
      </w:r>
      <w:r w:rsidR="00932420">
        <w:t xml:space="preserve"> </w:t>
      </w:r>
      <w:r>
        <w:t>This</w:t>
      </w:r>
      <w:r w:rsidR="00932420">
        <w:t xml:space="preserve"> </w:t>
      </w:r>
      <w:r>
        <w:t>represents</w:t>
      </w:r>
      <w:r w:rsidR="00932420">
        <w:t xml:space="preserve"> </w:t>
      </w:r>
      <w:r>
        <w:t>29.9%</w:t>
      </w:r>
      <w:r w:rsidR="00932420">
        <w:t xml:space="preserve"> </w:t>
      </w:r>
      <w:r>
        <w:t>of</w:t>
      </w:r>
      <w:r w:rsidR="00932420">
        <w:t xml:space="preserve"> </w:t>
      </w:r>
      <w:r>
        <w:t>Australia’s</w:t>
      </w:r>
      <w:r w:rsidR="00932420">
        <w:t xml:space="preserve"> </w:t>
      </w:r>
      <w:r>
        <w:t>total</w:t>
      </w:r>
      <w:r w:rsidR="00932420">
        <w:t xml:space="preserve"> </w:t>
      </w:r>
      <w:r>
        <w:t>international</w:t>
      </w:r>
      <w:r w:rsidR="00932420">
        <w:t xml:space="preserve"> </w:t>
      </w:r>
      <w:r>
        <w:t>student</w:t>
      </w:r>
      <w:r w:rsidR="00932420">
        <w:t xml:space="preserve"> </w:t>
      </w:r>
      <w:r>
        <w:t>enrolments,</w:t>
      </w:r>
      <w:r w:rsidR="00932420">
        <w:t xml:space="preserve"> </w:t>
      </w:r>
      <w:r>
        <w:t>a</w:t>
      </w:r>
      <w:r w:rsidR="00932420">
        <w:t xml:space="preserve"> </w:t>
      </w:r>
      <w:r>
        <w:t>slight</w:t>
      </w:r>
      <w:r w:rsidR="00932420">
        <w:t xml:space="preserve"> </w:t>
      </w:r>
      <w:r>
        <w:t>decline</w:t>
      </w:r>
      <w:r w:rsidR="00932420">
        <w:t xml:space="preserve"> </w:t>
      </w:r>
      <w:r>
        <w:t>from</w:t>
      </w:r>
      <w:r w:rsidR="00932420">
        <w:t xml:space="preserve"> </w:t>
      </w:r>
      <w:r>
        <w:t>31.7%</w:t>
      </w:r>
      <w:r w:rsidR="00932420">
        <w:t xml:space="preserve"> </w:t>
      </w:r>
      <w:r>
        <w:t>in</w:t>
      </w:r>
      <w:r w:rsidR="00932420">
        <w:t xml:space="preserve"> </w:t>
      </w:r>
      <w:r>
        <w:t>2021</w:t>
      </w:r>
      <w:r w:rsidR="00932420">
        <w:t xml:space="preserve"> </w:t>
      </w:r>
      <w:r>
        <w:t>and</w:t>
      </w:r>
      <w:r w:rsidR="00932420">
        <w:t xml:space="preserve"> </w:t>
      </w:r>
      <w:r>
        <w:t>32.3%</w:t>
      </w:r>
      <w:r w:rsidR="00932420">
        <w:t xml:space="preserve"> </w:t>
      </w:r>
      <w:r>
        <w:t>in</w:t>
      </w:r>
      <w:r w:rsidR="00932420">
        <w:t xml:space="preserve"> </w:t>
      </w:r>
      <w:r>
        <w:t>2019.</w:t>
      </w:r>
    </w:p>
    <w:p w14:paraId="196C24F7" w14:textId="76144076" w:rsidR="00CA3C5B" w:rsidRDefault="00260033" w:rsidP="00C0271E">
      <w:r>
        <w:t>The</w:t>
      </w:r>
      <w:r w:rsidR="00932420">
        <w:t xml:space="preserve"> </w:t>
      </w:r>
      <w:r>
        <w:t>severity</w:t>
      </w:r>
      <w:r w:rsidR="00932420">
        <w:t xml:space="preserve"> </w:t>
      </w:r>
      <w:r>
        <w:t>of</w:t>
      </w:r>
      <w:r w:rsidR="00932420">
        <w:t xml:space="preserve"> </w:t>
      </w:r>
      <w:r>
        <w:t>the</w:t>
      </w:r>
      <w:r w:rsidR="00932420">
        <w:t xml:space="preserve"> </w:t>
      </w:r>
      <w:r>
        <w:t>COVID-19</w:t>
      </w:r>
      <w:r w:rsidR="00932420">
        <w:t xml:space="preserve"> </w:t>
      </w:r>
      <w:r>
        <w:t>pandemic’s</w:t>
      </w:r>
      <w:r w:rsidR="00932420">
        <w:t xml:space="preserve"> </w:t>
      </w:r>
      <w:r>
        <w:t>impact</w:t>
      </w:r>
      <w:r w:rsidR="00932420">
        <w:t xml:space="preserve"> </w:t>
      </w:r>
      <w:r>
        <w:t>on</w:t>
      </w:r>
      <w:r w:rsidR="00932420">
        <w:t xml:space="preserve"> </w:t>
      </w:r>
      <w:r>
        <w:t>the</w:t>
      </w:r>
      <w:r w:rsidR="00932420">
        <w:t xml:space="preserve"> </w:t>
      </w:r>
      <w:r>
        <w:t>sector</w:t>
      </w:r>
      <w:r w:rsidR="00932420">
        <w:t xml:space="preserve"> </w:t>
      </w:r>
      <w:r>
        <w:t>and</w:t>
      </w:r>
      <w:r w:rsidR="00932420">
        <w:t xml:space="preserve"> </w:t>
      </w:r>
      <w:r>
        <w:t>several</w:t>
      </w:r>
      <w:r w:rsidR="00932420">
        <w:t xml:space="preserve"> </w:t>
      </w:r>
      <w:r>
        <w:t>other</w:t>
      </w:r>
      <w:r w:rsidR="00932420">
        <w:t xml:space="preserve"> </w:t>
      </w:r>
      <w:r>
        <w:t>factors</w:t>
      </w:r>
      <w:r w:rsidR="00932420">
        <w:t xml:space="preserve"> </w:t>
      </w:r>
      <w:r>
        <w:t>constraining</w:t>
      </w:r>
      <w:r w:rsidR="00932420">
        <w:t xml:space="preserve"> </w:t>
      </w:r>
      <w:r>
        <w:t>growth</w:t>
      </w:r>
      <w:r w:rsidR="00932420">
        <w:t xml:space="preserve"> </w:t>
      </w:r>
      <w:r>
        <w:t>will</w:t>
      </w:r>
      <w:r w:rsidR="00932420">
        <w:t xml:space="preserve"> </w:t>
      </w:r>
      <w:r>
        <w:t>likely</w:t>
      </w:r>
      <w:r w:rsidR="00932420">
        <w:t xml:space="preserve"> </w:t>
      </w:r>
      <w:r>
        <w:t>result</w:t>
      </w:r>
      <w:r w:rsidR="00932420">
        <w:t xml:space="preserve"> </w:t>
      </w:r>
      <w:r>
        <w:t>in</w:t>
      </w:r>
      <w:r w:rsidR="00932420">
        <w:t xml:space="preserve"> </w:t>
      </w:r>
      <w:r>
        <w:t>a</w:t>
      </w:r>
      <w:r w:rsidR="00932420">
        <w:t xml:space="preserve"> </w:t>
      </w:r>
      <w:r>
        <w:t>varied</w:t>
      </w:r>
      <w:r w:rsidR="00932420">
        <w:t xml:space="preserve"> </w:t>
      </w:r>
      <w:r>
        <w:t>and</w:t>
      </w:r>
      <w:r w:rsidR="00932420">
        <w:t xml:space="preserve"> </w:t>
      </w:r>
      <w:r>
        <w:t>uneven</w:t>
      </w:r>
      <w:r w:rsidR="00932420">
        <w:t xml:space="preserve"> </w:t>
      </w:r>
      <w:r>
        <w:t>recovery</w:t>
      </w:r>
      <w:r w:rsidR="00932420">
        <w:t xml:space="preserve"> </w:t>
      </w:r>
      <w:r>
        <w:t>trajectory.</w:t>
      </w:r>
      <w:r w:rsidR="00932420">
        <w:t xml:space="preserve"> </w:t>
      </w:r>
      <w:r>
        <w:t>Multiple</w:t>
      </w:r>
      <w:r w:rsidR="00932420">
        <w:t xml:space="preserve"> </w:t>
      </w:r>
      <w:r>
        <w:t>missed</w:t>
      </w:r>
      <w:r w:rsidR="00932420">
        <w:t xml:space="preserve"> </w:t>
      </w:r>
      <w:r>
        <w:t>intakes</w:t>
      </w:r>
      <w:r w:rsidR="00932420">
        <w:t xml:space="preserve"> </w:t>
      </w:r>
      <w:r>
        <w:t>of</w:t>
      </w:r>
      <w:r w:rsidR="00932420">
        <w:t xml:space="preserve"> </w:t>
      </w:r>
      <w:r>
        <w:t>international</w:t>
      </w:r>
      <w:r w:rsidR="00932420">
        <w:t xml:space="preserve"> </w:t>
      </w:r>
      <w:r>
        <w:t>students</w:t>
      </w:r>
      <w:r w:rsidR="00932420">
        <w:t xml:space="preserve"> </w:t>
      </w:r>
      <w:r>
        <w:t>–</w:t>
      </w:r>
      <w:r w:rsidR="00932420">
        <w:t xml:space="preserve"> </w:t>
      </w:r>
      <w:proofErr w:type="gramStart"/>
      <w:r>
        <w:t>as</w:t>
      </w:r>
      <w:r w:rsidR="00932420">
        <w:t xml:space="preserve"> </w:t>
      </w:r>
      <w:r>
        <w:t>a</w:t>
      </w:r>
      <w:r w:rsidR="00932420">
        <w:t xml:space="preserve"> </w:t>
      </w:r>
      <w:r>
        <w:t>result</w:t>
      </w:r>
      <w:r w:rsidR="00932420">
        <w:t xml:space="preserve"> </w:t>
      </w:r>
      <w:r>
        <w:t>of</w:t>
      </w:r>
      <w:proofErr w:type="gramEnd"/>
      <w:r w:rsidR="00932420">
        <w:t xml:space="preserve"> </w:t>
      </w:r>
      <w:r>
        <w:t>the</w:t>
      </w:r>
      <w:r w:rsidR="00932420">
        <w:t xml:space="preserve"> </w:t>
      </w:r>
      <w:r>
        <w:t>pandemic</w:t>
      </w:r>
      <w:r w:rsidR="00932420">
        <w:t xml:space="preserve"> </w:t>
      </w:r>
      <w:r>
        <w:t>and</w:t>
      </w:r>
      <w:r w:rsidR="00932420">
        <w:t xml:space="preserve"> </w:t>
      </w:r>
      <w:r>
        <w:t>prolonged</w:t>
      </w:r>
      <w:r w:rsidR="00932420">
        <w:t xml:space="preserve"> </w:t>
      </w:r>
      <w:r>
        <w:t>international</w:t>
      </w:r>
      <w:r w:rsidR="00932420">
        <w:t xml:space="preserve"> </w:t>
      </w:r>
      <w:r>
        <w:t>border</w:t>
      </w:r>
      <w:r w:rsidR="00932420">
        <w:t xml:space="preserve"> </w:t>
      </w:r>
      <w:r>
        <w:t>closures</w:t>
      </w:r>
      <w:r w:rsidR="00932420">
        <w:t xml:space="preserve"> </w:t>
      </w:r>
      <w:r>
        <w:t>–</w:t>
      </w:r>
      <w:r w:rsidR="00932420">
        <w:t xml:space="preserve"> </w:t>
      </w:r>
      <w:r>
        <w:t>will</w:t>
      </w:r>
      <w:r w:rsidR="00932420">
        <w:t xml:space="preserve"> </w:t>
      </w:r>
      <w:r>
        <w:t>take</w:t>
      </w:r>
      <w:r w:rsidR="00932420">
        <w:t xml:space="preserve"> </w:t>
      </w:r>
      <w:r>
        <w:t>time</w:t>
      </w:r>
      <w:r w:rsidR="00932420">
        <w:t xml:space="preserve"> </w:t>
      </w:r>
      <w:r>
        <w:t>to</w:t>
      </w:r>
      <w:r w:rsidR="00932420">
        <w:t xml:space="preserve"> </w:t>
      </w:r>
      <w:r>
        <w:t>flow</w:t>
      </w:r>
      <w:r w:rsidR="00932420">
        <w:t xml:space="preserve"> </w:t>
      </w:r>
      <w:r>
        <w:t>through</w:t>
      </w:r>
      <w:r w:rsidR="00932420">
        <w:t xml:space="preserve"> </w:t>
      </w:r>
      <w:r>
        <w:t>the</w:t>
      </w:r>
      <w:r w:rsidR="00932420">
        <w:t xml:space="preserve"> </w:t>
      </w:r>
      <w:r>
        <w:t>system.</w:t>
      </w:r>
      <w:r w:rsidR="00932420">
        <w:t xml:space="preserve"> </w:t>
      </w:r>
      <w:r>
        <w:t>Victoria’s</w:t>
      </w:r>
      <w:r w:rsidR="00932420">
        <w:t xml:space="preserve"> </w:t>
      </w:r>
      <w:r>
        <w:t>world</w:t>
      </w:r>
      <w:r w:rsidR="00932420">
        <w:t xml:space="preserve"> </w:t>
      </w:r>
      <w:r>
        <w:t>class</w:t>
      </w:r>
      <w:r w:rsidR="00932420">
        <w:t xml:space="preserve"> </w:t>
      </w:r>
      <w:r>
        <w:t>education</w:t>
      </w:r>
      <w:r w:rsidR="00932420">
        <w:t xml:space="preserve"> </w:t>
      </w:r>
      <w:proofErr w:type="gramStart"/>
      <w:r>
        <w:t>offering</w:t>
      </w:r>
      <w:proofErr w:type="gramEnd"/>
      <w:r w:rsidR="00932420">
        <w:t xml:space="preserve"> </w:t>
      </w:r>
      <w:r>
        <w:t>and</w:t>
      </w:r>
      <w:r w:rsidR="00932420">
        <w:t xml:space="preserve"> </w:t>
      </w:r>
      <w:r>
        <w:t>Melbourne’s</w:t>
      </w:r>
      <w:r w:rsidR="00932420">
        <w:t xml:space="preserve"> </w:t>
      </w:r>
      <w:r>
        <w:t>best</w:t>
      </w:r>
      <w:r w:rsidR="00932420">
        <w:t xml:space="preserve"> </w:t>
      </w:r>
      <w:r>
        <w:t>Australian</w:t>
      </w:r>
      <w:r w:rsidR="00932420">
        <w:t xml:space="preserve"> </w:t>
      </w:r>
      <w:r>
        <w:t>student</w:t>
      </w:r>
      <w:r w:rsidR="00932420">
        <w:t xml:space="preserve"> </w:t>
      </w:r>
      <w:r>
        <w:t>city</w:t>
      </w:r>
      <w:r w:rsidR="00932420">
        <w:t xml:space="preserve"> </w:t>
      </w:r>
      <w:r>
        <w:t>ranking</w:t>
      </w:r>
      <w:r w:rsidR="00932420">
        <w:t xml:space="preserve"> </w:t>
      </w:r>
      <w:r>
        <w:t>will</w:t>
      </w:r>
      <w:r w:rsidR="00932420">
        <w:t xml:space="preserve"> </w:t>
      </w:r>
      <w:r>
        <w:t>support</w:t>
      </w:r>
      <w:r w:rsidR="00932420">
        <w:t xml:space="preserve"> </w:t>
      </w:r>
      <w:r>
        <w:t>sustained</w:t>
      </w:r>
      <w:r w:rsidR="00932420">
        <w:t xml:space="preserve"> </w:t>
      </w:r>
      <w:r>
        <w:t>recovery</w:t>
      </w:r>
      <w:r w:rsidR="00932420">
        <w:t xml:space="preserve"> </w:t>
      </w:r>
      <w:r>
        <w:t>and</w:t>
      </w:r>
      <w:r w:rsidR="00932420">
        <w:t xml:space="preserve"> </w:t>
      </w:r>
      <w:r>
        <w:t>a</w:t>
      </w:r>
      <w:r w:rsidR="00932420">
        <w:t xml:space="preserve"> </w:t>
      </w:r>
      <w:r>
        <w:t>return</w:t>
      </w:r>
      <w:r w:rsidR="00932420">
        <w:t xml:space="preserve"> </w:t>
      </w:r>
      <w:r>
        <w:t>to</w:t>
      </w:r>
      <w:r w:rsidR="00932420">
        <w:t xml:space="preserve"> </w:t>
      </w:r>
      <w:r>
        <w:t>growth</w:t>
      </w:r>
      <w:r w:rsidR="00932420">
        <w:t xml:space="preserve"> </w:t>
      </w:r>
      <w:r>
        <w:t>over</w:t>
      </w:r>
      <w:r w:rsidR="00932420">
        <w:t xml:space="preserve"> </w:t>
      </w:r>
      <w:r>
        <w:t>time.</w:t>
      </w:r>
      <w:r w:rsidR="00932420">
        <w:t xml:space="preserve"> </w:t>
      </w:r>
    </w:p>
    <w:p w14:paraId="64D2D146" w14:textId="44B58F5C" w:rsidR="00CA3C5B" w:rsidRDefault="00260033" w:rsidP="00C0271E">
      <w:r>
        <w:t>The</w:t>
      </w:r>
      <w:r w:rsidR="00932420">
        <w:t xml:space="preserve"> </w:t>
      </w:r>
      <w:r>
        <w:t>latest</w:t>
      </w:r>
      <w:r w:rsidR="00932420">
        <w:t xml:space="preserve"> </w:t>
      </w:r>
      <w:r>
        <w:t>Australian</w:t>
      </w:r>
      <w:r w:rsidR="00932420">
        <w:t xml:space="preserve"> </w:t>
      </w:r>
      <w:r>
        <w:t>Bureau</w:t>
      </w:r>
      <w:r w:rsidR="00932420">
        <w:t xml:space="preserve"> </w:t>
      </w:r>
      <w:r>
        <w:t>of</w:t>
      </w:r>
      <w:r w:rsidR="00932420">
        <w:t xml:space="preserve"> </w:t>
      </w:r>
      <w:r>
        <w:t>Statistics</w:t>
      </w:r>
      <w:r w:rsidR="00932420">
        <w:t xml:space="preserve"> </w:t>
      </w:r>
      <w:r>
        <w:t>state-level</w:t>
      </w:r>
      <w:r w:rsidR="00932420">
        <w:t xml:space="preserve"> </w:t>
      </w:r>
      <w:r>
        <w:t>calendar</w:t>
      </w:r>
      <w:r w:rsidR="00932420">
        <w:t xml:space="preserve"> </w:t>
      </w:r>
      <w:r>
        <w:t>year</w:t>
      </w:r>
      <w:r w:rsidR="00932420">
        <w:t xml:space="preserve"> </w:t>
      </w:r>
      <w:r>
        <w:t>data</w:t>
      </w:r>
      <w:r w:rsidR="00932420">
        <w:t xml:space="preserve"> </w:t>
      </w:r>
      <w:r>
        <w:t>indicated</w:t>
      </w:r>
      <w:r w:rsidR="00932420">
        <w:t xml:space="preserve"> </w:t>
      </w:r>
      <w:r>
        <w:t>that</w:t>
      </w:r>
      <w:r w:rsidR="00932420">
        <w:t xml:space="preserve"> </w:t>
      </w:r>
      <w:r>
        <w:t>Victoria’s</w:t>
      </w:r>
      <w:r w:rsidR="00932420">
        <w:t xml:space="preserve"> </w:t>
      </w:r>
      <w:r>
        <w:t>education</w:t>
      </w:r>
      <w:r w:rsidR="00932420">
        <w:t xml:space="preserve"> </w:t>
      </w:r>
      <w:r>
        <w:t>exports</w:t>
      </w:r>
      <w:r w:rsidR="00932420">
        <w:t xml:space="preserve"> </w:t>
      </w:r>
      <w:r>
        <w:t>returned</w:t>
      </w:r>
      <w:r w:rsidR="00932420">
        <w:t xml:space="preserve"> </w:t>
      </w:r>
      <w:r>
        <w:t>to</w:t>
      </w:r>
      <w:r w:rsidR="00932420">
        <w:t xml:space="preserve"> </w:t>
      </w:r>
      <w:r>
        <w:t>growth</w:t>
      </w:r>
      <w:r w:rsidR="00932420">
        <w:t xml:space="preserve"> </w:t>
      </w:r>
      <w:r>
        <w:t>for</w:t>
      </w:r>
      <w:r w:rsidR="00932420">
        <w:t xml:space="preserve"> </w:t>
      </w:r>
      <w:r>
        <w:t>the</w:t>
      </w:r>
      <w:r w:rsidR="00932420">
        <w:t xml:space="preserve"> </w:t>
      </w:r>
      <w:r>
        <w:t>first</w:t>
      </w:r>
      <w:r w:rsidR="00932420">
        <w:t xml:space="preserve"> </w:t>
      </w:r>
      <w:r>
        <w:t>time</w:t>
      </w:r>
      <w:r w:rsidR="00932420">
        <w:t xml:space="preserve"> </w:t>
      </w:r>
      <w:r>
        <w:t>since</w:t>
      </w:r>
      <w:r w:rsidR="00932420">
        <w:t xml:space="preserve"> </w:t>
      </w:r>
      <w:r>
        <w:t>the</w:t>
      </w:r>
      <w:r w:rsidR="00932420">
        <w:t xml:space="preserve"> </w:t>
      </w:r>
      <w:r>
        <w:t>pandemic,</w:t>
      </w:r>
      <w:r w:rsidR="00932420">
        <w:t xml:space="preserve"> </w:t>
      </w:r>
      <w:r>
        <w:t>valued</w:t>
      </w:r>
      <w:r w:rsidR="00932420">
        <w:t xml:space="preserve"> </w:t>
      </w:r>
      <w:r>
        <w:t>at</w:t>
      </w:r>
      <w:r w:rsidR="00932420">
        <w:t xml:space="preserve"> </w:t>
      </w:r>
      <w:r>
        <w:t>$8.4</w:t>
      </w:r>
      <w:r w:rsidR="00932420">
        <w:t xml:space="preserve"> </w:t>
      </w:r>
      <w:r>
        <w:t>billion</w:t>
      </w:r>
      <w:r w:rsidR="00932420">
        <w:t xml:space="preserve"> </w:t>
      </w:r>
      <w:r>
        <w:t>in</w:t>
      </w:r>
      <w:r w:rsidR="00932420">
        <w:t xml:space="preserve"> </w:t>
      </w:r>
      <w:r>
        <w:t>2022.</w:t>
      </w:r>
      <w:r w:rsidR="00932420">
        <w:t xml:space="preserve"> </w:t>
      </w:r>
      <w:r>
        <w:t>This</w:t>
      </w:r>
      <w:r w:rsidR="00932420">
        <w:t xml:space="preserve"> </w:t>
      </w:r>
      <w:r>
        <w:t>represents</w:t>
      </w:r>
      <w:r w:rsidR="00932420">
        <w:t xml:space="preserve"> </w:t>
      </w:r>
      <w:r>
        <w:t>an</w:t>
      </w:r>
      <w:r w:rsidR="00932420">
        <w:t xml:space="preserve"> </w:t>
      </w:r>
      <w:r>
        <w:t>annual</w:t>
      </w:r>
      <w:r w:rsidR="00932420">
        <w:t xml:space="preserve"> </w:t>
      </w:r>
      <w:r>
        <w:t>increase</w:t>
      </w:r>
      <w:r w:rsidR="00932420">
        <w:t xml:space="preserve"> </w:t>
      </w:r>
      <w:r>
        <w:t>of</w:t>
      </w:r>
      <w:r w:rsidR="00932420">
        <w:t xml:space="preserve"> </w:t>
      </w:r>
      <w:r>
        <w:t>21.2%,</w:t>
      </w:r>
      <w:r w:rsidR="00932420">
        <w:t xml:space="preserve"> </w:t>
      </w:r>
      <w:r>
        <w:t>slightly</w:t>
      </w:r>
      <w:r w:rsidR="00932420">
        <w:t xml:space="preserve"> </w:t>
      </w:r>
      <w:r>
        <w:t>higher</w:t>
      </w:r>
      <w:r w:rsidR="00932420">
        <w:t xml:space="preserve"> </w:t>
      </w:r>
      <w:r>
        <w:t>than</w:t>
      </w:r>
      <w:r w:rsidR="00932420">
        <w:t xml:space="preserve"> </w:t>
      </w:r>
      <w:r>
        <w:t>the</w:t>
      </w:r>
      <w:r w:rsidR="00932420">
        <w:t xml:space="preserve"> </w:t>
      </w:r>
      <w:r>
        <w:t>national</w:t>
      </w:r>
      <w:r w:rsidR="00932420">
        <w:t xml:space="preserve"> </w:t>
      </w:r>
      <w:r>
        <w:t>growth</w:t>
      </w:r>
      <w:r w:rsidR="00932420">
        <w:t xml:space="preserve"> </w:t>
      </w:r>
      <w:r>
        <w:t>of</w:t>
      </w:r>
      <w:r w:rsidR="00932420">
        <w:t xml:space="preserve"> </w:t>
      </w:r>
      <w:r>
        <w:t>20.7%.</w:t>
      </w:r>
      <w:r w:rsidR="00932420">
        <w:t xml:space="preserve"> </w:t>
      </w:r>
      <w:r>
        <w:t>In</w:t>
      </w:r>
      <w:r w:rsidR="00932420">
        <w:t xml:space="preserve"> </w:t>
      </w:r>
      <w:r>
        <w:t>terms</w:t>
      </w:r>
      <w:r w:rsidR="00932420">
        <w:t xml:space="preserve"> </w:t>
      </w:r>
      <w:r>
        <w:t>of</w:t>
      </w:r>
      <w:r w:rsidR="00932420">
        <w:t xml:space="preserve"> </w:t>
      </w:r>
      <w:r>
        <w:t>employment</w:t>
      </w:r>
      <w:r w:rsidR="00932420">
        <w:t xml:space="preserve"> </w:t>
      </w:r>
      <w:r>
        <w:t>contribution,</w:t>
      </w:r>
      <w:r w:rsidR="00932420">
        <w:t xml:space="preserve"> </w:t>
      </w:r>
      <w:r>
        <w:t>the</w:t>
      </w:r>
      <w:r w:rsidR="00932420">
        <w:t xml:space="preserve"> </w:t>
      </w:r>
      <w:r>
        <w:t>international</w:t>
      </w:r>
      <w:r w:rsidR="00932420">
        <w:t xml:space="preserve"> </w:t>
      </w:r>
      <w:r>
        <w:t>education</w:t>
      </w:r>
      <w:r w:rsidR="00932420">
        <w:t xml:space="preserve"> </w:t>
      </w:r>
      <w:r>
        <w:t>sector</w:t>
      </w:r>
      <w:r w:rsidR="00932420">
        <w:t xml:space="preserve"> </w:t>
      </w:r>
      <w:r>
        <w:t>contributed</w:t>
      </w:r>
      <w:r w:rsidR="00932420">
        <w:t xml:space="preserve"> </w:t>
      </w:r>
      <w:r>
        <w:t>around</w:t>
      </w:r>
      <w:r w:rsidR="00932420">
        <w:t xml:space="preserve"> </w:t>
      </w:r>
      <w:r>
        <w:t>43,000</w:t>
      </w:r>
      <w:r w:rsidR="00932420">
        <w:t xml:space="preserve"> </w:t>
      </w:r>
      <w:r>
        <w:t>full-time</w:t>
      </w:r>
      <w:r w:rsidR="00932420">
        <w:t xml:space="preserve"> </w:t>
      </w:r>
      <w:r>
        <w:t>equivalent</w:t>
      </w:r>
      <w:r w:rsidR="00932420">
        <w:t xml:space="preserve"> </w:t>
      </w:r>
      <w:r>
        <w:t>jobs</w:t>
      </w:r>
      <w:r w:rsidR="00932420">
        <w:t xml:space="preserve"> </w:t>
      </w:r>
      <w:r>
        <w:t>to</w:t>
      </w:r>
      <w:r w:rsidR="00932420">
        <w:t xml:space="preserve"> </w:t>
      </w:r>
      <w:r>
        <w:t>the</w:t>
      </w:r>
      <w:r w:rsidR="00932420">
        <w:t xml:space="preserve"> </w:t>
      </w:r>
      <w:r>
        <w:t>Victorian</w:t>
      </w:r>
      <w:r w:rsidR="00932420">
        <w:t xml:space="preserve"> </w:t>
      </w:r>
      <w:r>
        <w:t>economy</w:t>
      </w:r>
      <w:r w:rsidR="00932420">
        <w:t xml:space="preserve"> </w:t>
      </w:r>
      <w:r>
        <w:t>in</w:t>
      </w:r>
      <w:r w:rsidR="00932420">
        <w:t xml:space="preserve"> </w:t>
      </w:r>
      <w:r>
        <w:t>2022</w:t>
      </w:r>
      <w:r w:rsidR="00932420">
        <w:t xml:space="preserve"> </w:t>
      </w:r>
      <w:r>
        <w:t>–</w:t>
      </w:r>
      <w:r w:rsidR="00932420">
        <w:t xml:space="preserve"> </w:t>
      </w:r>
      <w:r>
        <w:t>an</w:t>
      </w:r>
      <w:r w:rsidR="00932420">
        <w:t xml:space="preserve"> </w:t>
      </w:r>
      <w:r>
        <w:t>increase</w:t>
      </w:r>
      <w:r w:rsidR="00932420">
        <w:t xml:space="preserve"> </w:t>
      </w:r>
      <w:r>
        <w:t>of</w:t>
      </w:r>
      <w:r w:rsidR="00932420">
        <w:t xml:space="preserve"> </w:t>
      </w:r>
      <w:r>
        <w:t>8%</w:t>
      </w:r>
      <w:r w:rsidR="00932420">
        <w:t xml:space="preserve"> </w:t>
      </w:r>
      <w:r>
        <w:t>compared</w:t>
      </w:r>
      <w:r w:rsidR="00932420">
        <w:t xml:space="preserve"> </w:t>
      </w:r>
      <w:r>
        <w:t>to</w:t>
      </w:r>
      <w:r w:rsidR="00932420">
        <w:t xml:space="preserve"> </w:t>
      </w:r>
      <w:r>
        <w:t>2021</w:t>
      </w:r>
      <w:r w:rsidR="00932420">
        <w:t xml:space="preserve"> </w:t>
      </w:r>
      <w:r>
        <w:t>(DSJIR</w:t>
      </w:r>
      <w:r w:rsidR="00932420">
        <w:t xml:space="preserve"> </w:t>
      </w:r>
      <w:r>
        <w:t>estimates).</w:t>
      </w:r>
      <w:r w:rsidR="00932420">
        <w:t xml:space="preserve"> </w:t>
      </w:r>
    </w:p>
    <w:p w14:paraId="06B35774" w14:textId="2FB742FC" w:rsidR="00CA3C5B" w:rsidRDefault="00260033" w:rsidP="00C0271E">
      <w:r>
        <w:t>International</w:t>
      </w:r>
      <w:r w:rsidR="00932420">
        <w:t xml:space="preserve"> </w:t>
      </w:r>
      <w:r>
        <w:t>commencements</w:t>
      </w:r>
      <w:r w:rsidR="00932420">
        <w:t xml:space="preserve"> </w:t>
      </w:r>
      <w:r>
        <w:t>showed</w:t>
      </w:r>
      <w:r w:rsidR="00932420">
        <w:t xml:space="preserve"> </w:t>
      </w:r>
      <w:r>
        <w:t>promising</w:t>
      </w:r>
      <w:r w:rsidR="00932420">
        <w:t xml:space="preserve"> </w:t>
      </w:r>
      <w:r>
        <w:t>signs</w:t>
      </w:r>
      <w:r w:rsidR="00932420">
        <w:t xml:space="preserve"> </w:t>
      </w:r>
      <w:r>
        <w:t>across</w:t>
      </w:r>
      <w:r w:rsidR="00932420">
        <w:t xml:space="preserve"> </w:t>
      </w:r>
      <w:r>
        <w:t>all</w:t>
      </w:r>
      <w:r w:rsidR="00932420">
        <w:t xml:space="preserve"> </w:t>
      </w:r>
      <w:r>
        <w:t>education</w:t>
      </w:r>
      <w:r w:rsidR="00932420">
        <w:t xml:space="preserve"> </w:t>
      </w:r>
      <w:r>
        <w:t>sub-sectors</w:t>
      </w:r>
      <w:r w:rsidR="00932420">
        <w:t xml:space="preserve"> </w:t>
      </w:r>
      <w:r>
        <w:t>and</w:t>
      </w:r>
      <w:r w:rsidR="00932420">
        <w:t xml:space="preserve"> </w:t>
      </w:r>
      <w:r>
        <w:t>in</w:t>
      </w:r>
      <w:r w:rsidR="00932420">
        <w:t xml:space="preserve"> </w:t>
      </w:r>
      <w:r>
        <w:t>key</w:t>
      </w:r>
      <w:r w:rsidR="00932420">
        <w:t xml:space="preserve"> </w:t>
      </w:r>
      <w:r>
        <w:t>markets</w:t>
      </w:r>
      <w:r w:rsidR="00932420">
        <w:t xml:space="preserve"> </w:t>
      </w:r>
      <w:r>
        <w:t>in</w:t>
      </w:r>
      <w:r w:rsidR="00932420">
        <w:t xml:space="preserve"> </w:t>
      </w:r>
      <w:r>
        <w:t>2022,</w:t>
      </w:r>
      <w:r w:rsidR="00932420">
        <w:t xml:space="preserve"> </w:t>
      </w:r>
      <w:r>
        <w:t>with</w:t>
      </w:r>
      <w:r w:rsidR="00932420">
        <w:t xml:space="preserve"> </w:t>
      </w:r>
      <w:r>
        <w:t>a</w:t>
      </w:r>
      <w:r w:rsidR="00932420">
        <w:t xml:space="preserve"> </w:t>
      </w:r>
      <w:r>
        <w:t>total</w:t>
      </w:r>
      <w:r w:rsidR="00932420">
        <w:t xml:space="preserve"> </w:t>
      </w:r>
      <w:r>
        <w:t>of</w:t>
      </w:r>
      <w:r w:rsidR="00932420">
        <w:t xml:space="preserve"> </w:t>
      </w:r>
      <w:r>
        <w:t>approximately</w:t>
      </w:r>
      <w:r w:rsidR="00932420">
        <w:t xml:space="preserve"> </w:t>
      </w:r>
      <w:r>
        <w:t>114,300</w:t>
      </w:r>
      <w:r w:rsidR="00932420">
        <w:t xml:space="preserve"> </w:t>
      </w:r>
      <w:r>
        <w:t>international</w:t>
      </w:r>
      <w:r w:rsidR="00932420">
        <w:t xml:space="preserve"> </w:t>
      </w:r>
      <w:r>
        <w:t>commencements.</w:t>
      </w:r>
      <w:r w:rsidR="00932420">
        <w:t xml:space="preserve"> </w:t>
      </w:r>
      <w:r>
        <w:t>This</w:t>
      </w:r>
      <w:r w:rsidR="00932420">
        <w:t xml:space="preserve"> </w:t>
      </w:r>
      <w:r>
        <w:t>was</w:t>
      </w:r>
      <w:r w:rsidR="00932420">
        <w:t xml:space="preserve"> </w:t>
      </w:r>
      <w:r>
        <w:t>an</w:t>
      </w:r>
      <w:r w:rsidR="00932420">
        <w:t xml:space="preserve"> </w:t>
      </w:r>
      <w:r>
        <w:t>increase</w:t>
      </w:r>
      <w:r w:rsidR="00932420">
        <w:t xml:space="preserve"> </w:t>
      </w:r>
      <w:r>
        <w:t>of</w:t>
      </w:r>
      <w:r w:rsidR="00932420">
        <w:t xml:space="preserve"> </w:t>
      </w:r>
      <w:r>
        <w:t>32%</w:t>
      </w:r>
      <w:r w:rsidR="00932420">
        <w:t xml:space="preserve"> </w:t>
      </w:r>
      <w:r>
        <w:t>compared</w:t>
      </w:r>
      <w:r w:rsidR="00932420">
        <w:t xml:space="preserve"> </w:t>
      </w:r>
      <w:r>
        <w:t>to</w:t>
      </w:r>
      <w:r w:rsidR="00932420">
        <w:t xml:space="preserve"> </w:t>
      </w:r>
      <w:r>
        <w:t>2021</w:t>
      </w:r>
      <w:r w:rsidR="00932420">
        <w:t xml:space="preserve"> </w:t>
      </w:r>
      <w:r>
        <w:t>(around</w:t>
      </w:r>
      <w:r w:rsidR="00932420">
        <w:t xml:space="preserve"> </w:t>
      </w:r>
      <w:r>
        <w:t>86,300),</w:t>
      </w:r>
      <w:r w:rsidR="00932420">
        <w:t xml:space="preserve"> </w:t>
      </w:r>
      <w:r>
        <w:t>but</w:t>
      </w:r>
      <w:r w:rsidR="00932420">
        <w:t xml:space="preserve"> </w:t>
      </w:r>
      <w:r>
        <w:t>still</w:t>
      </w:r>
      <w:r w:rsidR="00932420">
        <w:t xml:space="preserve"> </w:t>
      </w:r>
      <w:r>
        <w:t>a</w:t>
      </w:r>
      <w:r w:rsidR="00932420">
        <w:t xml:space="preserve"> </w:t>
      </w:r>
      <w:r>
        <w:t>decrease</w:t>
      </w:r>
      <w:r w:rsidR="00932420">
        <w:t xml:space="preserve"> </w:t>
      </w:r>
      <w:r>
        <w:t>of</w:t>
      </w:r>
      <w:r w:rsidR="00932420">
        <w:t xml:space="preserve"> </w:t>
      </w:r>
      <w:r>
        <w:t>29%</w:t>
      </w:r>
      <w:r w:rsidR="00932420">
        <w:t xml:space="preserve"> </w:t>
      </w:r>
      <w:r>
        <w:t>compared</w:t>
      </w:r>
      <w:r w:rsidR="00932420">
        <w:t xml:space="preserve"> </w:t>
      </w:r>
      <w:r>
        <w:t>to</w:t>
      </w:r>
      <w:r w:rsidR="00932420">
        <w:t xml:space="preserve"> </w:t>
      </w:r>
      <w:r>
        <w:t>2019.</w:t>
      </w:r>
      <w:r w:rsidR="00932420">
        <w:t xml:space="preserve"> </w:t>
      </w:r>
      <w:r>
        <w:t>Most</w:t>
      </w:r>
      <w:r w:rsidR="00932420">
        <w:t xml:space="preserve"> </w:t>
      </w:r>
      <w:r>
        <w:t>notably,</w:t>
      </w:r>
      <w:r w:rsidR="00932420">
        <w:t xml:space="preserve"> </w:t>
      </w:r>
      <w:r>
        <w:t>Victoria’s</w:t>
      </w:r>
      <w:r w:rsidR="00932420">
        <w:t xml:space="preserve"> </w:t>
      </w:r>
      <w:r>
        <w:t>performance</w:t>
      </w:r>
      <w:r w:rsidR="00932420">
        <w:t xml:space="preserve"> </w:t>
      </w:r>
      <w:r>
        <w:t>in</w:t>
      </w:r>
      <w:r w:rsidR="00932420">
        <w:t xml:space="preserve"> </w:t>
      </w:r>
      <w:r>
        <w:t>the</w:t>
      </w:r>
      <w:r w:rsidR="00932420">
        <w:t xml:space="preserve"> </w:t>
      </w:r>
      <w:r>
        <w:t>English</w:t>
      </w:r>
      <w:r w:rsidR="00932420">
        <w:t xml:space="preserve"> </w:t>
      </w:r>
      <w:r>
        <w:t>language</w:t>
      </w:r>
      <w:r w:rsidR="00932420">
        <w:t xml:space="preserve"> </w:t>
      </w:r>
      <w:r>
        <w:t>(ELICOS)</w:t>
      </w:r>
      <w:r w:rsidR="00932420">
        <w:t xml:space="preserve"> </w:t>
      </w:r>
      <w:r>
        <w:t>sector</w:t>
      </w:r>
      <w:r w:rsidR="00932420">
        <w:t xml:space="preserve"> </w:t>
      </w:r>
      <w:r>
        <w:t>was</w:t>
      </w:r>
      <w:r w:rsidR="00932420">
        <w:t xml:space="preserve"> </w:t>
      </w:r>
      <w:r>
        <w:t>above</w:t>
      </w:r>
      <w:r w:rsidR="00932420">
        <w:t xml:space="preserve"> </w:t>
      </w:r>
      <w:r>
        <w:t>the</w:t>
      </w:r>
      <w:r w:rsidR="00932420">
        <w:t xml:space="preserve"> </w:t>
      </w:r>
      <w:r>
        <w:t>national</w:t>
      </w:r>
      <w:r w:rsidR="00932420">
        <w:t xml:space="preserve"> </w:t>
      </w:r>
      <w:r>
        <w:t>average,</w:t>
      </w:r>
      <w:r w:rsidR="00932420">
        <w:t xml:space="preserve"> </w:t>
      </w:r>
      <w:r>
        <w:t>with</w:t>
      </w:r>
      <w:r w:rsidR="00932420">
        <w:t xml:space="preserve"> </w:t>
      </w:r>
      <w:r>
        <w:t>168%</w:t>
      </w:r>
      <w:r w:rsidR="00932420">
        <w:t xml:space="preserve"> </w:t>
      </w:r>
      <w:r>
        <w:t>growth</w:t>
      </w:r>
      <w:r w:rsidR="00932420">
        <w:t xml:space="preserve"> </w:t>
      </w:r>
      <w:r>
        <w:t>(to</w:t>
      </w:r>
      <w:r w:rsidR="00932420">
        <w:t xml:space="preserve"> </w:t>
      </w:r>
      <w:r>
        <w:t>around</w:t>
      </w:r>
      <w:r w:rsidR="00932420">
        <w:t xml:space="preserve"> </w:t>
      </w:r>
      <w:r>
        <w:t>20,200</w:t>
      </w:r>
      <w:r w:rsidR="00932420">
        <w:t xml:space="preserve"> </w:t>
      </w:r>
      <w:r>
        <w:t>commencements)</w:t>
      </w:r>
      <w:r w:rsidR="00932420">
        <w:t xml:space="preserve"> </w:t>
      </w:r>
      <w:r>
        <w:t>and</w:t>
      </w:r>
      <w:r w:rsidR="00932420">
        <w:t xml:space="preserve"> </w:t>
      </w:r>
      <w:r>
        <w:t>ahead</w:t>
      </w:r>
      <w:r w:rsidR="00932420">
        <w:t xml:space="preserve"> </w:t>
      </w:r>
      <w:r>
        <w:t>of</w:t>
      </w:r>
      <w:r w:rsidR="00932420">
        <w:t xml:space="preserve"> </w:t>
      </w:r>
      <w:r>
        <w:t>all</w:t>
      </w:r>
      <w:r w:rsidR="00932420">
        <w:t xml:space="preserve"> </w:t>
      </w:r>
      <w:r>
        <w:t>jurisdictions</w:t>
      </w:r>
      <w:r w:rsidR="00932420">
        <w:t xml:space="preserve"> </w:t>
      </w:r>
      <w:r>
        <w:t>except</w:t>
      </w:r>
      <w:r w:rsidR="00932420">
        <w:t xml:space="preserve"> </w:t>
      </w:r>
      <w:r>
        <w:t>Queensland</w:t>
      </w:r>
      <w:r w:rsidR="00932420">
        <w:t xml:space="preserve"> </w:t>
      </w:r>
      <w:r>
        <w:t>(231%</w:t>
      </w:r>
      <w:r w:rsidR="00932420">
        <w:t xml:space="preserve"> </w:t>
      </w:r>
      <w:r>
        <w:t>growth).</w:t>
      </w:r>
      <w:r w:rsidR="00932420">
        <w:t xml:space="preserve"> </w:t>
      </w:r>
      <w:r>
        <w:t>The</w:t>
      </w:r>
      <w:r w:rsidR="00932420">
        <w:t xml:space="preserve"> </w:t>
      </w:r>
      <w:r>
        <w:t>ELICOS</w:t>
      </w:r>
      <w:r w:rsidR="00932420">
        <w:t xml:space="preserve"> </w:t>
      </w:r>
      <w:r>
        <w:t>sector</w:t>
      </w:r>
      <w:r w:rsidR="00932420">
        <w:t xml:space="preserve"> </w:t>
      </w:r>
      <w:r>
        <w:t>is</w:t>
      </w:r>
      <w:r w:rsidR="00932420">
        <w:t xml:space="preserve"> </w:t>
      </w:r>
      <w:r>
        <w:t>often</w:t>
      </w:r>
      <w:r w:rsidR="00932420">
        <w:t xml:space="preserve"> </w:t>
      </w:r>
      <w:r>
        <w:t>seen</w:t>
      </w:r>
      <w:r w:rsidR="00932420">
        <w:t xml:space="preserve"> </w:t>
      </w:r>
      <w:r>
        <w:t>as</w:t>
      </w:r>
      <w:r w:rsidR="00932420">
        <w:t xml:space="preserve"> </w:t>
      </w:r>
      <w:r>
        <w:t>a</w:t>
      </w:r>
      <w:r w:rsidR="00932420">
        <w:t xml:space="preserve"> </w:t>
      </w:r>
      <w:r>
        <w:t>lead</w:t>
      </w:r>
      <w:r w:rsidR="00932420">
        <w:t xml:space="preserve"> </w:t>
      </w:r>
      <w:r>
        <w:t>indicator</w:t>
      </w:r>
      <w:r w:rsidR="00932420">
        <w:t xml:space="preserve"> </w:t>
      </w:r>
      <w:r>
        <w:t>of</w:t>
      </w:r>
      <w:r w:rsidR="00932420">
        <w:t xml:space="preserve"> </w:t>
      </w:r>
      <w:r>
        <w:t>future</w:t>
      </w:r>
      <w:r w:rsidR="00932420">
        <w:t xml:space="preserve"> </w:t>
      </w:r>
      <w:r>
        <w:t>growth,</w:t>
      </w:r>
      <w:r w:rsidR="00932420">
        <w:t xml:space="preserve"> </w:t>
      </w:r>
      <w:r>
        <w:t>as</w:t>
      </w:r>
      <w:r w:rsidR="00932420">
        <w:t xml:space="preserve"> </w:t>
      </w:r>
      <w:r>
        <w:t>ELICOS</w:t>
      </w:r>
      <w:r w:rsidR="00932420">
        <w:t xml:space="preserve"> </w:t>
      </w:r>
      <w:r>
        <w:t>students</w:t>
      </w:r>
      <w:r w:rsidR="00932420">
        <w:t xml:space="preserve"> </w:t>
      </w:r>
      <w:r>
        <w:t>historically</w:t>
      </w:r>
      <w:r w:rsidR="00932420">
        <w:t xml:space="preserve"> </w:t>
      </w:r>
      <w:r>
        <w:t>transition</w:t>
      </w:r>
      <w:r w:rsidR="00932420">
        <w:t xml:space="preserve"> </w:t>
      </w:r>
      <w:r>
        <w:t>to</w:t>
      </w:r>
      <w:r w:rsidR="00932420">
        <w:t xml:space="preserve"> </w:t>
      </w:r>
      <w:r>
        <w:t>further</w:t>
      </w:r>
      <w:r w:rsidR="00932420">
        <w:t xml:space="preserve"> </w:t>
      </w:r>
      <w:r>
        <w:t>study</w:t>
      </w:r>
      <w:r w:rsidR="00932420">
        <w:t xml:space="preserve"> </w:t>
      </w:r>
      <w:r>
        <w:t>in</w:t>
      </w:r>
      <w:r w:rsidR="00932420">
        <w:t xml:space="preserve"> </w:t>
      </w:r>
      <w:r>
        <w:t>higher</w:t>
      </w:r>
      <w:r w:rsidR="00932420">
        <w:t xml:space="preserve"> </w:t>
      </w:r>
      <w:r>
        <w:t>education</w:t>
      </w:r>
      <w:r w:rsidR="00932420">
        <w:t xml:space="preserve"> </w:t>
      </w:r>
      <w:r>
        <w:t>or</w:t>
      </w:r>
      <w:r w:rsidR="00932420">
        <w:t xml:space="preserve"> </w:t>
      </w:r>
      <w:r>
        <w:t>vocational</w:t>
      </w:r>
      <w:r w:rsidR="00932420">
        <w:t xml:space="preserve"> </w:t>
      </w:r>
      <w:r>
        <w:t>education</w:t>
      </w:r>
      <w:r w:rsidR="00932420">
        <w:t xml:space="preserve"> </w:t>
      </w:r>
      <w:r>
        <w:t>and</w:t>
      </w:r>
      <w:r w:rsidR="00932420">
        <w:t xml:space="preserve"> </w:t>
      </w:r>
      <w:r>
        <w:t>training</w:t>
      </w:r>
      <w:r w:rsidR="00932420">
        <w:t xml:space="preserve"> </w:t>
      </w:r>
      <w:r>
        <w:t>sectors.</w:t>
      </w:r>
    </w:p>
    <w:p w14:paraId="292EBBA2" w14:textId="127EBCF9" w:rsidR="00CA3C5B" w:rsidRDefault="00260033" w:rsidP="008A738D">
      <w:pPr>
        <w:pStyle w:val="Normalbeforebullets"/>
      </w:pPr>
      <w:r>
        <w:t>In</w:t>
      </w:r>
      <w:r w:rsidR="00932420">
        <w:t xml:space="preserve"> </w:t>
      </w:r>
      <w:r>
        <w:t>September</w:t>
      </w:r>
      <w:r w:rsidR="00932420">
        <w:t xml:space="preserve"> </w:t>
      </w:r>
      <w:r>
        <w:t>2022,</w:t>
      </w:r>
      <w:r w:rsidR="00932420">
        <w:t xml:space="preserve"> </w:t>
      </w:r>
      <w:r>
        <w:t>the</w:t>
      </w:r>
      <w:r w:rsidR="00932420">
        <w:t xml:space="preserve"> </w:t>
      </w:r>
      <w:r>
        <w:t>Victorian</w:t>
      </w:r>
      <w:r w:rsidR="00932420">
        <w:t xml:space="preserve"> </w:t>
      </w:r>
      <w:r>
        <w:t>Government</w:t>
      </w:r>
      <w:r w:rsidR="00932420">
        <w:t xml:space="preserve"> </w:t>
      </w:r>
      <w:r>
        <w:t>launched</w:t>
      </w:r>
      <w:r w:rsidR="00932420">
        <w:t xml:space="preserve"> </w:t>
      </w:r>
      <w:r w:rsidRPr="008A738D">
        <w:rPr>
          <w:i/>
          <w:iCs/>
        </w:rPr>
        <w:t>Victoria’s</w:t>
      </w:r>
      <w:r w:rsidR="00932420" w:rsidRPr="008A738D">
        <w:rPr>
          <w:i/>
          <w:iCs/>
        </w:rPr>
        <w:t xml:space="preserve"> </w:t>
      </w:r>
      <w:r w:rsidRPr="008A738D">
        <w:rPr>
          <w:i/>
          <w:iCs/>
        </w:rPr>
        <w:t>International</w:t>
      </w:r>
      <w:r w:rsidR="00932420" w:rsidRPr="008A738D">
        <w:rPr>
          <w:i/>
          <w:iCs/>
        </w:rPr>
        <w:t xml:space="preserve"> </w:t>
      </w:r>
      <w:r w:rsidRPr="008A738D">
        <w:rPr>
          <w:i/>
          <w:iCs/>
        </w:rPr>
        <w:t>Education</w:t>
      </w:r>
      <w:r w:rsidR="00932420" w:rsidRPr="008A738D">
        <w:rPr>
          <w:i/>
          <w:iCs/>
        </w:rPr>
        <w:t xml:space="preserve"> </w:t>
      </w:r>
      <w:r w:rsidRPr="008A738D">
        <w:rPr>
          <w:i/>
          <w:iCs/>
        </w:rPr>
        <w:t>Recovery</w:t>
      </w:r>
      <w:r w:rsidR="00932420" w:rsidRPr="008A738D">
        <w:rPr>
          <w:i/>
          <w:iCs/>
        </w:rPr>
        <w:t xml:space="preserve"> </w:t>
      </w:r>
      <w:r w:rsidRPr="008A738D">
        <w:rPr>
          <w:i/>
          <w:iCs/>
        </w:rPr>
        <w:t>Plan</w:t>
      </w:r>
      <w:r w:rsidR="00932420" w:rsidRPr="008A738D">
        <w:rPr>
          <w:i/>
          <w:iCs/>
        </w:rPr>
        <w:t xml:space="preserve"> </w:t>
      </w:r>
      <w:r w:rsidRPr="008A738D">
        <w:rPr>
          <w:i/>
          <w:iCs/>
        </w:rPr>
        <w:t>2025</w:t>
      </w:r>
      <w:r>
        <w:t>,</w:t>
      </w:r>
      <w:r w:rsidR="00932420">
        <w:t xml:space="preserve"> </w:t>
      </w:r>
      <w:r>
        <w:t>outlining</w:t>
      </w:r>
      <w:r w:rsidR="00932420">
        <w:t xml:space="preserve"> </w:t>
      </w:r>
      <w:r>
        <w:t>the</w:t>
      </w:r>
      <w:r w:rsidR="00932420">
        <w:t xml:space="preserve"> </w:t>
      </w:r>
      <w:r>
        <w:t>government’s</w:t>
      </w:r>
      <w:r w:rsidR="00932420">
        <w:t xml:space="preserve"> </w:t>
      </w:r>
      <w:r>
        <w:t>strategy</w:t>
      </w:r>
      <w:r w:rsidR="00932420">
        <w:t xml:space="preserve"> </w:t>
      </w:r>
      <w:r>
        <w:t>to</w:t>
      </w:r>
      <w:r w:rsidR="00932420">
        <w:t xml:space="preserve"> </w:t>
      </w:r>
      <w:r>
        <w:t>drive</w:t>
      </w:r>
      <w:r w:rsidR="00932420">
        <w:t xml:space="preserve"> </w:t>
      </w:r>
      <w:r>
        <w:t>recovery</w:t>
      </w:r>
      <w:r w:rsidR="00932420">
        <w:t xml:space="preserve"> </w:t>
      </w:r>
      <w:r>
        <w:t>and</w:t>
      </w:r>
      <w:r w:rsidR="00932420">
        <w:t xml:space="preserve"> </w:t>
      </w:r>
      <w:r>
        <w:t>innovation</w:t>
      </w:r>
      <w:r w:rsidR="00932420">
        <w:t xml:space="preserve"> </w:t>
      </w:r>
      <w:r>
        <w:t>in</w:t>
      </w:r>
      <w:r w:rsidR="00932420">
        <w:t xml:space="preserve"> </w:t>
      </w:r>
      <w:r>
        <w:t>the</w:t>
      </w:r>
      <w:r w:rsidR="00932420">
        <w:t xml:space="preserve"> </w:t>
      </w:r>
      <w:r>
        <w:t>sector</w:t>
      </w:r>
      <w:r w:rsidR="00932420">
        <w:t xml:space="preserve"> </w:t>
      </w:r>
      <w:r>
        <w:t>through</w:t>
      </w:r>
      <w:r w:rsidR="00932420">
        <w:t xml:space="preserve"> </w:t>
      </w:r>
      <w:r>
        <w:t>to</w:t>
      </w:r>
      <w:r w:rsidR="00932420">
        <w:t xml:space="preserve"> </w:t>
      </w:r>
      <w:r>
        <w:t>2025.</w:t>
      </w:r>
      <w:r w:rsidR="00932420">
        <w:t xml:space="preserve"> </w:t>
      </w:r>
      <w:r>
        <w:t>Backed</w:t>
      </w:r>
      <w:r w:rsidR="00932420">
        <w:t xml:space="preserve"> </w:t>
      </w:r>
      <w:r>
        <w:t>by</w:t>
      </w:r>
      <w:r w:rsidR="00932420">
        <w:t xml:space="preserve"> </w:t>
      </w:r>
      <w:r>
        <w:t>$52.9</w:t>
      </w:r>
      <w:r w:rsidR="00932420">
        <w:t xml:space="preserve"> </w:t>
      </w:r>
      <w:r>
        <w:t>million</w:t>
      </w:r>
      <w:r w:rsidR="00932420">
        <w:t xml:space="preserve"> </w:t>
      </w:r>
      <w:r>
        <w:rPr>
          <w:spacing w:val="-1"/>
        </w:rPr>
        <w:t>in</w:t>
      </w:r>
      <w:r w:rsidR="00932420">
        <w:rPr>
          <w:spacing w:val="-1"/>
        </w:rPr>
        <w:t xml:space="preserve"> </w:t>
      </w:r>
      <w:r>
        <w:rPr>
          <w:spacing w:val="-1"/>
        </w:rPr>
        <w:t>funding,</w:t>
      </w:r>
      <w:r w:rsidR="00932420">
        <w:rPr>
          <w:spacing w:val="-1"/>
        </w:rPr>
        <w:t xml:space="preserve"> </w:t>
      </w:r>
      <w:r>
        <w:rPr>
          <w:spacing w:val="-1"/>
        </w:rPr>
        <w:t>the</w:t>
      </w:r>
      <w:r w:rsidR="00932420">
        <w:rPr>
          <w:spacing w:val="-1"/>
        </w:rPr>
        <w:t xml:space="preserve"> </w:t>
      </w:r>
      <w:r>
        <w:rPr>
          <w:spacing w:val="-1"/>
        </w:rPr>
        <w:t>recovery</w:t>
      </w:r>
      <w:r w:rsidR="00932420">
        <w:rPr>
          <w:spacing w:val="-1"/>
        </w:rPr>
        <w:t xml:space="preserve"> </w:t>
      </w:r>
      <w:r>
        <w:rPr>
          <w:spacing w:val="-1"/>
        </w:rPr>
        <w:t>plan</w:t>
      </w:r>
      <w:r w:rsidR="00932420">
        <w:rPr>
          <w:spacing w:val="-1"/>
        </w:rPr>
        <w:t xml:space="preserve"> </w:t>
      </w:r>
      <w:r>
        <w:rPr>
          <w:spacing w:val="-1"/>
        </w:rPr>
        <w:t>articulates</w:t>
      </w:r>
      <w:r w:rsidR="00932420">
        <w:rPr>
          <w:spacing w:val="-1"/>
        </w:rPr>
        <w:t xml:space="preserve"> </w:t>
      </w:r>
      <w:r>
        <w:rPr>
          <w:spacing w:val="-1"/>
        </w:rPr>
        <w:t>a</w:t>
      </w:r>
      <w:r w:rsidR="00932420">
        <w:rPr>
          <w:spacing w:val="-1"/>
        </w:rPr>
        <w:t xml:space="preserve"> </w:t>
      </w:r>
      <w:r>
        <w:rPr>
          <w:spacing w:val="-1"/>
        </w:rPr>
        <w:t>vision</w:t>
      </w:r>
      <w:r w:rsidR="00932420">
        <w:rPr>
          <w:spacing w:val="-1"/>
        </w:rPr>
        <w:t xml:space="preserve"> </w:t>
      </w:r>
      <w:r>
        <w:rPr>
          <w:spacing w:val="-1"/>
        </w:rPr>
        <w:t>of</w:t>
      </w:r>
      <w:r w:rsidR="00932420">
        <w:rPr>
          <w:spacing w:val="-1"/>
        </w:rPr>
        <w:t xml:space="preserve"> </w:t>
      </w:r>
      <w:r>
        <w:rPr>
          <w:spacing w:val="-1"/>
        </w:rPr>
        <w:t>Victoria</w:t>
      </w:r>
      <w:r w:rsidR="00932420">
        <w:rPr>
          <w:spacing w:val="-1"/>
        </w:rPr>
        <w:t xml:space="preserve"> </w:t>
      </w:r>
      <w:r>
        <w:rPr>
          <w:spacing w:val="-1"/>
        </w:rPr>
        <w:t>as</w:t>
      </w:r>
      <w:r w:rsidR="00932420">
        <w:rPr>
          <w:spacing w:val="-1"/>
        </w:rPr>
        <w:t xml:space="preserve"> </w:t>
      </w:r>
      <w:r>
        <w:rPr>
          <w:spacing w:val="-1"/>
        </w:rPr>
        <w:t>a</w:t>
      </w:r>
      <w:r w:rsidR="00932420">
        <w:rPr>
          <w:spacing w:val="-1"/>
        </w:rPr>
        <w:t xml:space="preserve"> </w:t>
      </w:r>
      <w:r>
        <w:rPr>
          <w:spacing w:val="-1"/>
        </w:rPr>
        <w:t>global</w:t>
      </w:r>
      <w:r w:rsidR="00932420">
        <w:rPr>
          <w:spacing w:val="-1"/>
        </w:rPr>
        <w:t xml:space="preserve"> </w:t>
      </w:r>
      <w:r>
        <w:rPr>
          <w:spacing w:val="-1"/>
        </w:rPr>
        <w:t>leader</w:t>
      </w:r>
      <w:r w:rsidR="00932420">
        <w:rPr>
          <w:spacing w:val="-1"/>
        </w:rPr>
        <w:t xml:space="preserve"> </w:t>
      </w:r>
      <w:r>
        <w:rPr>
          <w:spacing w:val="-1"/>
        </w:rPr>
        <w:t>in</w:t>
      </w:r>
      <w:r w:rsidR="00932420">
        <w:rPr>
          <w:spacing w:val="-1"/>
        </w:rPr>
        <w:t xml:space="preserve"> </w:t>
      </w:r>
      <w:r>
        <w:rPr>
          <w:spacing w:val="-1"/>
        </w:rPr>
        <w:t>education</w:t>
      </w:r>
      <w:r w:rsidR="00932420">
        <w:rPr>
          <w:spacing w:val="-1"/>
        </w:rPr>
        <w:t xml:space="preserve"> </w:t>
      </w:r>
      <w:r>
        <w:rPr>
          <w:spacing w:val="-1"/>
        </w:rPr>
        <w:t>–</w:t>
      </w:r>
      <w:r w:rsidR="00932420">
        <w:rPr>
          <w:spacing w:val="-1"/>
        </w:rPr>
        <w:t xml:space="preserve"> </w:t>
      </w:r>
      <w:r>
        <w:rPr>
          <w:spacing w:val="-1"/>
        </w:rPr>
        <w:t>recognised</w:t>
      </w:r>
      <w:r w:rsidR="00932420">
        <w:rPr>
          <w:spacing w:val="-1"/>
        </w:rPr>
        <w:t xml:space="preserve"> </w:t>
      </w:r>
      <w:r>
        <w:t>for</w:t>
      </w:r>
      <w:r w:rsidR="00932420">
        <w:t xml:space="preserve"> </w:t>
      </w:r>
      <w:r>
        <w:t>quality,</w:t>
      </w:r>
      <w:r w:rsidR="00932420">
        <w:t xml:space="preserve"> </w:t>
      </w:r>
      <w:proofErr w:type="gramStart"/>
      <w:r>
        <w:t>innovation</w:t>
      </w:r>
      <w:proofErr w:type="gramEnd"/>
      <w:r w:rsidR="00932420">
        <w:t xml:space="preserve"> </w:t>
      </w:r>
      <w:r>
        <w:t>and</w:t>
      </w:r>
      <w:r w:rsidR="00932420">
        <w:t xml:space="preserve"> </w:t>
      </w:r>
      <w:r>
        <w:t>inclusion.</w:t>
      </w:r>
      <w:r w:rsidR="00932420">
        <w:t xml:space="preserve"> </w:t>
      </w:r>
      <w:r>
        <w:t>This</w:t>
      </w:r>
      <w:r w:rsidR="00932420">
        <w:t xml:space="preserve"> </w:t>
      </w:r>
      <w:r>
        <w:t>vision</w:t>
      </w:r>
      <w:r w:rsidR="00932420">
        <w:t xml:space="preserve"> </w:t>
      </w:r>
      <w:r>
        <w:t>is</w:t>
      </w:r>
      <w:r w:rsidR="00932420">
        <w:t xml:space="preserve"> </w:t>
      </w:r>
      <w:r>
        <w:t>supported</w:t>
      </w:r>
      <w:r w:rsidR="00932420">
        <w:t xml:space="preserve"> </w:t>
      </w:r>
      <w:r>
        <w:t>by</w:t>
      </w:r>
      <w:r w:rsidR="00932420">
        <w:t xml:space="preserve"> </w:t>
      </w:r>
      <w:r>
        <w:t>3</w:t>
      </w:r>
      <w:r w:rsidR="00932420">
        <w:t xml:space="preserve"> </w:t>
      </w:r>
      <w:r>
        <w:t>goals,</w:t>
      </w:r>
      <w:r w:rsidR="00932420">
        <w:t xml:space="preserve"> </w:t>
      </w:r>
      <w:r>
        <w:t>5</w:t>
      </w:r>
      <w:r w:rsidR="00932420">
        <w:t xml:space="preserve"> </w:t>
      </w:r>
      <w:r>
        <w:t>pillars</w:t>
      </w:r>
      <w:r w:rsidR="00932420">
        <w:t xml:space="preserve"> </w:t>
      </w:r>
      <w:r>
        <w:t>and</w:t>
      </w:r>
      <w:r w:rsidR="00932420">
        <w:t xml:space="preserve"> </w:t>
      </w:r>
      <w:r>
        <w:t>19</w:t>
      </w:r>
      <w:r w:rsidR="00932420">
        <w:t xml:space="preserve"> </w:t>
      </w:r>
      <w:r>
        <w:t>practical</w:t>
      </w:r>
      <w:r w:rsidR="00932420">
        <w:t xml:space="preserve"> </w:t>
      </w:r>
      <w:r>
        <w:t>actions.</w:t>
      </w:r>
      <w:r w:rsidR="00932420">
        <w:t xml:space="preserve"> </w:t>
      </w:r>
      <w:r>
        <w:t>The</w:t>
      </w:r>
      <w:r w:rsidR="00932420">
        <w:t xml:space="preserve"> </w:t>
      </w:r>
      <w:r>
        <w:t>department</w:t>
      </w:r>
      <w:r w:rsidR="00932420">
        <w:t xml:space="preserve"> </w:t>
      </w:r>
      <w:r>
        <w:t>collaborated</w:t>
      </w:r>
      <w:r w:rsidR="00932420">
        <w:t xml:space="preserve"> </w:t>
      </w:r>
      <w:r>
        <w:t>closely</w:t>
      </w:r>
      <w:r w:rsidR="00932420">
        <w:t xml:space="preserve"> </w:t>
      </w:r>
      <w:r>
        <w:t>with</w:t>
      </w:r>
      <w:r w:rsidR="00932420">
        <w:t xml:space="preserve"> </w:t>
      </w:r>
      <w:r>
        <w:t>sector</w:t>
      </w:r>
      <w:r w:rsidR="00932420">
        <w:t xml:space="preserve"> </w:t>
      </w:r>
      <w:r>
        <w:t>stakeholders</w:t>
      </w:r>
      <w:r w:rsidR="00932420">
        <w:t xml:space="preserve"> </w:t>
      </w:r>
      <w:r>
        <w:t>to</w:t>
      </w:r>
      <w:r w:rsidR="00932420">
        <w:t xml:space="preserve"> </w:t>
      </w:r>
      <w:r>
        <w:t>deliver</w:t>
      </w:r>
      <w:r w:rsidR="00932420">
        <w:t xml:space="preserve"> </w:t>
      </w:r>
      <w:r>
        <w:t>the</w:t>
      </w:r>
      <w:r w:rsidR="00932420">
        <w:t xml:space="preserve"> </w:t>
      </w:r>
      <w:r>
        <w:t>recovery</w:t>
      </w:r>
      <w:r w:rsidR="00932420">
        <w:t xml:space="preserve"> </w:t>
      </w:r>
      <w:r>
        <w:t>plan,</w:t>
      </w:r>
      <w:r w:rsidR="00932420">
        <w:t xml:space="preserve"> </w:t>
      </w:r>
      <w:r>
        <w:t>achieving</w:t>
      </w:r>
      <w:r w:rsidR="00932420">
        <w:t xml:space="preserve"> </w:t>
      </w:r>
      <w:r>
        <w:t>impressive</w:t>
      </w:r>
      <w:r w:rsidR="00932420">
        <w:t xml:space="preserve"> </w:t>
      </w:r>
      <w:r>
        <w:t>student</w:t>
      </w:r>
      <w:r w:rsidR="00932420">
        <w:t xml:space="preserve"> </w:t>
      </w:r>
      <w:r>
        <w:t>satisfaction</w:t>
      </w:r>
      <w:r w:rsidR="00932420">
        <w:t xml:space="preserve"> </w:t>
      </w:r>
      <w:r>
        <w:t>rates</w:t>
      </w:r>
      <w:r w:rsidR="00932420">
        <w:t xml:space="preserve"> </w:t>
      </w:r>
      <w:r>
        <w:t>for</w:t>
      </w:r>
      <w:r w:rsidR="00932420">
        <w:t xml:space="preserve"> </w:t>
      </w:r>
      <w:r>
        <w:t>student</w:t>
      </w:r>
      <w:r w:rsidR="00932420">
        <w:t xml:space="preserve"> </w:t>
      </w:r>
      <w:r>
        <w:t>support</w:t>
      </w:r>
      <w:r w:rsidR="00932420">
        <w:t xml:space="preserve"> </w:t>
      </w:r>
      <w:r>
        <w:t>programs</w:t>
      </w:r>
      <w:r w:rsidR="00932420">
        <w:t xml:space="preserve"> </w:t>
      </w:r>
      <w:r>
        <w:t>and</w:t>
      </w:r>
      <w:r w:rsidR="00932420">
        <w:t xml:space="preserve"> </w:t>
      </w:r>
      <w:r>
        <w:t>a</w:t>
      </w:r>
      <w:r w:rsidR="00932420">
        <w:t xml:space="preserve"> </w:t>
      </w:r>
      <w:r>
        <w:t>high</w:t>
      </w:r>
      <w:r w:rsidR="00932420">
        <w:t xml:space="preserve"> </w:t>
      </w:r>
      <w:r>
        <w:t>level</w:t>
      </w:r>
      <w:r w:rsidR="00932420">
        <w:t xml:space="preserve"> </w:t>
      </w:r>
      <w:r>
        <w:t>of</w:t>
      </w:r>
      <w:r w:rsidR="00932420">
        <w:t xml:space="preserve"> </w:t>
      </w:r>
      <w:r>
        <w:t>industry</w:t>
      </w:r>
      <w:r w:rsidR="00932420">
        <w:t xml:space="preserve"> </w:t>
      </w:r>
      <w:r>
        <w:t>engagement</w:t>
      </w:r>
      <w:r w:rsidR="00932420">
        <w:t xml:space="preserve"> </w:t>
      </w:r>
      <w:r>
        <w:t>across</w:t>
      </w:r>
      <w:r w:rsidR="00932420">
        <w:t xml:space="preserve"> </w:t>
      </w:r>
      <w:r>
        <w:t>key</w:t>
      </w:r>
      <w:r w:rsidR="00932420">
        <w:t xml:space="preserve"> </w:t>
      </w:r>
      <w:r>
        <w:t>priorities,</w:t>
      </w:r>
      <w:r w:rsidR="00932420">
        <w:t xml:space="preserve"> </w:t>
      </w:r>
      <w:r>
        <w:t>including:</w:t>
      </w:r>
    </w:p>
    <w:p w14:paraId="00E0FC10" w14:textId="0B33FD61" w:rsidR="00CA3C5B" w:rsidRDefault="00260033" w:rsidP="008A738D">
      <w:pPr>
        <w:pStyle w:val="Bullet"/>
      </w:pPr>
      <w:r>
        <w:t>promoting</w:t>
      </w:r>
      <w:r w:rsidR="00932420">
        <w:t xml:space="preserve"> </w:t>
      </w:r>
      <w:r>
        <w:t>of</w:t>
      </w:r>
      <w:r w:rsidR="00932420">
        <w:t xml:space="preserve"> </w:t>
      </w:r>
      <w:r>
        <w:t>the</w:t>
      </w:r>
      <w:r w:rsidR="00932420">
        <w:t xml:space="preserve"> </w:t>
      </w:r>
      <w:r>
        <w:t>Study</w:t>
      </w:r>
      <w:r w:rsidR="00932420">
        <w:t xml:space="preserve"> </w:t>
      </w:r>
      <w:r>
        <w:t>Melbourne</w:t>
      </w:r>
      <w:r w:rsidR="00932420">
        <w:t xml:space="preserve"> </w:t>
      </w:r>
      <w:r>
        <w:t>brand</w:t>
      </w:r>
    </w:p>
    <w:p w14:paraId="5232ACDB" w14:textId="72FDF7A3" w:rsidR="00CA3C5B" w:rsidRDefault="00260033" w:rsidP="008A738D">
      <w:pPr>
        <w:pStyle w:val="Bullet"/>
      </w:pPr>
      <w:r>
        <w:t>supporting</w:t>
      </w:r>
      <w:r w:rsidR="00932420">
        <w:t xml:space="preserve"> </w:t>
      </w:r>
      <w:r>
        <w:t>graduate</w:t>
      </w:r>
      <w:r w:rsidR="00932420">
        <w:t xml:space="preserve"> </w:t>
      </w:r>
      <w:r>
        <w:t>employment</w:t>
      </w:r>
      <w:r w:rsidR="00932420">
        <w:t xml:space="preserve"> </w:t>
      </w:r>
      <w:r>
        <w:t>outcomes</w:t>
      </w:r>
    </w:p>
    <w:p w14:paraId="7D1E2C7E" w14:textId="3C50FABF" w:rsidR="00CA3C5B" w:rsidRDefault="00260033" w:rsidP="008A738D">
      <w:pPr>
        <w:pStyle w:val="Bulletlast"/>
      </w:pPr>
      <w:r>
        <w:t>strengthening</w:t>
      </w:r>
      <w:r w:rsidR="00932420">
        <w:t xml:space="preserve"> </w:t>
      </w:r>
      <w:r>
        <w:t>international</w:t>
      </w:r>
      <w:r w:rsidR="00932420">
        <w:t xml:space="preserve"> </w:t>
      </w:r>
      <w:r>
        <w:t>partnerships</w:t>
      </w:r>
      <w:r w:rsidR="00932420">
        <w:t xml:space="preserve"> </w:t>
      </w:r>
      <w:r>
        <w:t>through</w:t>
      </w:r>
      <w:r w:rsidR="00932420">
        <w:t xml:space="preserve"> </w:t>
      </w:r>
      <w:r>
        <w:t>Victoria’s</w:t>
      </w:r>
      <w:r w:rsidR="00932420">
        <w:t xml:space="preserve"> </w:t>
      </w:r>
      <w:r>
        <w:t>Global</w:t>
      </w:r>
      <w:r w:rsidR="00932420">
        <w:t xml:space="preserve"> </w:t>
      </w:r>
      <w:r>
        <w:t>Education</w:t>
      </w:r>
      <w:r w:rsidR="00932420">
        <w:t xml:space="preserve"> </w:t>
      </w:r>
      <w:r>
        <w:t>Network.</w:t>
      </w:r>
    </w:p>
    <w:p w14:paraId="099DC866" w14:textId="36F0D5F1" w:rsidR="00CA3C5B" w:rsidRDefault="00260033" w:rsidP="008A738D">
      <w:r>
        <w:t>The</w:t>
      </w:r>
      <w:r w:rsidR="00932420">
        <w:t xml:space="preserve"> </w:t>
      </w:r>
      <w:r>
        <w:t>Victorian</w:t>
      </w:r>
      <w:r w:rsidR="00932420">
        <w:t xml:space="preserve"> </w:t>
      </w:r>
      <w:r>
        <w:t>Government</w:t>
      </w:r>
      <w:r w:rsidR="00932420">
        <w:t xml:space="preserve"> </w:t>
      </w:r>
      <w:r>
        <w:t>continued</w:t>
      </w:r>
      <w:r w:rsidR="00932420">
        <w:t xml:space="preserve"> </w:t>
      </w:r>
      <w:r>
        <w:t>to</w:t>
      </w:r>
      <w:r w:rsidR="00932420">
        <w:t xml:space="preserve"> </w:t>
      </w:r>
      <w:r>
        <w:t>support</w:t>
      </w:r>
      <w:r w:rsidR="00932420">
        <w:t xml:space="preserve"> </w:t>
      </w:r>
      <w:r>
        <w:t>Victoria’s</w:t>
      </w:r>
      <w:r w:rsidR="00932420">
        <w:t xml:space="preserve"> </w:t>
      </w:r>
      <w:r>
        <w:t>10</w:t>
      </w:r>
      <w:r w:rsidR="00932420">
        <w:t xml:space="preserve"> </w:t>
      </w:r>
      <w:r>
        <w:t>universities</w:t>
      </w:r>
      <w:r w:rsidR="00932420">
        <w:t xml:space="preserve"> </w:t>
      </w:r>
      <w:r>
        <w:t>to</w:t>
      </w:r>
      <w:r w:rsidR="00932420">
        <w:t xml:space="preserve"> </w:t>
      </w:r>
      <w:r>
        <w:t>respond</w:t>
      </w:r>
      <w:r w:rsidR="00932420">
        <w:t xml:space="preserve"> </w:t>
      </w:r>
      <w:r>
        <w:t>to</w:t>
      </w:r>
      <w:r w:rsidR="00932420">
        <w:t xml:space="preserve"> </w:t>
      </w:r>
      <w:r>
        <w:t>impacts</w:t>
      </w:r>
      <w:r w:rsidR="00932420">
        <w:t xml:space="preserve"> </w:t>
      </w:r>
      <w:r>
        <w:t>of</w:t>
      </w:r>
      <w:r w:rsidR="00932420">
        <w:t xml:space="preserve"> </w:t>
      </w:r>
      <w:r>
        <w:t>COVID-19</w:t>
      </w:r>
      <w:r w:rsidR="00932420">
        <w:t xml:space="preserve"> </w:t>
      </w:r>
      <w:r>
        <w:t>through</w:t>
      </w:r>
      <w:r w:rsidR="00932420">
        <w:t xml:space="preserve"> </w:t>
      </w:r>
      <w:r>
        <w:t>the</w:t>
      </w:r>
      <w:r w:rsidR="00932420">
        <w:t xml:space="preserve"> </w:t>
      </w:r>
      <w:r>
        <w:t>$50</w:t>
      </w:r>
      <w:r w:rsidR="00932420">
        <w:t xml:space="preserve"> </w:t>
      </w:r>
      <w:r>
        <w:t>million</w:t>
      </w:r>
      <w:r w:rsidR="00932420">
        <w:t xml:space="preserve"> </w:t>
      </w:r>
      <w:r>
        <w:t>International</w:t>
      </w:r>
      <w:r w:rsidR="00932420">
        <w:t xml:space="preserve"> </w:t>
      </w:r>
      <w:r>
        <w:t>Education</w:t>
      </w:r>
      <w:r w:rsidR="00932420">
        <w:t xml:space="preserve"> </w:t>
      </w:r>
      <w:r>
        <w:t>Resilience</w:t>
      </w:r>
      <w:r w:rsidR="00932420">
        <w:t xml:space="preserve"> </w:t>
      </w:r>
      <w:r>
        <w:t>Fund</w:t>
      </w:r>
      <w:r w:rsidR="00932420">
        <w:t xml:space="preserve"> </w:t>
      </w:r>
      <w:r>
        <w:t>(IERF).</w:t>
      </w:r>
      <w:r w:rsidR="00932420">
        <w:t xml:space="preserve"> </w:t>
      </w:r>
      <w:r>
        <w:t>The</w:t>
      </w:r>
      <w:r w:rsidR="00932420">
        <w:t xml:space="preserve"> </w:t>
      </w:r>
      <w:r>
        <w:t>IERF</w:t>
      </w:r>
      <w:r w:rsidR="00932420">
        <w:t xml:space="preserve"> </w:t>
      </w:r>
      <w:r>
        <w:t>supported</w:t>
      </w:r>
      <w:r w:rsidR="00932420">
        <w:t xml:space="preserve"> </w:t>
      </w:r>
      <w:r>
        <w:t>Victorian</w:t>
      </w:r>
      <w:r w:rsidR="00932420">
        <w:t xml:space="preserve"> </w:t>
      </w:r>
      <w:r>
        <w:t>universities</w:t>
      </w:r>
      <w:r w:rsidR="00932420">
        <w:t xml:space="preserve"> </w:t>
      </w:r>
      <w:r>
        <w:t>to</w:t>
      </w:r>
      <w:r w:rsidR="00932420">
        <w:t xml:space="preserve"> </w:t>
      </w:r>
      <w:r>
        <w:t>deliver</w:t>
      </w:r>
      <w:r w:rsidR="00932420">
        <w:t xml:space="preserve"> </w:t>
      </w:r>
      <w:r>
        <w:t>benefits</w:t>
      </w:r>
      <w:r w:rsidR="00932420">
        <w:t xml:space="preserve"> </w:t>
      </w:r>
      <w:r>
        <w:t>to</w:t>
      </w:r>
      <w:r w:rsidR="00932420">
        <w:t xml:space="preserve"> </w:t>
      </w:r>
      <w:r>
        <w:t>international</w:t>
      </w:r>
      <w:r w:rsidR="00932420">
        <w:t xml:space="preserve"> </w:t>
      </w:r>
      <w:r>
        <w:t>students</w:t>
      </w:r>
      <w:r w:rsidR="00932420">
        <w:t xml:space="preserve"> </w:t>
      </w:r>
      <w:r>
        <w:t>onshore</w:t>
      </w:r>
      <w:r w:rsidR="00932420">
        <w:t xml:space="preserve"> </w:t>
      </w:r>
      <w:r>
        <w:t>and</w:t>
      </w:r>
      <w:r w:rsidR="00932420">
        <w:t xml:space="preserve"> </w:t>
      </w:r>
      <w:r>
        <w:t>offshore,</w:t>
      </w:r>
      <w:r w:rsidR="00932420">
        <w:t xml:space="preserve"> </w:t>
      </w:r>
      <w:r>
        <w:t>including</w:t>
      </w:r>
      <w:r w:rsidR="00932420">
        <w:t xml:space="preserve"> </w:t>
      </w:r>
      <w:r>
        <w:t>increased</w:t>
      </w:r>
      <w:r w:rsidR="00932420">
        <w:t xml:space="preserve"> </w:t>
      </w:r>
      <w:r>
        <w:t>student</w:t>
      </w:r>
      <w:r w:rsidR="00932420">
        <w:t xml:space="preserve"> </w:t>
      </w:r>
      <w:r>
        <w:t>welfare</w:t>
      </w:r>
      <w:r w:rsidR="00932420">
        <w:t xml:space="preserve"> </w:t>
      </w:r>
      <w:r>
        <w:t>and</w:t>
      </w:r>
      <w:r w:rsidR="00932420">
        <w:t xml:space="preserve"> </w:t>
      </w:r>
      <w:r>
        <w:t>support</w:t>
      </w:r>
      <w:r w:rsidR="00932420">
        <w:t xml:space="preserve"> </w:t>
      </w:r>
      <w:r>
        <w:t>services,</w:t>
      </w:r>
      <w:r w:rsidR="00932420">
        <w:t xml:space="preserve"> </w:t>
      </w:r>
      <w:r>
        <w:t>improved</w:t>
      </w:r>
      <w:r w:rsidR="00932420">
        <w:t xml:space="preserve"> </w:t>
      </w:r>
      <w:r>
        <w:t>online</w:t>
      </w:r>
      <w:r w:rsidR="00932420">
        <w:t xml:space="preserve"> </w:t>
      </w:r>
      <w:proofErr w:type="gramStart"/>
      <w:r>
        <w:t>teaching</w:t>
      </w:r>
      <w:proofErr w:type="gramEnd"/>
      <w:r w:rsidR="00932420">
        <w:t xml:space="preserve"> </w:t>
      </w:r>
      <w:r>
        <w:t>and</w:t>
      </w:r>
      <w:r w:rsidR="00932420">
        <w:t xml:space="preserve"> </w:t>
      </w:r>
      <w:r>
        <w:t>learning</w:t>
      </w:r>
      <w:r w:rsidR="00932420">
        <w:t xml:space="preserve"> </w:t>
      </w:r>
      <w:r>
        <w:t>and</w:t>
      </w:r>
      <w:r w:rsidR="00932420">
        <w:t xml:space="preserve"> </w:t>
      </w:r>
      <w:r>
        <w:t>more</w:t>
      </w:r>
      <w:r w:rsidR="00932420">
        <w:t xml:space="preserve"> </w:t>
      </w:r>
      <w:r>
        <w:t>student</w:t>
      </w:r>
      <w:r w:rsidR="00932420">
        <w:t xml:space="preserve"> </w:t>
      </w:r>
      <w:r>
        <w:t>engagement</w:t>
      </w:r>
      <w:r w:rsidR="00932420">
        <w:t xml:space="preserve"> </w:t>
      </w:r>
      <w:r>
        <w:t>initiatives.</w:t>
      </w:r>
      <w:r w:rsidR="00932420">
        <w:t xml:space="preserve"> </w:t>
      </w:r>
      <w:r>
        <w:lastRenderedPageBreak/>
        <w:t>Additionally,</w:t>
      </w:r>
      <w:r w:rsidR="00932420">
        <w:t xml:space="preserve"> </w:t>
      </w:r>
      <w:r>
        <w:t>$10</w:t>
      </w:r>
      <w:r w:rsidR="00932420">
        <w:t xml:space="preserve"> </w:t>
      </w:r>
      <w:r>
        <w:t>million</w:t>
      </w:r>
      <w:r w:rsidR="00932420">
        <w:t xml:space="preserve"> </w:t>
      </w:r>
      <w:r>
        <w:t>from</w:t>
      </w:r>
      <w:r w:rsidR="00932420">
        <w:t xml:space="preserve"> </w:t>
      </w:r>
      <w:r>
        <w:t>the</w:t>
      </w:r>
      <w:r w:rsidR="00932420">
        <w:t xml:space="preserve"> </w:t>
      </w:r>
      <w:r>
        <w:t>Melbourne</w:t>
      </w:r>
      <w:r w:rsidR="00932420">
        <w:t xml:space="preserve"> </w:t>
      </w:r>
      <w:r>
        <w:t>City</w:t>
      </w:r>
      <w:r w:rsidR="00932420">
        <w:t xml:space="preserve"> </w:t>
      </w:r>
      <w:r>
        <w:t>Revitalisation</w:t>
      </w:r>
      <w:r w:rsidR="00932420">
        <w:t xml:space="preserve"> </w:t>
      </w:r>
      <w:r>
        <w:t>Fund</w:t>
      </w:r>
      <w:r w:rsidR="00932420">
        <w:t xml:space="preserve"> </w:t>
      </w:r>
      <w:r>
        <w:t>supported</w:t>
      </w:r>
      <w:r w:rsidR="00932420">
        <w:t xml:space="preserve"> </w:t>
      </w:r>
      <w:r>
        <w:t>activities</w:t>
      </w:r>
      <w:r w:rsidR="00932420">
        <w:t xml:space="preserve"> </w:t>
      </w:r>
      <w:r>
        <w:t>to</w:t>
      </w:r>
      <w:r w:rsidR="00932420">
        <w:t xml:space="preserve"> </w:t>
      </w:r>
      <w:r>
        <w:t>boost</w:t>
      </w:r>
      <w:r w:rsidR="00932420">
        <w:t xml:space="preserve"> </w:t>
      </w:r>
      <w:r>
        <w:t>recovery</w:t>
      </w:r>
      <w:r w:rsidR="00932420">
        <w:t xml:space="preserve"> </w:t>
      </w:r>
      <w:r>
        <w:t>and</w:t>
      </w:r>
      <w:r w:rsidR="00932420">
        <w:t xml:space="preserve"> </w:t>
      </w:r>
      <w:r>
        <w:t>strengthen</w:t>
      </w:r>
      <w:r w:rsidR="00932420">
        <w:t xml:space="preserve"> </w:t>
      </w:r>
      <w:r>
        <w:t>Melbourne’s</w:t>
      </w:r>
      <w:r w:rsidR="00932420">
        <w:t xml:space="preserve"> </w:t>
      </w:r>
      <w:r>
        <w:t>status</w:t>
      </w:r>
      <w:r w:rsidR="00932420">
        <w:t xml:space="preserve"> </w:t>
      </w:r>
      <w:r>
        <w:t>as</w:t>
      </w:r>
      <w:r w:rsidR="00932420">
        <w:t xml:space="preserve"> </w:t>
      </w:r>
      <w:r>
        <w:t>a</w:t>
      </w:r>
      <w:r w:rsidR="00932420">
        <w:t xml:space="preserve"> </w:t>
      </w:r>
      <w:r>
        <w:t>leading</w:t>
      </w:r>
      <w:r w:rsidR="00932420">
        <w:t xml:space="preserve"> </w:t>
      </w:r>
      <w:r>
        <w:t>international</w:t>
      </w:r>
      <w:r w:rsidR="00932420">
        <w:t xml:space="preserve"> </w:t>
      </w:r>
      <w:r>
        <w:t>student</w:t>
      </w:r>
      <w:r w:rsidR="00932420">
        <w:t xml:space="preserve"> </w:t>
      </w:r>
      <w:r>
        <w:t>city.</w:t>
      </w:r>
    </w:p>
    <w:p w14:paraId="051DB6D1" w14:textId="4DDA2BEB" w:rsidR="00CA3C5B" w:rsidRDefault="00260033" w:rsidP="008A738D">
      <w:r>
        <w:t>As</w:t>
      </w:r>
      <w:r w:rsidR="00932420">
        <w:t xml:space="preserve"> </w:t>
      </w:r>
      <w:r>
        <w:t>a</w:t>
      </w:r>
      <w:r w:rsidR="00932420">
        <w:t xml:space="preserve"> </w:t>
      </w:r>
      <w:r>
        <w:t>testament</w:t>
      </w:r>
      <w:r w:rsidR="00932420">
        <w:t xml:space="preserve"> </w:t>
      </w:r>
      <w:r>
        <w:t>to</w:t>
      </w:r>
      <w:r w:rsidR="00932420">
        <w:t xml:space="preserve"> </w:t>
      </w:r>
      <w:r>
        <w:t>the</w:t>
      </w:r>
      <w:r w:rsidR="00932420">
        <w:t xml:space="preserve"> </w:t>
      </w:r>
      <w:r>
        <w:t>concerted</w:t>
      </w:r>
      <w:r w:rsidR="00932420">
        <w:t xml:space="preserve"> </w:t>
      </w:r>
      <w:r>
        <w:t>effort</w:t>
      </w:r>
      <w:r w:rsidR="00932420">
        <w:t xml:space="preserve"> </w:t>
      </w:r>
      <w:r>
        <w:t>across</w:t>
      </w:r>
      <w:r w:rsidR="00932420">
        <w:t xml:space="preserve"> </w:t>
      </w:r>
      <w:r>
        <w:t>all</w:t>
      </w:r>
      <w:r w:rsidR="00932420">
        <w:t xml:space="preserve"> </w:t>
      </w:r>
      <w:r>
        <w:t>segments</w:t>
      </w:r>
      <w:r w:rsidR="00932420">
        <w:t xml:space="preserve"> </w:t>
      </w:r>
      <w:r>
        <w:t>of</w:t>
      </w:r>
      <w:r w:rsidR="00932420">
        <w:t xml:space="preserve"> </w:t>
      </w:r>
      <w:r>
        <w:t>Victoria’s</w:t>
      </w:r>
      <w:r w:rsidR="00932420">
        <w:t xml:space="preserve"> </w:t>
      </w:r>
      <w:r>
        <w:t>international</w:t>
      </w:r>
      <w:r w:rsidR="00932420">
        <w:t xml:space="preserve"> </w:t>
      </w:r>
      <w:r>
        <w:t>education</w:t>
      </w:r>
      <w:r w:rsidR="00932420">
        <w:t xml:space="preserve"> </w:t>
      </w:r>
      <w:r>
        <w:rPr>
          <w:spacing w:val="1"/>
        </w:rPr>
        <w:t>sector,</w:t>
      </w:r>
      <w:r w:rsidR="00932420">
        <w:rPr>
          <w:spacing w:val="1"/>
        </w:rPr>
        <w:t xml:space="preserve"> </w:t>
      </w:r>
      <w:r>
        <w:rPr>
          <w:spacing w:val="1"/>
        </w:rPr>
        <w:t>Melbourne</w:t>
      </w:r>
      <w:r w:rsidR="00932420">
        <w:rPr>
          <w:spacing w:val="1"/>
        </w:rPr>
        <w:t xml:space="preserve"> </w:t>
      </w:r>
      <w:r>
        <w:rPr>
          <w:spacing w:val="1"/>
        </w:rPr>
        <w:t>was</w:t>
      </w:r>
      <w:r w:rsidR="00932420">
        <w:rPr>
          <w:spacing w:val="1"/>
        </w:rPr>
        <w:t xml:space="preserve"> </w:t>
      </w:r>
      <w:r>
        <w:rPr>
          <w:spacing w:val="1"/>
        </w:rPr>
        <w:t>crowned</w:t>
      </w:r>
      <w:r w:rsidR="00932420">
        <w:rPr>
          <w:spacing w:val="1"/>
        </w:rPr>
        <w:t xml:space="preserve"> </w:t>
      </w:r>
      <w:r>
        <w:rPr>
          <w:spacing w:val="1"/>
        </w:rPr>
        <w:t>Australia’s</w:t>
      </w:r>
      <w:r w:rsidR="00932420">
        <w:rPr>
          <w:spacing w:val="1"/>
        </w:rPr>
        <w:t xml:space="preserve"> </w:t>
      </w:r>
      <w:r>
        <w:rPr>
          <w:spacing w:val="1"/>
        </w:rPr>
        <w:t>best</w:t>
      </w:r>
      <w:r w:rsidR="00932420">
        <w:rPr>
          <w:spacing w:val="1"/>
        </w:rPr>
        <w:t xml:space="preserve"> </w:t>
      </w:r>
      <w:r>
        <w:rPr>
          <w:spacing w:val="1"/>
        </w:rPr>
        <w:t>student</w:t>
      </w:r>
      <w:r w:rsidR="00932420">
        <w:rPr>
          <w:spacing w:val="1"/>
        </w:rPr>
        <w:t xml:space="preserve"> </w:t>
      </w:r>
      <w:r>
        <w:rPr>
          <w:spacing w:val="1"/>
        </w:rPr>
        <w:t>city</w:t>
      </w:r>
      <w:r w:rsidR="00932420">
        <w:rPr>
          <w:spacing w:val="1"/>
        </w:rPr>
        <w:t xml:space="preserve"> </w:t>
      </w:r>
      <w:r>
        <w:rPr>
          <w:spacing w:val="1"/>
        </w:rPr>
        <w:t>and</w:t>
      </w:r>
      <w:r w:rsidR="00932420">
        <w:rPr>
          <w:spacing w:val="1"/>
        </w:rPr>
        <w:t xml:space="preserve"> </w:t>
      </w:r>
      <w:r>
        <w:rPr>
          <w:spacing w:val="1"/>
        </w:rPr>
        <w:t>moved</w:t>
      </w:r>
      <w:r w:rsidR="00932420">
        <w:rPr>
          <w:spacing w:val="1"/>
        </w:rPr>
        <w:t xml:space="preserve"> </w:t>
      </w:r>
      <w:r>
        <w:rPr>
          <w:spacing w:val="1"/>
        </w:rPr>
        <w:t>up</w:t>
      </w:r>
      <w:r w:rsidR="00932420">
        <w:rPr>
          <w:spacing w:val="1"/>
        </w:rPr>
        <w:t xml:space="preserve"> </w:t>
      </w:r>
      <w:r>
        <w:rPr>
          <w:spacing w:val="1"/>
        </w:rPr>
        <w:t>one</w:t>
      </w:r>
      <w:r w:rsidR="00932420">
        <w:rPr>
          <w:spacing w:val="1"/>
        </w:rPr>
        <w:t xml:space="preserve"> </w:t>
      </w:r>
      <w:r>
        <w:rPr>
          <w:spacing w:val="1"/>
        </w:rPr>
        <w:t>place</w:t>
      </w:r>
      <w:r w:rsidR="00932420">
        <w:rPr>
          <w:spacing w:val="1"/>
        </w:rPr>
        <w:t xml:space="preserve"> </w:t>
      </w:r>
      <w:r>
        <w:rPr>
          <w:spacing w:val="1"/>
        </w:rPr>
        <w:t>to</w:t>
      </w:r>
      <w:r w:rsidR="00932420">
        <w:rPr>
          <w:spacing w:val="1"/>
        </w:rPr>
        <w:t xml:space="preserve"> </w:t>
      </w:r>
      <w:r>
        <w:rPr>
          <w:spacing w:val="1"/>
        </w:rPr>
        <w:t>become</w:t>
      </w:r>
      <w:r w:rsidR="00932420">
        <w:t xml:space="preserve"> </w:t>
      </w:r>
      <w:r>
        <w:rPr>
          <w:spacing w:val="-1"/>
        </w:rPr>
        <w:t>the</w:t>
      </w:r>
      <w:r w:rsidR="00932420">
        <w:rPr>
          <w:spacing w:val="-1"/>
        </w:rPr>
        <w:t xml:space="preserve"> </w:t>
      </w:r>
      <w:r>
        <w:rPr>
          <w:spacing w:val="-1"/>
        </w:rPr>
        <w:t>world’s</w:t>
      </w:r>
      <w:r w:rsidR="00932420">
        <w:rPr>
          <w:spacing w:val="-1"/>
        </w:rPr>
        <w:t xml:space="preserve"> </w:t>
      </w:r>
      <w:r>
        <w:rPr>
          <w:spacing w:val="-1"/>
        </w:rPr>
        <w:t>fourth</w:t>
      </w:r>
      <w:r w:rsidR="00932420">
        <w:rPr>
          <w:spacing w:val="-1"/>
        </w:rPr>
        <w:t xml:space="preserve"> </w:t>
      </w:r>
      <w:r>
        <w:rPr>
          <w:spacing w:val="-1"/>
        </w:rPr>
        <w:t>best</w:t>
      </w:r>
      <w:r w:rsidR="00932420">
        <w:rPr>
          <w:spacing w:val="-1"/>
        </w:rPr>
        <w:t xml:space="preserve"> </w:t>
      </w:r>
      <w:r>
        <w:rPr>
          <w:spacing w:val="-1"/>
        </w:rPr>
        <w:t>(</w:t>
      </w:r>
      <w:r w:rsidRPr="008A738D">
        <w:rPr>
          <w:i/>
          <w:iCs/>
        </w:rPr>
        <w:t>QS</w:t>
      </w:r>
      <w:r w:rsidR="00932420" w:rsidRPr="008A738D">
        <w:rPr>
          <w:i/>
          <w:iCs/>
        </w:rPr>
        <w:t xml:space="preserve"> </w:t>
      </w:r>
      <w:r w:rsidRPr="008A738D">
        <w:rPr>
          <w:i/>
          <w:iCs/>
        </w:rPr>
        <w:t>Best</w:t>
      </w:r>
      <w:r w:rsidR="00932420" w:rsidRPr="008A738D">
        <w:rPr>
          <w:i/>
          <w:iCs/>
        </w:rPr>
        <w:t xml:space="preserve"> </w:t>
      </w:r>
      <w:r w:rsidRPr="008A738D">
        <w:rPr>
          <w:i/>
          <w:iCs/>
        </w:rPr>
        <w:t>Student</w:t>
      </w:r>
      <w:r w:rsidR="00932420" w:rsidRPr="008A738D">
        <w:rPr>
          <w:i/>
          <w:iCs/>
        </w:rPr>
        <w:t xml:space="preserve"> </w:t>
      </w:r>
      <w:r w:rsidRPr="008A738D">
        <w:rPr>
          <w:i/>
          <w:iCs/>
        </w:rPr>
        <w:t>Cities</w:t>
      </w:r>
      <w:r w:rsidR="00932420" w:rsidRPr="008A738D">
        <w:rPr>
          <w:i/>
          <w:iCs/>
        </w:rPr>
        <w:t xml:space="preserve"> </w:t>
      </w:r>
      <w:r w:rsidRPr="008A738D">
        <w:rPr>
          <w:i/>
          <w:iCs/>
        </w:rPr>
        <w:t>2024</w:t>
      </w:r>
      <w:r>
        <w:rPr>
          <w:spacing w:val="-1"/>
        </w:rPr>
        <w:t>).</w:t>
      </w:r>
      <w:r w:rsidR="00932420">
        <w:rPr>
          <w:spacing w:val="-1"/>
        </w:rPr>
        <w:t xml:space="preserve"> </w:t>
      </w:r>
      <w:r>
        <w:t>This</w:t>
      </w:r>
      <w:r w:rsidR="00932420">
        <w:t xml:space="preserve"> </w:t>
      </w:r>
      <w:r>
        <w:t>remarkable</w:t>
      </w:r>
      <w:r w:rsidR="00932420">
        <w:t xml:space="preserve"> </w:t>
      </w:r>
      <w:r>
        <w:t>achievement</w:t>
      </w:r>
      <w:r w:rsidR="00932420">
        <w:t xml:space="preserve"> </w:t>
      </w:r>
      <w:r>
        <w:t>reflects</w:t>
      </w:r>
      <w:r w:rsidR="00932420">
        <w:t xml:space="preserve"> </w:t>
      </w:r>
      <w:r>
        <w:t>that,</w:t>
      </w:r>
      <w:r w:rsidR="00932420">
        <w:t xml:space="preserve"> </w:t>
      </w:r>
      <w:r>
        <w:t>despite</w:t>
      </w:r>
      <w:r w:rsidR="00932420">
        <w:t xml:space="preserve"> </w:t>
      </w:r>
      <w:r>
        <w:rPr>
          <w:spacing w:val="-1"/>
        </w:rPr>
        <w:t>the</w:t>
      </w:r>
      <w:r w:rsidR="00932420">
        <w:rPr>
          <w:spacing w:val="-1"/>
        </w:rPr>
        <w:t xml:space="preserve"> </w:t>
      </w:r>
      <w:r>
        <w:rPr>
          <w:spacing w:val="-1"/>
        </w:rPr>
        <w:t>pandemic,</w:t>
      </w:r>
      <w:r w:rsidR="00932420">
        <w:rPr>
          <w:spacing w:val="-1"/>
        </w:rPr>
        <w:t xml:space="preserve"> </w:t>
      </w:r>
      <w:r>
        <w:rPr>
          <w:spacing w:val="-1"/>
        </w:rPr>
        <w:t>Melbourne</w:t>
      </w:r>
      <w:r w:rsidR="00932420">
        <w:rPr>
          <w:spacing w:val="-1"/>
        </w:rPr>
        <w:t xml:space="preserve"> </w:t>
      </w:r>
      <w:r>
        <w:rPr>
          <w:spacing w:val="-1"/>
        </w:rPr>
        <w:t>is</w:t>
      </w:r>
      <w:r w:rsidR="00932420">
        <w:rPr>
          <w:spacing w:val="-1"/>
        </w:rPr>
        <w:t xml:space="preserve"> </w:t>
      </w:r>
      <w:r>
        <w:rPr>
          <w:spacing w:val="-1"/>
        </w:rPr>
        <w:t>in</w:t>
      </w:r>
      <w:r w:rsidR="00932420">
        <w:rPr>
          <w:spacing w:val="-1"/>
        </w:rPr>
        <w:t xml:space="preserve"> </w:t>
      </w:r>
      <w:r>
        <w:rPr>
          <w:spacing w:val="-1"/>
        </w:rPr>
        <w:t>a</w:t>
      </w:r>
      <w:r w:rsidR="00932420">
        <w:rPr>
          <w:spacing w:val="-1"/>
        </w:rPr>
        <w:t xml:space="preserve"> </w:t>
      </w:r>
      <w:r>
        <w:rPr>
          <w:spacing w:val="-1"/>
        </w:rPr>
        <w:t>strong</w:t>
      </w:r>
      <w:r w:rsidR="00932420">
        <w:rPr>
          <w:spacing w:val="-1"/>
        </w:rPr>
        <w:t xml:space="preserve"> </w:t>
      </w:r>
      <w:r>
        <w:rPr>
          <w:spacing w:val="-1"/>
        </w:rPr>
        <w:t>position</w:t>
      </w:r>
      <w:r w:rsidR="00932420">
        <w:rPr>
          <w:spacing w:val="-1"/>
        </w:rPr>
        <w:t xml:space="preserve"> </w:t>
      </w:r>
      <w:r>
        <w:rPr>
          <w:spacing w:val="-1"/>
        </w:rPr>
        <w:t>as</w:t>
      </w:r>
      <w:r w:rsidR="00932420">
        <w:rPr>
          <w:spacing w:val="-1"/>
        </w:rPr>
        <w:t xml:space="preserve"> </w:t>
      </w:r>
      <w:r>
        <w:rPr>
          <w:spacing w:val="1"/>
        </w:rPr>
        <w:t>a</w:t>
      </w:r>
      <w:r w:rsidR="00932420">
        <w:rPr>
          <w:spacing w:val="1"/>
        </w:rPr>
        <w:t xml:space="preserve"> </w:t>
      </w:r>
      <w:r>
        <w:rPr>
          <w:spacing w:val="1"/>
        </w:rPr>
        <w:t>world-class</w:t>
      </w:r>
      <w:r w:rsidR="00932420">
        <w:rPr>
          <w:spacing w:val="1"/>
        </w:rPr>
        <w:t xml:space="preserve"> </w:t>
      </w:r>
      <w:r>
        <w:rPr>
          <w:spacing w:val="1"/>
        </w:rPr>
        <w:t>study</w:t>
      </w:r>
      <w:r w:rsidR="00932420">
        <w:rPr>
          <w:spacing w:val="1"/>
        </w:rPr>
        <w:t xml:space="preserve"> </w:t>
      </w:r>
      <w:r>
        <w:rPr>
          <w:spacing w:val="1"/>
        </w:rPr>
        <w:t>destination,</w:t>
      </w:r>
      <w:r w:rsidR="00932420">
        <w:rPr>
          <w:spacing w:val="1"/>
        </w:rPr>
        <w:t xml:space="preserve"> </w:t>
      </w:r>
      <w:r>
        <w:rPr>
          <w:spacing w:val="1"/>
        </w:rPr>
        <w:t>with</w:t>
      </w:r>
      <w:r w:rsidR="00932420">
        <w:rPr>
          <w:spacing w:val="1"/>
        </w:rPr>
        <w:t xml:space="preserve"> </w:t>
      </w:r>
      <w:r>
        <w:rPr>
          <w:spacing w:val="1"/>
        </w:rPr>
        <w:t>outstanding</w:t>
      </w:r>
      <w:r w:rsidR="00932420">
        <w:rPr>
          <w:spacing w:val="1"/>
        </w:rPr>
        <w:t xml:space="preserve"> </w:t>
      </w:r>
      <w:r>
        <w:rPr>
          <w:spacing w:val="1"/>
        </w:rPr>
        <w:t>educational</w:t>
      </w:r>
      <w:r w:rsidR="00932420">
        <w:rPr>
          <w:spacing w:val="1"/>
        </w:rPr>
        <w:t xml:space="preserve"> </w:t>
      </w:r>
      <w:r>
        <w:rPr>
          <w:spacing w:val="1"/>
        </w:rPr>
        <w:t>offerings,</w:t>
      </w:r>
      <w:r w:rsidR="00932420">
        <w:rPr>
          <w:spacing w:val="1"/>
        </w:rPr>
        <w:t xml:space="preserve"> </w:t>
      </w:r>
      <w:r>
        <w:rPr>
          <w:spacing w:val="1"/>
        </w:rPr>
        <w:t>exceptional</w:t>
      </w:r>
      <w:r w:rsidR="00932420">
        <w:rPr>
          <w:spacing w:val="1"/>
        </w:rPr>
        <w:t xml:space="preserve"> </w:t>
      </w:r>
      <w:r>
        <w:rPr>
          <w:spacing w:val="1"/>
        </w:rPr>
        <w:t>quality</w:t>
      </w:r>
      <w:r w:rsidR="00932420">
        <w:rPr>
          <w:spacing w:val="1"/>
        </w:rPr>
        <w:t xml:space="preserve"> </w:t>
      </w:r>
      <w:r>
        <w:rPr>
          <w:spacing w:val="1"/>
        </w:rPr>
        <w:t>of</w:t>
      </w:r>
      <w:r w:rsidR="00932420">
        <w:rPr>
          <w:spacing w:val="1"/>
        </w:rPr>
        <w:t xml:space="preserve"> </w:t>
      </w:r>
      <w:r>
        <w:rPr>
          <w:spacing w:val="1"/>
        </w:rPr>
        <w:t>life</w:t>
      </w:r>
      <w:r w:rsidR="00932420">
        <w:rPr>
          <w:spacing w:val="1"/>
        </w:rPr>
        <w:t xml:space="preserve"> </w:t>
      </w:r>
      <w:r>
        <w:t>and</w:t>
      </w:r>
      <w:r w:rsidR="00932420">
        <w:t xml:space="preserve"> </w:t>
      </w:r>
      <w:r>
        <w:t>abundant</w:t>
      </w:r>
      <w:r w:rsidR="00932420">
        <w:t xml:space="preserve"> </w:t>
      </w:r>
      <w:r>
        <w:t>opportunities</w:t>
      </w:r>
      <w:r w:rsidR="00932420">
        <w:t xml:space="preserve"> </w:t>
      </w:r>
      <w:r>
        <w:t>for</w:t>
      </w:r>
      <w:r w:rsidR="00932420">
        <w:t xml:space="preserve"> </w:t>
      </w:r>
      <w:r>
        <w:t>students.</w:t>
      </w:r>
    </w:p>
    <w:p w14:paraId="5FFB2785" w14:textId="65421780" w:rsidR="00CA3C5B" w:rsidRPr="008A738D" w:rsidRDefault="00260033" w:rsidP="008A738D">
      <w:pPr>
        <w:pStyle w:val="Heading2"/>
      </w:pPr>
      <w:bookmarkStart w:id="18" w:name="_Toc152067219"/>
      <w:r w:rsidRPr="008A738D">
        <w:t>Indicator:</w:t>
      </w:r>
      <w:r w:rsidR="00932420" w:rsidRPr="008A738D">
        <w:t xml:space="preserve"> </w:t>
      </w:r>
      <w:r w:rsidRPr="008A738D">
        <w:t>Jobs,</w:t>
      </w:r>
      <w:r w:rsidR="00932420" w:rsidRPr="008A738D">
        <w:t xml:space="preserve"> </w:t>
      </w:r>
      <w:r w:rsidRPr="008A738D">
        <w:t>wages</w:t>
      </w:r>
      <w:r w:rsidR="00932420" w:rsidRPr="008A738D">
        <w:t xml:space="preserve"> </w:t>
      </w:r>
      <w:r w:rsidRPr="008A738D">
        <w:t>and</w:t>
      </w:r>
      <w:r w:rsidR="00932420" w:rsidRPr="008A738D">
        <w:t xml:space="preserve"> </w:t>
      </w:r>
      <w:r w:rsidRPr="008A738D">
        <w:t>innovation</w:t>
      </w:r>
      <w:r w:rsidR="00932420" w:rsidRPr="008A738D">
        <w:t xml:space="preserve"> </w:t>
      </w:r>
      <w:r w:rsidRPr="008A738D">
        <w:t>expenditure</w:t>
      </w:r>
      <w:r w:rsidR="00932420" w:rsidRPr="008A738D">
        <w:t xml:space="preserve"> </w:t>
      </w:r>
      <w:r w:rsidRPr="008A738D">
        <w:t>generated</w:t>
      </w:r>
      <w:r w:rsidR="00932420" w:rsidRPr="008A738D">
        <w:t xml:space="preserve"> </w:t>
      </w:r>
      <w:r w:rsidRPr="008A738D">
        <w:t>from</w:t>
      </w:r>
      <w:r w:rsidR="00932420" w:rsidRPr="008A738D">
        <w:t xml:space="preserve"> </w:t>
      </w:r>
      <w:r w:rsidRPr="008A738D">
        <w:t>international</w:t>
      </w:r>
      <w:r w:rsidR="00932420" w:rsidRPr="008A738D">
        <w:t xml:space="preserve"> </w:t>
      </w:r>
      <w:r w:rsidRPr="008A738D">
        <w:t>investment</w:t>
      </w:r>
      <w:r w:rsidR="00932420" w:rsidRPr="008A738D">
        <w:t xml:space="preserve"> </w:t>
      </w:r>
      <w:r w:rsidRPr="008A738D">
        <w:t>secured</w:t>
      </w:r>
      <w:r w:rsidR="00932420" w:rsidRPr="008A738D">
        <w:t xml:space="preserve"> </w:t>
      </w:r>
      <w:r w:rsidRPr="008A738D">
        <w:t>through</w:t>
      </w:r>
      <w:r w:rsidR="00932420" w:rsidRPr="008A738D">
        <w:t xml:space="preserve"> </w:t>
      </w:r>
      <w:r w:rsidRPr="008A738D">
        <w:t>Government</w:t>
      </w:r>
      <w:r w:rsidR="00932420" w:rsidRPr="008A738D">
        <w:t xml:space="preserve"> </w:t>
      </w:r>
      <w:r w:rsidRPr="008A738D">
        <w:t>facilitation</w:t>
      </w:r>
      <w:r w:rsidR="00932420" w:rsidRPr="008A738D">
        <w:t xml:space="preserve"> </w:t>
      </w:r>
      <w:r w:rsidRPr="008A738D">
        <w:t>services</w:t>
      </w:r>
      <w:r w:rsidR="00932420" w:rsidRPr="008A738D">
        <w:t xml:space="preserve"> </w:t>
      </w:r>
      <w:r w:rsidRPr="008A738D">
        <w:t>and</w:t>
      </w:r>
      <w:r w:rsidR="00932420" w:rsidRPr="008A738D">
        <w:t xml:space="preserve"> </w:t>
      </w:r>
      <w:r w:rsidRPr="008A738D">
        <w:t>assistance.</w:t>
      </w:r>
      <w:bookmarkEnd w:id="18"/>
    </w:p>
    <w:p w14:paraId="412810FA" w14:textId="1E810946" w:rsidR="00CA3C5B" w:rsidRDefault="00260033" w:rsidP="008A738D">
      <w:pPr>
        <w:pStyle w:val="TableHeading"/>
      </w:pPr>
      <w:r>
        <w:t>Table</w:t>
      </w:r>
      <w:r w:rsidR="00932420">
        <w:t xml:space="preserve"> </w:t>
      </w:r>
      <w:r>
        <w:t>8:</w:t>
      </w:r>
      <w:r w:rsidR="00932420">
        <w:t xml:space="preserve"> </w:t>
      </w:r>
      <w:r>
        <w:t>Jobs,</w:t>
      </w:r>
      <w:r w:rsidR="00932420">
        <w:t xml:space="preserve"> </w:t>
      </w:r>
      <w:r>
        <w:t>wages</w:t>
      </w:r>
      <w:r w:rsidR="00932420">
        <w:t xml:space="preserve"> </w:t>
      </w:r>
      <w:r>
        <w:t>and</w:t>
      </w:r>
      <w:r w:rsidR="00932420">
        <w:t xml:space="preserve"> </w:t>
      </w:r>
      <w:r>
        <w:t>innovation</w:t>
      </w:r>
      <w:r w:rsidR="00932420">
        <w:t xml:space="preserve"> </w:t>
      </w:r>
      <w:r>
        <w:t>expenditure</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tbl>
      <w:tblPr>
        <w:tblStyle w:val="TableGrid"/>
        <w:tblW w:w="9638" w:type="dxa"/>
        <w:tblLayout w:type="fixed"/>
        <w:tblLook w:val="0020" w:firstRow="1" w:lastRow="0" w:firstColumn="0" w:lastColumn="0" w:noHBand="0" w:noVBand="0"/>
      </w:tblPr>
      <w:tblGrid>
        <w:gridCol w:w="5102"/>
        <w:gridCol w:w="1134"/>
        <w:gridCol w:w="1134"/>
        <w:gridCol w:w="1134"/>
        <w:gridCol w:w="1134"/>
      </w:tblGrid>
      <w:tr w:rsidR="00CA3C5B" w14:paraId="0C5504A1" w14:textId="77777777" w:rsidTr="008A738D">
        <w:trPr>
          <w:trHeight w:val="333"/>
        </w:trPr>
        <w:tc>
          <w:tcPr>
            <w:tcW w:w="5102" w:type="dxa"/>
          </w:tcPr>
          <w:p w14:paraId="392023BB" w14:textId="17F44E49" w:rsidR="00CA3C5B" w:rsidRDefault="00260033" w:rsidP="008A738D">
            <w:pPr>
              <w:pStyle w:val="TableColumnHeading"/>
            </w:pPr>
            <w:bookmarkStart w:id="19" w:name="ColumnTitle_8"/>
            <w:bookmarkEnd w:id="19"/>
            <w:r>
              <w:t>Measure</w:t>
            </w:r>
            <w:r w:rsidR="00932420">
              <w:t xml:space="preserve"> </w:t>
            </w:r>
            <w:r>
              <w:t>(unit</w:t>
            </w:r>
            <w:r w:rsidR="00932420">
              <w:t xml:space="preserve"> </w:t>
            </w:r>
            <w:r>
              <w:t>of</w:t>
            </w:r>
            <w:r w:rsidR="00932420">
              <w:t xml:space="preserve"> </w:t>
            </w:r>
            <w:r>
              <w:t>measure)</w:t>
            </w:r>
          </w:p>
        </w:tc>
        <w:tc>
          <w:tcPr>
            <w:tcW w:w="1134" w:type="dxa"/>
          </w:tcPr>
          <w:p w14:paraId="21079FC4" w14:textId="77777777" w:rsidR="00CA3C5B" w:rsidRDefault="00260033" w:rsidP="008A738D">
            <w:pPr>
              <w:pStyle w:val="TableColumnHeading"/>
              <w:jc w:val="right"/>
            </w:pPr>
            <w:r>
              <w:t>2019–20</w:t>
            </w:r>
          </w:p>
        </w:tc>
        <w:tc>
          <w:tcPr>
            <w:tcW w:w="1134" w:type="dxa"/>
          </w:tcPr>
          <w:p w14:paraId="3C88EC15" w14:textId="77777777" w:rsidR="00CA3C5B" w:rsidRDefault="00260033" w:rsidP="008A738D">
            <w:pPr>
              <w:pStyle w:val="TableColumnHeading"/>
              <w:jc w:val="right"/>
            </w:pPr>
            <w:r>
              <w:t>2020–21</w:t>
            </w:r>
          </w:p>
        </w:tc>
        <w:tc>
          <w:tcPr>
            <w:tcW w:w="1134" w:type="dxa"/>
          </w:tcPr>
          <w:p w14:paraId="6BD5BF36" w14:textId="77777777" w:rsidR="00CA3C5B" w:rsidRDefault="00260033" w:rsidP="008A738D">
            <w:pPr>
              <w:pStyle w:val="TableColumnHeading"/>
              <w:jc w:val="right"/>
            </w:pPr>
            <w:r>
              <w:t>2021–22</w:t>
            </w:r>
          </w:p>
        </w:tc>
        <w:tc>
          <w:tcPr>
            <w:tcW w:w="1134" w:type="dxa"/>
          </w:tcPr>
          <w:p w14:paraId="021575CE" w14:textId="77777777" w:rsidR="00CA3C5B" w:rsidRDefault="00260033" w:rsidP="008A738D">
            <w:pPr>
              <w:pStyle w:val="TableColumnHeading"/>
              <w:jc w:val="right"/>
            </w:pPr>
            <w:r>
              <w:rPr>
                <w:lang w:val="en-US"/>
              </w:rPr>
              <w:t>2022–23</w:t>
            </w:r>
          </w:p>
        </w:tc>
      </w:tr>
      <w:tr w:rsidR="00CA3C5B" w14:paraId="37D44D3A" w14:textId="77777777" w:rsidTr="008A738D">
        <w:trPr>
          <w:trHeight w:val="60"/>
        </w:trPr>
        <w:tc>
          <w:tcPr>
            <w:tcW w:w="5102" w:type="dxa"/>
          </w:tcPr>
          <w:p w14:paraId="349F4F16" w14:textId="3C080DE0" w:rsidR="00CA3C5B" w:rsidRDefault="00260033" w:rsidP="008A738D">
            <w:pPr>
              <w:pStyle w:val="TableCopy"/>
            </w:pPr>
            <w:r>
              <w:t>Jobs</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r>
              <w:t>(number)</w:t>
            </w:r>
          </w:p>
        </w:tc>
        <w:tc>
          <w:tcPr>
            <w:tcW w:w="1134" w:type="dxa"/>
          </w:tcPr>
          <w:p w14:paraId="5EA9CB1C" w14:textId="77777777" w:rsidR="00CA3C5B" w:rsidRDefault="00260033" w:rsidP="008A738D">
            <w:pPr>
              <w:pStyle w:val="TableCopy"/>
              <w:jc w:val="right"/>
            </w:pPr>
            <w:r>
              <w:t>5,241</w:t>
            </w:r>
          </w:p>
        </w:tc>
        <w:tc>
          <w:tcPr>
            <w:tcW w:w="1134" w:type="dxa"/>
          </w:tcPr>
          <w:p w14:paraId="32E1D0BE" w14:textId="77777777" w:rsidR="00CA3C5B" w:rsidRDefault="00260033" w:rsidP="008A738D">
            <w:pPr>
              <w:pStyle w:val="TableCopy"/>
              <w:jc w:val="right"/>
            </w:pPr>
            <w:r>
              <w:t>5,740</w:t>
            </w:r>
          </w:p>
        </w:tc>
        <w:tc>
          <w:tcPr>
            <w:tcW w:w="1134" w:type="dxa"/>
          </w:tcPr>
          <w:p w14:paraId="1C11E9D5" w14:textId="77777777" w:rsidR="00CA3C5B" w:rsidRDefault="00260033" w:rsidP="008A738D">
            <w:pPr>
              <w:pStyle w:val="TableCopy"/>
              <w:jc w:val="right"/>
            </w:pPr>
            <w:r>
              <w:t>3,721</w:t>
            </w:r>
          </w:p>
        </w:tc>
        <w:tc>
          <w:tcPr>
            <w:tcW w:w="1134" w:type="dxa"/>
          </w:tcPr>
          <w:p w14:paraId="76445DED" w14:textId="77777777" w:rsidR="00CA3C5B" w:rsidRDefault="00260033" w:rsidP="008A738D">
            <w:pPr>
              <w:pStyle w:val="TableCopy"/>
              <w:jc w:val="right"/>
            </w:pPr>
            <w:r>
              <w:t>2,549</w:t>
            </w:r>
          </w:p>
        </w:tc>
      </w:tr>
      <w:tr w:rsidR="00CA3C5B" w14:paraId="3915EA6D" w14:textId="77777777" w:rsidTr="008A738D">
        <w:trPr>
          <w:trHeight w:val="773"/>
        </w:trPr>
        <w:tc>
          <w:tcPr>
            <w:tcW w:w="5102" w:type="dxa"/>
          </w:tcPr>
          <w:p w14:paraId="66A374EC" w14:textId="01A8AB2F" w:rsidR="00CA3C5B" w:rsidRDefault="00260033" w:rsidP="008A738D">
            <w:pPr>
              <w:pStyle w:val="TableCopy"/>
            </w:pPr>
            <w:r>
              <w:t>Wages</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r>
              <w:t>($</w:t>
            </w:r>
            <w:r w:rsidR="00932420">
              <w:t xml:space="preserve"> </w:t>
            </w:r>
            <w:r>
              <w:t>million)</w:t>
            </w:r>
          </w:p>
        </w:tc>
        <w:tc>
          <w:tcPr>
            <w:tcW w:w="1134" w:type="dxa"/>
          </w:tcPr>
          <w:p w14:paraId="27C96D2F" w14:textId="77777777" w:rsidR="00CA3C5B" w:rsidRDefault="00260033" w:rsidP="008A738D">
            <w:pPr>
              <w:pStyle w:val="TableCopy"/>
              <w:jc w:val="right"/>
            </w:pPr>
            <w:r>
              <w:t>nm*</w:t>
            </w:r>
          </w:p>
        </w:tc>
        <w:tc>
          <w:tcPr>
            <w:tcW w:w="1134" w:type="dxa"/>
          </w:tcPr>
          <w:p w14:paraId="756E69AE" w14:textId="77777777" w:rsidR="00CA3C5B" w:rsidRDefault="00260033" w:rsidP="008A738D">
            <w:pPr>
              <w:pStyle w:val="TableCopy"/>
              <w:jc w:val="right"/>
            </w:pPr>
            <w:r>
              <w:t>297</w:t>
            </w:r>
          </w:p>
        </w:tc>
        <w:tc>
          <w:tcPr>
            <w:tcW w:w="1134" w:type="dxa"/>
          </w:tcPr>
          <w:p w14:paraId="27D92E99" w14:textId="77777777" w:rsidR="00CA3C5B" w:rsidRDefault="00260033" w:rsidP="008A738D">
            <w:pPr>
              <w:pStyle w:val="TableCopy"/>
              <w:jc w:val="right"/>
            </w:pPr>
            <w:r>
              <w:t>431</w:t>
            </w:r>
          </w:p>
        </w:tc>
        <w:tc>
          <w:tcPr>
            <w:tcW w:w="1134" w:type="dxa"/>
          </w:tcPr>
          <w:p w14:paraId="51DD7D1F" w14:textId="77777777" w:rsidR="00CA3C5B" w:rsidRDefault="00260033" w:rsidP="008A738D">
            <w:pPr>
              <w:pStyle w:val="TableCopy"/>
              <w:jc w:val="right"/>
            </w:pPr>
            <w:r>
              <w:t>332</w:t>
            </w:r>
          </w:p>
        </w:tc>
      </w:tr>
      <w:tr w:rsidR="00CA3C5B" w14:paraId="4096D750" w14:textId="77777777" w:rsidTr="008A738D">
        <w:trPr>
          <w:trHeight w:val="60"/>
        </w:trPr>
        <w:tc>
          <w:tcPr>
            <w:tcW w:w="5102" w:type="dxa"/>
          </w:tcPr>
          <w:p w14:paraId="18CF1B1C" w14:textId="45D840E2" w:rsidR="00CA3C5B" w:rsidRDefault="00260033" w:rsidP="008A738D">
            <w:pPr>
              <w:pStyle w:val="TableCopy"/>
            </w:pPr>
            <w:r>
              <w:t>Innovation</w:t>
            </w:r>
            <w:r w:rsidR="00932420">
              <w:t xml:space="preserve"> </w:t>
            </w:r>
            <w:r>
              <w:t>expenditure</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r>
              <w:t>($</w:t>
            </w:r>
            <w:r w:rsidR="00932420">
              <w:t xml:space="preserve"> </w:t>
            </w:r>
            <w:r>
              <w:t>million)</w:t>
            </w:r>
          </w:p>
        </w:tc>
        <w:tc>
          <w:tcPr>
            <w:tcW w:w="1134" w:type="dxa"/>
          </w:tcPr>
          <w:p w14:paraId="5C4FCDE6" w14:textId="77777777" w:rsidR="00CA3C5B" w:rsidRDefault="00260033" w:rsidP="008A738D">
            <w:pPr>
              <w:pStyle w:val="TableCopy"/>
              <w:jc w:val="right"/>
            </w:pPr>
            <w:r>
              <w:t>nm*</w:t>
            </w:r>
          </w:p>
        </w:tc>
        <w:tc>
          <w:tcPr>
            <w:tcW w:w="1134" w:type="dxa"/>
          </w:tcPr>
          <w:p w14:paraId="7C9ACA64" w14:textId="77777777" w:rsidR="00CA3C5B" w:rsidRDefault="00260033" w:rsidP="008A738D">
            <w:pPr>
              <w:pStyle w:val="TableCopy"/>
              <w:jc w:val="right"/>
            </w:pPr>
            <w:r>
              <w:t>496</w:t>
            </w:r>
          </w:p>
        </w:tc>
        <w:tc>
          <w:tcPr>
            <w:tcW w:w="1134" w:type="dxa"/>
          </w:tcPr>
          <w:p w14:paraId="5953565D" w14:textId="77777777" w:rsidR="00CA3C5B" w:rsidRDefault="00260033" w:rsidP="008A738D">
            <w:pPr>
              <w:pStyle w:val="TableCopy"/>
              <w:jc w:val="right"/>
            </w:pPr>
            <w:r>
              <w:t>596</w:t>
            </w:r>
          </w:p>
        </w:tc>
        <w:tc>
          <w:tcPr>
            <w:tcW w:w="1134" w:type="dxa"/>
          </w:tcPr>
          <w:p w14:paraId="6D250752" w14:textId="77777777" w:rsidR="00CA3C5B" w:rsidRDefault="00260033" w:rsidP="008A738D">
            <w:pPr>
              <w:pStyle w:val="TableCopy"/>
              <w:jc w:val="right"/>
            </w:pPr>
            <w:r>
              <w:rPr>
                <w:lang w:val="en-US"/>
              </w:rPr>
              <w:t>625</w:t>
            </w:r>
          </w:p>
        </w:tc>
      </w:tr>
    </w:tbl>
    <w:p w14:paraId="27AA5EC8" w14:textId="7DB44725" w:rsidR="00CA3C5B" w:rsidRDefault="008A738D" w:rsidP="008A738D">
      <w:pPr>
        <w:pStyle w:val="FootnoteText"/>
        <w:spacing w:before="120" w:after="280"/>
      </w:pPr>
      <w:r>
        <w:t>* New measure – new performance measure for 2020–21 reflects whole-of-government targets for foreign direct investment (FDI) attraction.</w:t>
      </w:r>
    </w:p>
    <w:p w14:paraId="5E3E48C5" w14:textId="197E5E3F" w:rsidR="00CA3C5B" w:rsidRDefault="00260033" w:rsidP="008A738D">
      <w:pPr>
        <w:pStyle w:val="FigureHeading"/>
      </w:pPr>
      <w:r>
        <w:lastRenderedPageBreak/>
        <w:t>Figure</w:t>
      </w:r>
      <w:r w:rsidR="00932420">
        <w:t xml:space="preserve"> </w:t>
      </w:r>
      <w:r>
        <w:t>6:</w:t>
      </w:r>
      <w:r w:rsidR="00932420">
        <w:t xml:space="preserve"> </w:t>
      </w:r>
      <w:r>
        <w:t>Jobs</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167AA00F" w14:textId="3C7572C7" w:rsidR="00CA3C5B" w:rsidRDefault="00B80DEF" w:rsidP="008A738D">
      <w:r>
        <w:rPr>
          <w:noProof/>
        </w:rPr>
        <w:drawing>
          <wp:inline distT="0" distB="0" distL="0" distR="0" wp14:anchorId="00C0FFE2" wp14:editId="7D5EE090">
            <wp:extent cx="3217887" cy="2152892"/>
            <wp:effectExtent l="0" t="0" r="1905" b="0"/>
            <wp:docPr id="6" name="Picture 6" descr="Figure 6: Jobs generated from international investment secured through Government facilitation services and assistance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6: Jobs generated from international investment secured through Government facilitation services and assistance graph. Data in table above."/>
                    <pic:cNvPicPr/>
                  </pic:nvPicPr>
                  <pic:blipFill>
                    <a:blip r:embed="rId15"/>
                    <a:stretch>
                      <a:fillRect/>
                    </a:stretch>
                  </pic:blipFill>
                  <pic:spPr>
                    <a:xfrm>
                      <a:off x="0" y="0"/>
                      <a:ext cx="3232707" cy="2162807"/>
                    </a:xfrm>
                    <a:prstGeom prst="rect">
                      <a:avLst/>
                    </a:prstGeom>
                  </pic:spPr>
                </pic:pic>
              </a:graphicData>
            </a:graphic>
          </wp:inline>
        </w:drawing>
      </w:r>
    </w:p>
    <w:p w14:paraId="795B27E7" w14:textId="4E40A4A1" w:rsidR="00CA3C5B" w:rsidRDefault="00260033" w:rsidP="008A738D">
      <w:pPr>
        <w:pStyle w:val="FigureHeading"/>
      </w:pPr>
      <w:r>
        <w:t>Figure</w:t>
      </w:r>
      <w:r w:rsidR="00932420">
        <w:t xml:space="preserve"> </w:t>
      </w:r>
      <w:r>
        <w:t>7:</w:t>
      </w:r>
      <w:r w:rsidR="00932420">
        <w:t xml:space="preserve"> </w:t>
      </w:r>
      <w:r>
        <w:t>Wages</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3916BB8F" w14:textId="51BF94B1" w:rsidR="00CA3C5B" w:rsidRDefault="00B80DEF" w:rsidP="008A738D">
      <w:r>
        <w:rPr>
          <w:noProof/>
        </w:rPr>
        <w:drawing>
          <wp:inline distT="0" distB="0" distL="0" distR="0" wp14:anchorId="3DB83C31" wp14:editId="675C541B">
            <wp:extent cx="3223550" cy="2156681"/>
            <wp:effectExtent l="0" t="0" r="0" b="0"/>
            <wp:docPr id="7" name="Picture 7" descr="Figure 7: Wages generated from international investment secured through Government facilitation services and assistance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7: Wages generated from international investment secured through Government facilitation services and assistance graph. Data in table above."/>
                    <pic:cNvPicPr/>
                  </pic:nvPicPr>
                  <pic:blipFill>
                    <a:blip r:embed="rId16"/>
                    <a:stretch>
                      <a:fillRect/>
                    </a:stretch>
                  </pic:blipFill>
                  <pic:spPr>
                    <a:xfrm>
                      <a:off x="0" y="0"/>
                      <a:ext cx="3235534" cy="2164699"/>
                    </a:xfrm>
                    <a:prstGeom prst="rect">
                      <a:avLst/>
                    </a:prstGeom>
                  </pic:spPr>
                </pic:pic>
              </a:graphicData>
            </a:graphic>
          </wp:inline>
        </w:drawing>
      </w:r>
    </w:p>
    <w:p w14:paraId="2C923ABF" w14:textId="6414409D" w:rsidR="00CA3C5B" w:rsidRDefault="00260033" w:rsidP="00B80DEF">
      <w:pPr>
        <w:pStyle w:val="FigureHeading"/>
      </w:pPr>
      <w:r>
        <w:t>Figure</w:t>
      </w:r>
      <w:r w:rsidR="00932420">
        <w:t xml:space="preserve"> </w:t>
      </w:r>
      <w:r>
        <w:t>8:</w:t>
      </w:r>
      <w:r w:rsidR="00932420">
        <w:t xml:space="preserve"> </w:t>
      </w:r>
      <w:r>
        <w:t>Innovation</w:t>
      </w:r>
      <w:r w:rsidR="00932420">
        <w:t xml:space="preserve"> </w:t>
      </w:r>
      <w:r>
        <w:t>expenditure</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00E4804A" w14:textId="5F92091F" w:rsidR="00CA3C5B" w:rsidRDefault="00B80DEF" w:rsidP="00B80DEF">
      <w:r>
        <w:rPr>
          <w:noProof/>
        </w:rPr>
        <w:drawing>
          <wp:inline distT="0" distB="0" distL="0" distR="0" wp14:anchorId="0074DB55" wp14:editId="1F02EA18">
            <wp:extent cx="3229337" cy="2160553"/>
            <wp:effectExtent l="0" t="0" r="0" b="0"/>
            <wp:docPr id="8" name="Picture 8" descr="Figure 8: Innovation expenditure generated from international investment secured through Government facilitation services and assistance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8: Innovation expenditure generated from international investment secured through Government facilitation services and assistance graph. Data in table above."/>
                    <pic:cNvPicPr/>
                  </pic:nvPicPr>
                  <pic:blipFill>
                    <a:blip r:embed="rId17"/>
                    <a:stretch>
                      <a:fillRect/>
                    </a:stretch>
                  </pic:blipFill>
                  <pic:spPr>
                    <a:xfrm>
                      <a:off x="0" y="0"/>
                      <a:ext cx="3240743" cy="2168184"/>
                    </a:xfrm>
                    <a:prstGeom prst="rect">
                      <a:avLst/>
                    </a:prstGeom>
                  </pic:spPr>
                </pic:pic>
              </a:graphicData>
            </a:graphic>
          </wp:inline>
        </w:drawing>
      </w:r>
    </w:p>
    <w:p w14:paraId="591A549F" w14:textId="39FC5CA7" w:rsidR="00CA3C5B" w:rsidRDefault="00260033" w:rsidP="00B80DEF">
      <w:r>
        <w:t>In</w:t>
      </w:r>
      <w:r w:rsidR="00932420">
        <w:t xml:space="preserve"> </w:t>
      </w:r>
      <w:r>
        <w:t>2022–23,</w:t>
      </w:r>
      <w:r w:rsidR="00932420">
        <w:t xml:space="preserve"> </w:t>
      </w:r>
      <w:r>
        <w:t>43</w:t>
      </w:r>
      <w:r w:rsidR="00932420">
        <w:t xml:space="preserve"> </w:t>
      </w:r>
      <w:r>
        <w:t>FDI</w:t>
      </w:r>
      <w:r w:rsidR="00932420">
        <w:t xml:space="preserve"> </w:t>
      </w:r>
      <w:r>
        <w:t>projects</w:t>
      </w:r>
      <w:r w:rsidR="00932420">
        <w:t xml:space="preserve"> </w:t>
      </w:r>
      <w:r>
        <w:t>were</w:t>
      </w:r>
      <w:r w:rsidR="00932420">
        <w:t xml:space="preserve"> </w:t>
      </w:r>
      <w:r>
        <w:t>claimed</w:t>
      </w:r>
      <w:r w:rsidR="00932420">
        <w:t xml:space="preserve"> </w:t>
      </w:r>
      <w:r>
        <w:t>against</w:t>
      </w:r>
      <w:r w:rsidR="00932420">
        <w:t xml:space="preserve"> </w:t>
      </w:r>
      <w:r>
        <w:t>the</w:t>
      </w:r>
      <w:r w:rsidR="00932420">
        <w:t xml:space="preserve"> </w:t>
      </w:r>
      <w:r>
        <w:t>objective</w:t>
      </w:r>
      <w:r w:rsidR="00932420">
        <w:t xml:space="preserve"> </w:t>
      </w:r>
      <w:r>
        <w:t>indicators</w:t>
      </w:r>
      <w:r w:rsidR="00932420">
        <w:t xml:space="preserve"> </w:t>
      </w:r>
      <w:r>
        <w:t>in</w:t>
      </w:r>
      <w:r w:rsidR="00932420">
        <w:t xml:space="preserve"> </w:t>
      </w:r>
      <w:r>
        <w:t>the</w:t>
      </w:r>
      <w:r w:rsidR="00932420">
        <w:t xml:space="preserve"> </w:t>
      </w:r>
      <w:r>
        <w:t>table</w:t>
      </w:r>
      <w:r w:rsidR="00932420">
        <w:t xml:space="preserve"> </w:t>
      </w:r>
      <w:r>
        <w:t>above,</w:t>
      </w:r>
      <w:r w:rsidR="00932420">
        <w:t xml:space="preserve"> </w:t>
      </w:r>
      <w:r>
        <w:t>achieving</w:t>
      </w:r>
      <w:r w:rsidR="00932420">
        <w:t xml:space="preserve"> </w:t>
      </w:r>
      <w:r>
        <w:t>2,549</w:t>
      </w:r>
      <w:r w:rsidR="00932420">
        <w:t xml:space="preserve"> </w:t>
      </w:r>
      <w:r>
        <w:t>direct</w:t>
      </w:r>
      <w:r w:rsidR="00932420">
        <w:t xml:space="preserve"> </w:t>
      </w:r>
      <w:r>
        <w:t>jobs,</w:t>
      </w:r>
      <w:r w:rsidR="00932420">
        <w:t xml:space="preserve"> </w:t>
      </w:r>
      <w:r>
        <w:t>$332</w:t>
      </w:r>
      <w:r w:rsidR="00932420">
        <w:t xml:space="preserve"> </w:t>
      </w:r>
      <w:r>
        <w:t>million</w:t>
      </w:r>
      <w:r w:rsidR="00932420">
        <w:t xml:space="preserve"> </w:t>
      </w:r>
      <w:r>
        <w:t>in</w:t>
      </w:r>
      <w:r w:rsidR="00932420">
        <w:t xml:space="preserve"> </w:t>
      </w:r>
      <w:r>
        <w:t>wages</w:t>
      </w:r>
      <w:r w:rsidR="00932420">
        <w:t xml:space="preserve"> </w:t>
      </w:r>
      <w:r>
        <w:t>expenditure</w:t>
      </w:r>
      <w:r w:rsidR="00932420">
        <w:t xml:space="preserve"> </w:t>
      </w:r>
      <w:r>
        <w:t>and</w:t>
      </w:r>
      <w:r w:rsidR="00932420">
        <w:t xml:space="preserve"> </w:t>
      </w:r>
      <w:r>
        <w:t>$625</w:t>
      </w:r>
      <w:r w:rsidR="00932420">
        <w:t xml:space="preserve"> </w:t>
      </w:r>
      <w:r>
        <w:t>million</w:t>
      </w:r>
      <w:r w:rsidR="00932420">
        <w:t xml:space="preserve"> </w:t>
      </w:r>
      <w:r>
        <w:t>in</w:t>
      </w:r>
      <w:r w:rsidR="00932420">
        <w:t xml:space="preserve"> </w:t>
      </w:r>
      <w:r>
        <w:t>innovation</w:t>
      </w:r>
      <w:r w:rsidR="00932420">
        <w:t xml:space="preserve"> </w:t>
      </w:r>
      <w:r>
        <w:t>expenditure.</w:t>
      </w:r>
    </w:p>
    <w:p w14:paraId="622D4B60" w14:textId="4B120907" w:rsidR="00CA3C5B" w:rsidRDefault="00260033" w:rsidP="00B80DEF">
      <w:r>
        <w:lastRenderedPageBreak/>
        <w:t>The</w:t>
      </w:r>
      <w:r w:rsidR="00932420">
        <w:t xml:space="preserve"> </w:t>
      </w:r>
      <w:r>
        <w:t>majority</w:t>
      </w:r>
      <w:r w:rsidR="00932420">
        <w:t xml:space="preserve"> </w:t>
      </w:r>
      <w:r>
        <w:t>of</w:t>
      </w:r>
      <w:r w:rsidR="00932420">
        <w:t xml:space="preserve"> </w:t>
      </w:r>
      <w:r>
        <w:t>FDI</w:t>
      </w:r>
      <w:r w:rsidR="00932420">
        <w:t xml:space="preserve"> </w:t>
      </w:r>
      <w:r>
        <w:t>projects</w:t>
      </w:r>
      <w:r w:rsidR="00932420">
        <w:t xml:space="preserve"> </w:t>
      </w:r>
      <w:r>
        <w:t>attracted</w:t>
      </w:r>
      <w:r w:rsidR="00932420">
        <w:t xml:space="preserve"> </w:t>
      </w:r>
      <w:r>
        <w:t>aligned</w:t>
      </w:r>
      <w:r w:rsidR="00932420">
        <w:t xml:space="preserve"> </w:t>
      </w:r>
      <w:r>
        <w:t>with</w:t>
      </w:r>
      <w:r w:rsidR="00932420">
        <w:t xml:space="preserve"> </w:t>
      </w:r>
      <w:r>
        <w:t>priority</w:t>
      </w:r>
      <w:r w:rsidR="00932420">
        <w:t xml:space="preserve"> </w:t>
      </w:r>
      <w:r>
        <w:t>sectors</w:t>
      </w:r>
      <w:r w:rsidR="00932420">
        <w:t xml:space="preserve"> </w:t>
      </w:r>
      <w:r>
        <w:t>including</w:t>
      </w:r>
      <w:r w:rsidR="00932420">
        <w:t xml:space="preserve"> </w:t>
      </w:r>
      <w:r>
        <w:t>digital</w:t>
      </w:r>
      <w:r w:rsidR="00932420">
        <w:t xml:space="preserve"> </w:t>
      </w:r>
      <w:r>
        <w:t>technology,</w:t>
      </w:r>
      <w:r w:rsidR="00932420">
        <w:t xml:space="preserve"> </w:t>
      </w:r>
      <w:r>
        <w:t>renewable</w:t>
      </w:r>
      <w:r w:rsidR="00932420">
        <w:t xml:space="preserve"> </w:t>
      </w:r>
      <w:r>
        <w:t>energy,</w:t>
      </w:r>
      <w:r w:rsidR="00932420">
        <w:t xml:space="preserve"> </w:t>
      </w:r>
      <w:r>
        <w:t>advanced</w:t>
      </w:r>
      <w:r w:rsidR="00932420">
        <w:t xml:space="preserve"> </w:t>
      </w:r>
      <w:r>
        <w:t>manufacturing,</w:t>
      </w:r>
      <w:r w:rsidR="00932420">
        <w:t xml:space="preserve"> </w:t>
      </w:r>
      <w:r>
        <w:t>health</w:t>
      </w:r>
      <w:r w:rsidR="00932420">
        <w:t xml:space="preserve"> </w:t>
      </w:r>
      <w:r>
        <w:t>and</w:t>
      </w:r>
      <w:r w:rsidR="00932420">
        <w:t xml:space="preserve"> </w:t>
      </w:r>
      <w:r>
        <w:t>life</w:t>
      </w:r>
      <w:r w:rsidR="00932420">
        <w:t xml:space="preserve"> </w:t>
      </w:r>
      <w:r>
        <w:t>sciences,</w:t>
      </w:r>
      <w:r w:rsidR="00932420">
        <w:t xml:space="preserve"> </w:t>
      </w:r>
      <w:r>
        <w:t>and</w:t>
      </w:r>
      <w:r w:rsidR="00932420">
        <w:t xml:space="preserve"> </w:t>
      </w:r>
      <w:r>
        <w:t>agri-food.</w:t>
      </w:r>
      <w:r w:rsidR="00932420">
        <w:t xml:space="preserve"> </w:t>
      </w:r>
    </w:p>
    <w:p w14:paraId="7EB19197" w14:textId="1A1FD7BF" w:rsidR="00CA3C5B" w:rsidRDefault="00260033" w:rsidP="00B80DEF">
      <w:pPr>
        <w:pStyle w:val="Normalbeforebullets"/>
      </w:pPr>
      <w:r>
        <w:t>Notable</w:t>
      </w:r>
      <w:r w:rsidR="00932420">
        <w:t xml:space="preserve"> </w:t>
      </w:r>
      <w:r>
        <w:t>achievements</w:t>
      </w:r>
      <w:r w:rsidR="00932420">
        <w:t xml:space="preserve"> </w:t>
      </w:r>
      <w:r>
        <w:t>included:</w:t>
      </w:r>
    </w:p>
    <w:p w14:paraId="7D2B4763" w14:textId="5B77D383" w:rsidR="00CA3C5B" w:rsidRDefault="00260033" w:rsidP="00B80DEF">
      <w:pPr>
        <w:pStyle w:val="Bullet"/>
      </w:pPr>
      <w:r>
        <w:t>Keywords</w:t>
      </w:r>
      <w:r w:rsidR="00932420">
        <w:t xml:space="preserve"> </w:t>
      </w:r>
      <w:r>
        <w:t>Studios</w:t>
      </w:r>
      <w:r w:rsidR="00932420">
        <w:t xml:space="preserve"> </w:t>
      </w:r>
      <w:r>
        <w:t>–</w:t>
      </w:r>
      <w:r w:rsidR="00932420">
        <w:t xml:space="preserve"> </w:t>
      </w:r>
      <w:r>
        <w:t>an</w:t>
      </w:r>
      <w:r w:rsidR="00932420">
        <w:t xml:space="preserve"> </w:t>
      </w:r>
      <w:r>
        <w:t>Irish</w:t>
      </w:r>
      <w:r w:rsidR="00932420">
        <w:t xml:space="preserve"> </w:t>
      </w:r>
      <w:r>
        <w:t>global</w:t>
      </w:r>
      <w:r w:rsidR="00932420">
        <w:t xml:space="preserve"> </w:t>
      </w:r>
      <w:r>
        <w:t>games</w:t>
      </w:r>
      <w:r w:rsidR="00932420">
        <w:t xml:space="preserve"> </w:t>
      </w:r>
      <w:r>
        <w:t>development</w:t>
      </w:r>
      <w:r w:rsidR="00932420">
        <w:t xml:space="preserve"> </w:t>
      </w:r>
      <w:r>
        <w:t>company</w:t>
      </w:r>
      <w:r w:rsidR="00932420">
        <w:t xml:space="preserve"> </w:t>
      </w:r>
      <w:r>
        <w:t>–</w:t>
      </w:r>
      <w:r w:rsidR="00932420">
        <w:t xml:space="preserve"> </w:t>
      </w:r>
      <w:r>
        <w:t>is</w:t>
      </w:r>
      <w:r w:rsidR="00932420">
        <w:t xml:space="preserve"> </w:t>
      </w:r>
      <w:r>
        <w:t>redoubling</w:t>
      </w:r>
      <w:r w:rsidR="00932420">
        <w:t xml:space="preserve"> </w:t>
      </w:r>
      <w:r>
        <w:t>its</w:t>
      </w:r>
      <w:r w:rsidR="00932420">
        <w:t xml:space="preserve"> </w:t>
      </w:r>
      <w:r>
        <w:t>investment</w:t>
      </w:r>
      <w:r w:rsidR="00932420">
        <w:t xml:space="preserve"> </w:t>
      </w:r>
      <w:r>
        <w:t>in</w:t>
      </w:r>
      <w:r w:rsidR="00932420">
        <w:t xml:space="preserve"> </w:t>
      </w:r>
      <w:r>
        <w:t>Victoria</w:t>
      </w:r>
      <w:r w:rsidR="00932420">
        <w:t xml:space="preserve"> </w:t>
      </w:r>
      <w:r>
        <w:t>and</w:t>
      </w:r>
      <w:r w:rsidR="00932420">
        <w:t xml:space="preserve"> </w:t>
      </w:r>
      <w:r>
        <w:t>establishing</w:t>
      </w:r>
      <w:r w:rsidR="00932420">
        <w:t xml:space="preserve"> </w:t>
      </w:r>
      <w:r>
        <w:t>its</w:t>
      </w:r>
      <w:r w:rsidR="00932420">
        <w:t xml:space="preserve"> </w:t>
      </w:r>
      <w:r>
        <w:t>first</w:t>
      </w:r>
      <w:r w:rsidR="00932420">
        <w:t xml:space="preserve"> </w:t>
      </w:r>
      <w:r>
        <w:t>centre</w:t>
      </w:r>
      <w:r w:rsidR="00932420">
        <w:t xml:space="preserve"> </w:t>
      </w:r>
      <w:r>
        <w:t>of</w:t>
      </w:r>
      <w:r w:rsidR="00932420">
        <w:t xml:space="preserve"> </w:t>
      </w:r>
      <w:r>
        <w:t>excellence</w:t>
      </w:r>
      <w:r w:rsidR="00932420">
        <w:t xml:space="preserve"> </w:t>
      </w:r>
      <w:r>
        <w:t>for</w:t>
      </w:r>
      <w:r w:rsidR="00932420">
        <w:t xml:space="preserve"> </w:t>
      </w:r>
      <w:r>
        <w:t>autonomous</w:t>
      </w:r>
      <w:r w:rsidR="00932420">
        <w:t xml:space="preserve"> </w:t>
      </w:r>
      <w:r>
        <w:t>testing</w:t>
      </w:r>
      <w:r w:rsidR="00932420">
        <w:t xml:space="preserve"> </w:t>
      </w:r>
      <w:r>
        <w:t>and</w:t>
      </w:r>
      <w:r w:rsidR="00932420">
        <w:t xml:space="preserve"> </w:t>
      </w:r>
      <w:r>
        <w:t>quality</w:t>
      </w:r>
      <w:r w:rsidR="00932420">
        <w:t xml:space="preserve"> </w:t>
      </w:r>
      <w:r>
        <w:t>assurance</w:t>
      </w:r>
      <w:r w:rsidR="00932420">
        <w:t xml:space="preserve"> </w:t>
      </w:r>
      <w:r>
        <w:t>in</w:t>
      </w:r>
      <w:r w:rsidR="00932420">
        <w:t xml:space="preserve"> </w:t>
      </w:r>
      <w:r>
        <w:t>Melbourne</w:t>
      </w:r>
    </w:p>
    <w:p w14:paraId="005E92C9" w14:textId="7774A498" w:rsidR="00CA3C5B" w:rsidRDefault="00260033" w:rsidP="00B80DEF">
      <w:pPr>
        <w:pStyle w:val="Bullet"/>
      </w:pPr>
      <w:r>
        <w:t>Orsted</w:t>
      </w:r>
      <w:r w:rsidR="00932420">
        <w:t xml:space="preserve"> </w:t>
      </w:r>
      <w:r>
        <w:t>–</w:t>
      </w:r>
      <w:r w:rsidR="00932420">
        <w:t xml:space="preserve"> </w:t>
      </w:r>
      <w:r>
        <w:t>a</w:t>
      </w:r>
      <w:r w:rsidR="00932420">
        <w:t xml:space="preserve"> </w:t>
      </w:r>
      <w:r>
        <w:t>global</w:t>
      </w:r>
      <w:r w:rsidR="00932420">
        <w:t xml:space="preserve"> </w:t>
      </w:r>
      <w:r>
        <w:t>leader</w:t>
      </w:r>
      <w:r w:rsidR="00932420">
        <w:t xml:space="preserve"> </w:t>
      </w:r>
      <w:r>
        <w:t>in</w:t>
      </w:r>
      <w:r w:rsidR="00932420">
        <w:t xml:space="preserve"> </w:t>
      </w:r>
      <w:r>
        <w:t>offshore</w:t>
      </w:r>
      <w:r w:rsidR="00932420">
        <w:t xml:space="preserve"> </w:t>
      </w:r>
      <w:r>
        <w:t>wind</w:t>
      </w:r>
      <w:r w:rsidR="00932420">
        <w:t xml:space="preserve"> </w:t>
      </w:r>
      <w:r>
        <w:t>power</w:t>
      </w:r>
      <w:r w:rsidR="00932420">
        <w:t xml:space="preserve"> </w:t>
      </w:r>
      <w:r>
        <w:t>production</w:t>
      </w:r>
      <w:r w:rsidR="00932420">
        <w:t xml:space="preserve"> </w:t>
      </w:r>
      <w:r>
        <w:t>from</w:t>
      </w:r>
      <w:r w:rsidR="00932420">
        <w:t xml:space="preserve"> </w:t>
      </w:r>
      <w:r>
        <w:t>Denmark</w:t>
      </w:r>
      <w:r w:rsidR="00932420">
        <w:t xml:space="preserve"> </w:t>
      </w:r>
      <w:r>
        <w:t>–</w:t>
      </w:r>
      <w:r w:rsidR="00932420">
        <w:t xml:space="preserve"> </w:t>
      </w:r>
      <w:r>
        <w:t>is</w:t>
      </w:r>
      <w:r w:rsidR="00932420">
        <w:t xml:space="preserve"> </w:t>
      </w:r>
      <w:r>
        <w:t>expanding</w:t>
      </w:r>
      <w:r w:rsidR="00932420">
        <w:t xml:space="preserve"> </w:t>
      </w:r>
      <w:r>
        <w:t>into</w:t>
      </w:r>
      <w:r w:rsidR="00932420">
        <w:t xml:space="preserve"> </w:t>
      </w:r>
      <w:r>
        <w:t>Australia,</w:t>
      </w:r>
      <w:r w:rsidR="00932420">
        <w:t xml:space="preserve"> </w:t>
      </w:r>
      <w:r>
        <w:t>choosing</w:t>
      </w:r>
      <w:r w:rsidR="00932420">
        <w:t xml:space="preserve"> </w:t>
      </w:r>
      <w:r>
        <w:t>Victoria</w:t>
      </w:r>
      <w:r w:rsidR="00932420">
        <w:t xml:space="preserve"> </w:t>
      </w:r>
      <w:r>
        <w:t>for</w:t>
      </w:r>
      <w:r w:rsidR="00932420">
        <w:t xml:space="preserve"> </w:t>
      </w:r>
      <w:r>
        <w:t>its</w:t>
      </w:r>
      <w:r w:rsidR="00932420">
        <w:t xml:space="preserve"> </w:t>
      </w:r>
      <w:r>
        <w:t>Australian</w:t>
      </w:r>
      <w:r w:rsidR="00932420">
        <w:t xml:space="preserve"> </w:t>
      </w:r>
      <w:r>
        <w:t>headquarters</w:t>
      </w:r>
    </w:p>
    <w:p w14:paraId="4731D933" w14:textId="09CCE058" w:rsidR="00CA3C5B" w:rsidRDefault="00260033" w:rsidP="00B80DEF">
      <w:pPr>
        <w:pStyle w:val="Bullet"/>
      </w:pPr>
      <w:r>
        <w:t>UST</w:t>
      </w:r>
      <w:r w:rsidR="00932420">
        <w:t xml:space="preserve"> </w:t>
      </w:r>
      <w:r>
        <w:t>–</w:t>
      </w:r>
      <w:r w:rsidR="00932420">
        <w:t xml:space="preserve"> </w:t>
      </w:r>
      <w:r>
        <w:t>a</w:t>
      </w:r>
      <w:r w:rsidR="00932420">
        <w:t xml:space="preserve"> </w:t>
      </w:r>
      <w:r>
        <w:t>leading</w:t>
      </w:r>
      <w:r w:rsidR="00932420">
        <w:t xml:space="preserve"> </w:t>
      </w:r>
      <w:r>
        <w:t>digital</w:t>
      </w:r>
      <w:r w:rsidR="00932420">
        <w:t xml:space="preserve"> </w:t>
      </w:r>
      <w:r>
        <w:t>technology</w:t>
      </w:r>
      <w:r w:rsidR="00932420">
        <w:t xml:space="preserve"> </w:t>
      </w:r>
      <w:r>
        <w:t>company</w:t>
      </w:r>
      <w:r w:rsidR="00932420">
        <w:t xml:space="preserve"> </w:t>
      </w:r>
      <w:r>
        <w:t>–</w:t>
      </w:r>
      <w:r w:rsidR="00932420">
        <w:t xml:space="preserve"> </w:t>
      </w:r>
      <w:r>
        <w:t>has</w:t>
      </w:r>
      <w:r w:rsidR="00932420">
        <w:t xml:space="preserve"> </w:t>
      </w:r>
      <w:r>
        <w:t>relocated</w:t>
      </w:r>
      <w:r w:rsidR="00932420">
        <w:t xml:space="preserve"> </w:t>
      </w:r>
      <w:r>
        <w:t>its</w:t>
      </w:r>
      <w:r w:rsidR="00932420">
        <w:t xml:space="preserve"> </w:t>
      </w:r>
      <w:r>
        <w:t>ANZ</w:t>
      </w:r>
      <w:r w:rsidR="00932420">
        <w:t xml:space="preserve"> </w:t>
      </w:r>
      <w:r>
        <w:t>headquarters</w:t>
      </w:r>
      <w:r w:rsidR="00932420">
        <w:t xml:space="preserve"> </w:t>
      </w:r>
      <w:r>
        <w:t>from</w:t>
      </w:r>
      <w:r w:rsidR="00932420">
        <w:t xml:space="preserve"> </w:t>
      </w:r>
      <w:r>
        <w:t>Sydney</w:t>
      </w:r>
      <w:r w:rsidR="00932420">
        <w:t xml:space="preserve"> </w:t>
      </w:r>
      <w:r>
        <w:t>to</w:t>
      </w:r>
      <w:r w:rsidR="00932420">
        <w:t xml:space="preserve"> </w:t>
      </w:r>
      <w:r>
        <w:t>Carlton.</w:t>
      </w:r>
      <w:r w:rsidR="00932420">
        <w:t xml:space="preserve"> </w:t>
      </w:r>
      <w:r>
        <w:t>It</w:t>
      </w:r>
      <w:r w:rsidR="00932420">
        <w:t xml:space="preserve"> </w:t>
      </w:r>
      <w:r>
        <w:t>has</w:t>
      </w:r>
      <w:r w:rsidR="00932420">
        <w:t xml:space="preserve"> </w:t>
      </w:r>
      <w:r>
        <w:t>launched</w:t>
      </w:r>
      <w:r w:rsidR="00932420">
        <w:t xml:space="preserve"> </w:t>
      </w:r>
      <w:proofErr w:type="gramStart"/>
      <w:r>
        <w:t>a</w:t>
      </w:r>
      <w:r w:rsidR="00932420">
        <w:t xml:space="preserve"> </w:t>
      </w:r>
      <w:r>
        <w:t>new</w:t>
      </w:r>
      <w:r w:rsidR="00932420">
        <w:t xml:space="preserve"> </w:t>
      </w:r>
      <w:r>
        <w:t>innovation</w:t>
      </w:r>
      <w:proofErr w:type="gramEnd"/>
      <w:r w:rsidR="00932420">
        <w:t xml:space="preserve"> </w:t>
      </w:r>
      <w:r>
        <w:t>lab</w:t>
      </w:r>
      <w:r w:rsidR="00932420">
        <w:t xml:space="preserve"> </w:t>
      </w:r>
      <w:r>
        <w:t>at</w:t>
      </w:r>
      <w:r w:rsidR="00932420">
        <w:t xml:space="preserve"> </w:t>
      </w:r>
      <w:r>
        <w:t>the</w:t>
      </w:r>
      <w:r w:rsidR="00932420">
        <w:t xml:space="preserve"> </w:t>
      </w:r>
      <w:r>
        <w:t>University</w:t>
      </w:r>
      <w:r w:rsidR="00932420">
        <w:t xml:space="preserve"> </w:t>
      </w:r>
      <w:r>
        <w:t>of</w:t>
      </w:r>
      <w:r w:rsidR="00932420">
        <w:t xml:space="preserve"> </w:t>
      </w:r>
      <w:r>
        <w:t>Melbourne’s</w:t>
      </w:r>
      <w:r w:rsidR="00932420">
        <w:t xml:space="preserve"> </w:t>
      </w:r>
      <w:r>
        <w:t>Melbourne</w:t>
      </w:r>
      <w:r w:rsidR="00932420">
        <w:t xml:space="preserve"> </w:t>
      </w:r>
      <w:r>
        <w:t>Connect</w:t>
      </w:r>
      <w:r w:rsidR="00932420">
        <w:t xml:space="preserve"> </w:t>
      </w:r>
      <w:r>
        <w:t>tech</w:t>
      </w:r>
      <w:r w:rsidR="00932420">
        <w:t xml:space="preserve"> </w:t>
      </w:r>
      <w:r>
        <w:t>hub,</w:t>
      </w:r>
      <w:r w:rsidR="00932420">
        <w:t xml:space="preserve"> </w:t>
      </w:r>
      <w:r>
        <w:t>creating</w:t>
      </w:r>
      <w:r w:rsidR="00932420">
        <w:t xml:space="preserve"> </w:t>
      </w:r>
      <w:r>
        <w:t>250</w:t>
      </w:r>
      <w:r w:rsidR="00932420">
        <w:t xml:space="preserve"> </w:t>
      </w:r>
      <w:r>
        <w:t>jobs</w:t>
      </w:r>
    </w:p>
    <w:p w14:paraId="5E664B80" w14:textId="725EA515" w:rsidR="00CA3C5B" w:rsidRDefault="00260033" w:rsidP="00B80DEF">
      <w:pPr>
        <w:pStyle w:val="Bullet"/>
      </w:pPr>
      <w:r>
        <w:t>CI&amp;T</w:t>
      </w:r>
      <w:r w:rsidR="00932420">
        <w:t xml:space="preserve"> </w:t>
      </w:r>
      <w:r>
        <w:t>–</w:t>
      </w:r>
      <w:r w:rsidR="00932420">
        <w:t xml:space="preserve"> </w:t>
      </w:r>
      <w:r>
        <w:t>a</w:t>
      </w:r>
      <w:r w:rsidR="00932420">
        <w:t xml:space="preserve"> </w:t>
      </w:r>
      <w:r>
        <w:t>world-leading,</w:t>
      </w:r>
      <w:r w:rsidR="00932420">
        <w:t xml:space="preserve"> </w:t>
      </w:r>
      <w:r>
        <w:t>Brazilian-based</w:t>
      </w:r>
      <w:r w:rsidR="00932420">
        <w:t xml:space="preserve"> </w:t>
      </w:r>
      <w:r>
        <w:t>ICT</w:t>
      </w:r>
      <w:r w:rsidR="00932420">
        <w:t xml:space="preserve"> </w:t>
      </w:r>
      <w:r>
        <w:t>consulting</w:t>
      </w:r>
      <w:r w:rsidR="00932420">
        <w:t xml:space="preserve"> </w:t>
      </w:r>
      <w:r>
        <w:t>and</w:t>
      </w:r>
      <w:r w:rsidR="00932420">
        <w:t xml:space="preserve"> </w:t>
      </w:r>
      <w:r>
        <w:t>software</w:t>
      </w:r>
      <w:r w:rsidR="00932420">
        <w:t xml:space="preserve"> </w:t>
      </w:r>
      <w:r>
        <w:t>development</w:t>
      </w:r>
      <w:r w:rsidR="00932420">
        <w:t xml:space="preserve"> </w:t>
      </w:r>
      <w:r>
        <w:t>company</w:t>
      </w:r>
      <w:r w:rsidR="00932420">
        <w:t xml:space="preserve"> </w:t>
      </w:r>
      <w:r>
        <w:t>–</w:t>
      </w:r>
      <w:r w:rsidR="00932420">
        <w:t xml:space="preserve"> </w:t>
      </w:r>
      <w:r>
        <w:t>will</w:t>
      </w:r>
      <w:r w:rsidR="00932420">
        <w:t xml:space="preserve"> </w:t>
      </w:r>
      <w:r>
        <w:t>establish</w:t>
      </w:r>
      <w:r w:rsidR="00932420">
        <w:t xml:space="preserve"> </w:t>
      </w:r>
      <w:r>
        <w:t>its</w:t>
      </w:r>
      <w:r w:rsidR="00932420">
        <w:t xml:space="preserve"> </w:t>
      </w:r>
      <w:r>
        <w:t>Australian</w:t>
      </w:r>
      <w:r w:rsidR="00932420">
        <w:t xml:space="preserve"> </w:t>
      </w:r>
      <w:r>
        <w:t>headquarters</w:t>
      </w:r>
      <w:r w:rsidR="00932420">
        <w:t xml:space="preserve"> </w:t>
      </w:r>
      <w:r>
        <w:t>in</w:t>
      </w:r>
      <w:r w:rsidR="00932420">
        <w:t xml:space="preserve"> </w:t>
      </w:r>
      <w:r>
        <w:t>Melbourne</w:t>
      </w:r>
    </w:p>
    <w:p w14:paraId="156B4ACA" w14:textId="50F76FEF" w:rsidR="00CA3C5B" w:rsidRDefault="00260033" w:rsidP="00B80DEF">
      <w:pPr>
        <w:pStyle w:val="Bullet"/>
      </w:pPr>
      <w:r>
        <w:t>SunGreenH2–</w:t>
      </w:r>
      <w:r w:rsidR="00932420">
        <w:t xml:space="preserve"> </w:t>
      </w:r>
      <w:r>
        <w:t>a</w:t>
      </w:r>
      <w:r w:rsidR="00932420">
        <w:t xml:space="preserve"> </w:t>
      </w:r>
      <w:r>
        <w:t>Singapore</w:t>
      </w:r>
      <w:r w:rsidR="00932420">
        <w:t xml:space="preserve"> </w:t>
      </w:r>
      <w:r>
        <w:t>hydrogen</w:t>
      </w:r>
      <w:r w:rsidR="00932420">
        <w:t xml:space="preserve"> </w:t>
      </w:r>
      <w:r>
        <w:t>tech</w:t>
      </w:r>
      <w:r w:rsidR="00932420">
        <w:t xml:space="preserve"> </w:t>
      </w:r>
      <w:proofErr w:type="spellStart"/>
      <w:r>
        <w:t>startup</w:t>
      </w:r>
      <w:proofErr w:type="spellEnd"/>
      <w:r w:rsidR="00932420">
        <w:t xml:space="preserve"> </w:t>
      </w:r>
      <w:r>
        <w:t>–</w:t>
      </w:r>
      <w:r w:rsidR="00932420">
        <w:t xml:space="preserve"> </w:t>
      </w:r>
      <w:r>
        <w:t>opened</w:t>
      </w:r>
      <w:r w:rsidR="00932420">
        <w:t xml:space="preserve"> </w:t>
      </w:r>
      <w:r>
        <w:t>a</w:t>
      </w:r>
      <w:r w:rsidR="00932420">
        <w:t xml:space="preserve"> </w:t>
      </w:r>
      <w:r>
        <w:t>manufacturing</w:t>
      </w:r>
      <w:r w:rsidR="00932420">
        <w:t xml:space="preserve"> </w:t>
      </w:r>
      <w:r>
        <w:t>and</w:t>
      </w:r>
      <w:r w:rsidR="00932420">
        <w:t xml:space="preserve"> </w:t>
      </w:r>
      <w:r>
        <w:t>R&amp;D</w:t>
      </w:r>
      <w:r w:rsidR="00932420">
        <w:t xml:space="preserve"> </w:t>
      </w:r>
      <w:r>
        <w:t>hub</w:t>
      </w:r>
      <w:r w:rsidR="00932420">
        <w:t xml:space="preserve"> </w:t>
      </w:r>
      <w:r>
        <w:t>in</w:t>
      </w:r>
      <w:r w:rsidR="00932420">
        <w:t xml:space="preserve"> </w:t>
      </w:r>
      <w:r>
        <w:t>Clayton</w:t>
      </w:r>
      <w:r w:rsidR="00932420">
        <w:t xml:space="preserve"> </w:t>
      </w:r>
      <w:r>
        <w:t>to</w:t>
      </w:r>
      <w:r w:rsidR="00932420">
        <w:t xml:space="preserve"> </w:t>
      </w:r>
      <w:r>
        <w:t>develop</w:t>
      </w:r>
      <w:r w:rsidR="00932420">
        <w:t xml:space="preserve"> </w:t>
      </w:r>
      <w:r>
        <w:t>nanotechnology</w:t>
      </w:r>
      <w:r w:rsidR="00932420">
        <w:t xml:space="preserve"> </w:t>
      </w:r>
      <w:r>
        <w:t>to</w:t>
      </w:r>
      <w:r w:rsidR="00932420">
        <w:t xml:space="preserve"> </w:t>
      </w:r>
      <w:r>
        <w:t>improve</w:t>
      </w:r>
      <w:r w:rsidR="00932420">
        <w:t xml:space="preserve"> </w:t>
      </w:r>
      <w:r>
        <w:t>efficiency</w:t>
      </w:r>
      <w:r w:rsidR="00932420">
        <w:t xml:space="preserve"> </w:t>
      </w:r>
      <w:r>
        <w:t>and</w:t>
      </w:r>
      <w:r w:rsidR="00932420">
        <w:t xml:space="preserve"> </w:t>
      </w:r>
      <w:r>
        <w:t>lower</w:t>
      </w:r>
      <w:r w:rsidR="00932420">
        <w:t xml:space="preserve"> </w:t>
      </w:r>
      <w:r>
        <w:t>the</w:t>
      </w:r>
      <w:r w:rsidR="00932420">
        <w:t xml:space="preserve"> </w:t>
      </w:r>
      <w:r>
        <w:t>cost</w:t>
      </w:r>
      <w:r w:rsidR="00932420">
        <w:t xml:space="preserve"> </w:t>
      </w:r>
      <w:r>
        <w:t>of</w:t>
      </w:r>
      <w:r w:rsidR="00932420">
        <w:t xml:space="preserve"> </w:t>
      </w:r>
      <w:r>
        <w:t>electrolyser</w:t>
      </w:r>
      <w:r w:rsidR="00932420">
        <w:t xml:space="preserve"> </w:t>
      </w:r>
      <w:r>
        <w:t>parts</w:t>
      </w:r>
      <w:r w:rsidR="00932420">
        <w:t xml:space="preserve"> </w:t>
      </w:r>
      <w:r>
        <w:t>used</w:t>
      </w:r>
      <w:r w:rsidR="00932420">
        <w:t xml:space="preserve"> </w:t>
      </w:r>
      <w:r>
        <w:t>in</w:t>
      </w:r>
      <w:r w:rsidR="00932420">
        <w:t xml:space="preserve"> </w:t>
      </w:r>
      <w:r>
        <w:t>hydrogen</w:t>
      </w:r>
      <w:r w:rsidR="00932420">
        <w:t xml:space="preserve"> </w:t>
      </w:r>
      <w:r>
        <w:t>production.</w:t>
      </w:r>
      <w:r w:rsidR="00932420">
        <w:t xml:space="preserve"> </w:t>
      </w:r>
      <w:r>
        <w:t>The</w:t>
      </w:r>
      <w:r w:rsidR="00932420">
        <w:t xml:space="preserve"> </w:t>
      </w:r>
      <w:r>
        <w:t>facility</w:t>
      </w:r>
      <w:r w:rsidR="00932420">
        <w:t xml:space="preserve"> </w:t>
      </w:r>
      <w:r>
        <w:t>will</w:t>
      </w:r>
      <w:r w:rsidR="00932420">
        <w:t xml:space="preserve"> </w:t>
      </w:r>
      <w:r>
        <w:t>create</w:t>
      </w:r>
      <w:r w:rsidR="00932420">
        <w:t xml:space="preserve"> </w:t>
      </w:r>
      <w:r>
        <w:t>30</w:t>
      </w:r>
      <w:r w:rsidR="00932420">
        <w:t xml:space="preserve"> </w:t>
      </w:r>
      <w:r>
        <w:t>new</w:t>
      </w:r>
      <w:r w:rsidR="00932420">
        <w:t xml:space="preserve"> </w:t>
      </w:r>
      <w:r>
        <w:t>jobs</w:t>
      </w:r>
    </w:p>
    <w:p w14:paraId="5020E054" w14:textId="59C42C9F" w:rsidR="00CA3C5B" w:rsidRDefault="00260033" w:rsidP="00B80DEF">
      <w:pPr>
        <w:pStyle w:val="Bulletlast"/>
      </w:pPr>
      <w:proofErr w:type="spellStart"/>
      <w:r>
        <w:t>LeadSquared</w:t>
      </w:r>
      <w:proofErr w:type="spellEnd"/>
      <w:r w:rsidR="00932420">
        <w:t xml:space="preserve"> </w:t>
      </w:r>
      <w:r>
        <w:t>–</w:t>
      </w:r>
      <w:r w:rsidR="00932420">
        <w:t xml:space="preserve"> </w:t>
      </w:r>
      <w:r>
        <w:t>an</w:t>
      </w:r>
      <w:r w:rsidR="00932420">
        <w:t xml:space="preserve"> </w:t>
      </w:r>
      <w:r>
        <w:t>Indian</w:t>
      </w:r>
      <w:r w:rsidR="00932420">
        <w:t xml:space="preserve"> </w:t>
      </w:r>
      <w:r>
        <w:t>technology</w:t>
      </w:r>
      <w:r w:rsidR="00932420">
        <w:t xml:space="preserve"> </w:t>
      </w:r>
      <w:r>
        <w:t>unicorn</w:t>
      </w:r>
      <w:r w:rsidR="00932420">
        <w:t xml:space="preserve"> </w:t>
      </w:r>
      <w:r>
        <w:rPr>
          <w:spacing w:val="-1"/>
        </w:rPr>
        <w:t>(a</w:t>
      </w:r>
      <w:r w:rsidR="00932420">
        <w:rPr>
          <w:spacing w:val="-1"/>
        </w:rPr>
        <w:t xml:space="preserve"> </w:t>
      </w:r>
      <w:proofErr w:type="spellStart"/>
      <w:r>
        <w:rPr>
          <w:spacing w:val="-1"/>
        </w:rPr>
        <w:t>startup</w:t>
      </w:r>
      <w:proofErr w:type="spellEnd"/>
      <w:r w:rsidR="00932420">
        <w:rPr>
          <w:spacing w:val="-1"/>
        </w:rPr>
        <w:t xml:space="preserve"> </w:t>
      </w:r>
      <w:r>
        <w:rPr>
          <w:spacing w:val="-1"/>
        </w:rPr>
        <w:t>valued</w:t>
      </w:r>
      <w:r w:rsidR="00932420">
        <w:rPr>
          <w:spacing w:val="-1"/>
        </w:rPr>
        <w:t xml:space="preserve"> </w:t>
      </w:r>
      <w:r>
        <w:rPr>
          <w:spacing w:val="-1"/>
        </w:rPr>
        <w:t>at</w:t>
      </w:r>
      <w:r w:rsidR="00932420">
        <w:rPr>
          <w:spacing w:val="-1"/>
        </w:rPr>
        <w:t xml:space="preserve"> </w:t>
      </w:r>
      <w:r>
        <w:rPr>
          <w:spacing w:val="-1"/>
        </w:rPr>
        <w:t>over</w:t>
      </w:r>
      <w:r w:rsidR="00932420">
        <w:rPr>
          <w:spacing w:val="-1"/>
        </w:rPr>
        <w:t xml:space="preserve"> </w:t>
      </w:r>
      <w:r>
        <w:rPr>
          <w:spacing w:val="-1"/>
        </w:rPr>
        <w:t>$1</w:t>
      </w:r>
      <w:r w:rsidR="00932420">
        <w:rPr>
          <w:spacing w:val="-1"/>
        </w:rPr>
        <w:t xml:space="preserve"> </w:t>
      </w:r>
      <w:r>
        <w:rPr>
          <w:spacing w:val="-1"/>
        </w:rPr>
        <w:t>billion)</w:t>
      </w:r>
      <w:r w:rsidR="00932420">
        <w:rPr>
          <w:spacing w:val="-1"/>
        </w:rPr>
        <w:t xml:space="preserve"> </w:t>
      </w:r>
      <w:r>
        <w:rPr>
          <w:spacing w:val="-1"/>
        </w:rPr>
        <w:t>–</w:t>
      </w:r>
      <w:r w:rsidR="00932420">
        <w:rPr>
          <w:spacing w:val="-1"/>
        </w:rPr>
        <w:t xml:space="preserve"> </w:t>
      </w:r>
      <w:r>
        <w:rPr>
          <w:spacing w:val="-1"/>
        </w:rPr>
        <w:t>is</w:t>
      </w:r>
      <w:r w:rsidR="00932420">
        <w:rPr>
          <w:spacing w:val="-1"/>
        </w:rPr>
        <w:t xml:space="preserve"> </w:t>
      </w:r>
      <w:r>
        <w:rPr>
          <w:spacing w:val="-1"/>
        </w:rPr>
        <w:t>establishing</w:t>
      </w:r>
      <w:r w:rsidR="00932420">
        <w:t xml:space="preserve"> </w:t>
      </w:r>
      <w:r>
        <w:rPr>
          <w:spacing w:val="1"/>
        </w:rPr>
        <w:t>its</w:t>
      </w:r>
      <w:r w:rsidR="00932420">
        <w:rPr>
          <w:spacing w:val="1"/>
        </w:rPr>
        <w:t xml:space="preserve"> </w:t>
      </w:r>
      <w:r>
        <w:rPr>
          <w:spacing w:val="1"/>
        </w:rPr>
        <w:t>Oceania</w:t>
      </w:r>
      <w:r w:rsidR="00932420">
        <w:rPr>
          <w:spacing w:val="1"/>
        </w:rPr>
        <w:t xml:space="preserve"> </w:t>
      </w:r>
      <w:r>
        <w:rPr>
          <w:spacing w:val="1"/>
        </w:rPr>
        <w:t>base</w:t>
      </w:r>
      <w:r w:rsidR="00932420">
        <w:rPr>
          <w:spacing w:val="1"/>
        </w:rPr>
        <w:t xml:space="preserve"> </w:t>
      </w:r>
      <w:r>
        <w:rPr>
          <w:spacing w:val="1"/>
        </w:rPr>
        <w:t>in</w:t>
      </w:r>
      <w:r w:rsidR="00932420">
        <w:rPr>
          <w:spacing w:val="1"/>
        </w:rPr>
        <w:t xml:space="preserve"> </w:t>
      </w:r>
      <w:r>
        <w:rPr>
          <w:spacing w:val="1"/>
        </w:rPr>
        <w:t>Victoria</w:t>
      </w:r>
      <w:r w:rsidR="00932420">
        <w:rPr>
          <w:spacing w:val="1"/>
        </w:rPr>
        <w:t xml:space="preserve"> </w:t>
      </w:r>
      <w:r>
        <w:rPr>
          <w:spacing w:val="1"/>
        </w:rPr>
        <w:t>with</w:t>
      </w:r>
      <w:r w:rsidR="00932420">
        <w:rPr>
          <w:spacing w:val="1"/>
        </w:rPr>
        <w:t xml:space="preserve"> </w:t>
      </w:r>
      <w:r>
        <w:rPr>
          <w:spacing w:val="1"/>
        </w:rPr>
        <w:t>Melbourne</w:t>
      </w:r>
      <w:r w:rsidR="00932420">
        <w:rPr>
          <w:spacing w:val="1"/>
        </w:rPr>
        <w:t xml:space="preserve"> </w:t>
      </w:r>
      <w:r>
        <w:t>as</w:t>
      </w:r>
      <w:r w:rsidR="00932420">
        <w:t xml:space="preserve"> </w:t>
      </w:r>
      <w:r>
        <w:t>its</w:t>
      </w:r>
      <w:r w:rsidR="00932420">
        <w:t xml:space="preserve"> </w:t>
      </w:r>
      <w:r>
        <w:t>global</w:t>
      </w:r>
      <w:r w:rsidR="00932420">
        <w:t xml:space="preserve"> </w:t>
      </w:r>
      <w:r>
        <w:t>hub</w:t>
      </w:r>
      <w:r w:rsidR="00932420">
        <w:t xml:space="preserve"> </w:t>
      </w:r>
      <w:r>
        <w:t>for</w:t>
      </w:r>
      <w:r w:rsidR="00932420">
        <w:t xml:space="preserve"> </w:t>
      </w:r>
      <w:r>
        <w:t>all</w:t>
      </w:r>
      <w:r w:rsidR="00932420">
        <w:t xml:space="preserve"> </w:t>
      </w:r>
      <w:r>
        <w:t>training</w:t>
      </w:r>
      <w:r w:rsidR="00932420">
        <w:t xml:space="preserve"> </w:t>
      </w:r>
      <w:r>
        <w:t>needs.</w:t>
      </w:r>
    </w:p>
    <w:p w14:paraId="184AD228" w14:textId="064D90C8" w:rsidR="00CA3C5B" w:rsidRDefault="00260033" w:rsidP="00B80DEF">
      <w:pPr>
        <w:pStyle w:val="Normalbeforebullets"/>
      </w:pPr>
      <w:r>
        <w:t>The</w:t>
      </w:r>
      <w:r w:rsidR="00932420">
        <w:t xml:space="preserve"> </w:t>
      </w:r>
      <w:r>
        <w:t>department</w:t>
      </w:r>
      <w:r w:rsidR="00932420">
        <w:t xml:space="preserve"> </w:t>
      </w:r>
      <w:r>
        <w:t>continued</w:t>
      </w:r>
      <w:r w:rsidR="00932420">
        <w:t xml:space="preserve"> </w:t>
      </w:r>
      <w:r>
        <w:t>to</w:t>
      </w:r>
      <w:r w:rsidR="00932420">
        <w:t xml:space="preserve"> </w:t>
      </w:r>
      <w:r>
        <w:t>provide</w:t>
      </w:r>
      <w:r w:rsidR="00932420">
        <w:t xml:space="preserve"> </w:t>
      </w:r>
      <w:r>
        <w:t>high</w:t>
      </w:r>
      <w:r w:rsidR="00932420">
        <w:t xml:space="preserve"> </w:t>
      </w:r>
      <w:r>
        <w:t>quality</w:t>
      </w:r>
      <w:r w:rsidR="00932420">
        <w:t xml:space="preserve"> </w:t>
      </w:r>
      <w:r>
        <w:t>facilitation</w:t>
      </w:r>
      <w:r w:rsidR="00932420">
        <w:t xml:space="preserve"> </w:t>
      </w:r>
      <w:r>
        <w:t>support</w:t>
      </w:r>
      <w:r w:rsidR="00932420">
        <w:t xml:space="preserve"> </w:t>
      </w:r>
      <w:r>
        <w:t>and</w:t>
      </w:r>
      <w:r w:rsidR="00932420">
        <w:t xml:space="preserve"> </w:t>
      </w:r>
      <w:r>
        <w:t>assisted</w:t>
      </w:r>
      <w:r w:rsidR="00932420">
        <w:t xml:space="preserve"> </w:t>
      </w:r>
      <w:r>
        <w:t>companies</w:t>
      </w:r>
      <w:r w:rsidR="00932420">
        <w:t xml:space="preserve"> </w:t>
      </w:r>
      <w:r>
        <w:t>to</w:t>
      </w:r>
      <w:r w:rsidR="00932420">
        <w:t xml:space="preserve"> </w:t>
      </w:r>
      <w:r>
        <w:t>progress</w:t>
      </w:r>
      <w:r w:rsidR="00932420">
        <w:t xml:space="preserve"> </w:t>
      </w:r>
      <w:r>
        <w:t>developments</w:t>
      </w:r>
      <w:r w:rsidR="00932420">
        <w:t xml:space="preserve"> </w:t>
      </w:r>
      <w:r>
        <w:t>by:</w:t>
      </w:r>
      <w:r w:rsidR="00932420">
        <w:t xml:space="preserve"> </w:t>
      </w:r>
    </w:p>
    <w:p w14:paraId="096D01A1" w14:textId="61B31768" w:rsidR="00CA3C5B" w:rsidRDefault="00260033" w:rsidP="00B80DEF">
      <w:pPr>
        <w:pStyle w:val="Bullet"/>
      </w:pPr>
      <w:r>
        <w:rPr>
          <w:spacing w:val="-1"/>
        </w:rPr>
        <w:t>scanning</w:t>
      </w:r>
      <w:r w:rsidR="00932420">
        <w:rPr>
          <w:spacing w:val="-1"/>
        </w:rPr>
        <w:t xml:space="preserve"> </w:t>
      </w:r>
      <w:r>
        <w:rPr>
          <w:spacing w:val="-1"/>
        </w:rPr>
        <w:t>property</w:t>
      </w:r>
      <w:r w:rsidR="00932420">
        <w:rPr>
          <w:spacing w:val="-1"/>
        </w:rPr>
        <w:t xml:space="preserve"> </w:t>
      </w:r>
      <w:r>
        <w:rPr>
          <w:spacing w:val="-1"/>
        </w:rPr>
        <w:t>markets</w:t>
      </w:r>
      <w:r w:rsidR="00932420">
        <w:rPr>
          <w:spacing w:val="-1"/>
        </w:rPr>
        <w:t xml:space="preserve"> </w:t>
      </w:r>
      <w:r>
        <w:rPr>
          <w:spacing w:val="-1"/>
        </w:rPr>
        <w:t>and</w:t>
      </w:r>
      <w:r w:rsidR="00932420">
        <w:rPr>
          <w:spacing w:val="-1"/>
        </w:rPr>
        <w:t xml:space="preserve"> </w:t>
      </w:r>
      <w:r>
        <w:rPr>
          <w:spacing w:val="-1"/>
        </w:rPr>
        <w:t>off-market</w:t>
      </w:r>
      <w:r w:rsidR="00932420">
        <w:rPr>
          <w:spacing w:val="-1"/>
        </w:rPr>
        <w:t xml:space="preserve"> </w:t>
      </w:r>
      <w:r>
        <w:t>opportunities</w:t>
      </w:r>
      <w:r w:rsidR="00932420">
        <w:t xml:space="preserve"> </w:t>
      </w:r>
      <w:r>
        <w:t>to</w:t>
      </w:r>
      <w:r w:rsidR="00932420">
        <w:t xml:space="preserve"> </w:t>
      </w:r>
      <w:r>
        <w:t>identify</w:t>
      </w:r>
      <w:r w:rsidR="00932420">
        <w:t xml:space="preserve"> </w:t>
      </w:r>
      <w:r>
        <w:t>sites</w:t>
      </w:r>
      <w:r w:rsidR="00932420">
        <w:t xml:space="preserve"> </w:t>
      </w:r>
      <w:r>
        <w:t>that</w:t>
      </w:r>
      <w:r w:rsidR="00932420">
        <w:t xml:space="preserve"> </w:t>
      </w:r>
      <w:r>
        <w:t>meet</w:t>
      </w:r>
      <w:r w:rsidR="00932420">
        <w:t xml:space="preserve"> </w:t>
      </w:r>
      <w:r>
        <w:t>the</w:t>
      </w:r>
      <w:r w:rsidR="00932420">
        <w:t xml:space="preserve"> </w:t>
      </w:r>
      <w:r>
        <w:t>requirements</w:t>
      </w:r>
      <w:r w:rsidR="00932420">
        <w:t xml:space="preserve"> </w:t>
      </w:r>
      <w:r>
        <w:t>of</w:t>
      </w:r>
      <w:r w:rsidR="00932420">
        <w:t xml:space="preserve"> </w:t>
      </w:r>
      <w:r>
        <w:t>investors</w:t>
      </w:r>
    </w:p>
    <w:p w14:paraId="35E440B3" w14:textId="7288AD0B" w:rsidR="00CA3C5B" w:rsidRDefault="00260033" w:rsidP="00B80DEF">
      <w:pPr>
        <w:pStyle w:val="Bullet"/>
      </w:pPr>
      <w:r>
        <w:t>advising</w:t>
      </w:r>
      <w:r w:rsidR="00932420">
        <w:t xml:space="preserve"> </w:t>
      </w:r>
      <w:r>
        <w:t>on</w:t>
      </w:r>
      <w:r w:rsidR="00932420">
        <w:t xml:space="preserve"> </w:t>
      </w:r>
      <w:r>
        <w:t>approval</w:t>
      </w:r>
      <w:r w:rsidR="00932420">
        <w:t xml:space="preserve"> </w:t>
      </w:r>
      <w:r>
        <w:t>processes</w:t>
      </w:r>
      <w:r w:rsidR="00932420">
        <w:t xml:space="preserve"> </w:t>
      </w:r>
    </w:p>
    <w:p w14:paraId="1092EA3F" w14:textId="6C66D810" w:rsidR="00CA3C5B" w:rsidRDefault="00260033" w:rsidP="00B80DEF">
      <w:pPr>
        <w:pStyle w:val="Bullet"/>
      </w:pPr>
      <w:r>
        <w:t>assisting</w:t>
      </w:r>
      <w:r w:rsidR="00932420">
        <w:t xml:space="preserve"> </w:t>
      </w:r>
      <w:r>
        <w:t>businesses</w:t>
      </w:r>
      <w:r w:rsidR="00932420">
        <w:t xml:space="preserve"> </w:t>
      </w:r>
      <w:r>
        <w:t>to</w:t>
      </w:r>
      <w:r w:rsidR="00932420">
        <w:t xml:space="preserve"> </w:t>
      </w:r>
      <w:r>
        <w:t>understand</w:t>
      </w:r>
      <w:r w:rsidR="00932420">
        <w:t xml:space="preserve"> </w:t>
      </w:r>
      <w:r>
        <w:t>their</w:t>
      </w:r>
      <w:r w:rsidR="00932420">
        <w:t xml:space="preserve"> </w:t>
      </w:r>
      <w:r>
        <w:t>obligations</w:t>
      </w:r>
      <w:r w:rsidR="00932420">
        <w:t xml:space="preserve"> </w:t>
      </w:r>
      <w:r>
        <w:t>in</w:t>
      </w:r>
      <w:r w:rsidR="00932420">
        <w:t xml:space="preserve"> </w:t>
      </w:r>
      <w:r>
        <w:t>preparing</w:t>
      </w:r>
      <w:r w:rsidR="00932420">
        <w:t xml:space="preserve"> </w:t>
      </w:r>
      <w:r>
        <w:t>technical</w:t>
      </w:r>
      <w:r w:rsidR="00932420">
        <w:t xml:space="preserve"> </w:t>
      </w:r>
      <w:r>
        <w:t>studies</w:t>
      </w:r>
      <w:r w:rsidR="00932420">
        <w:t xml:space="preserve"> </w:t>
      </w:r>
      <w:r>
        <w:t>required</w:t>
      </w:r>
      <w:r w:rsidR="00932420">
        <w:t xml:space="preserve"> </w:t>
      </w:r>
      <w:r>
        <w:t>for</w:t>
      </w:r>
      <w:r w:rsidR="00932420">
        <w:t xml:space="preserve"> </w:t>
      </w:r>
      <w:r>
        <w:t>assessing</w:t>
      </w:r>
      <w:r w:rsidR="00932420">
        <w:t xml:space="preserve"> </w:t>
      </w:r>
      <w:r>
        <w:t>development</w:t>
      </w:r>
      <w:r w:rsidR="00932420">
        <w:t xml:space="preserve"> </w:t>
      </w:r>
      <w:r>
        <w:t>proposals</w:t>
      </w:r>
    </w:p>
    <w:p w14:paraId="6F3136D8" w14:textId="4F4F9A23" w:rsidR="00CA3C5B" w:rsidRDefault="00260033" w:rsidP="00B80DEF">
      <w:pPr>
        <w:pStyle w:val="Bullet"/>
      </w:pPr>
      <w:r>
        <w:t>supporting</w:t>
      </w:r>
      <w:r w:rsidR="00932420">
        <w:t xml:space="preserve"> </w:t>
      </w:r>
      <w:r>
        <w:t>companies</w:t>
      </w:r>
      <w:r w:rsidR="00932420">
        <w:t xml:space="preserve"> </w:t>
      </w:r>
      <w:r>
        <w:t>to</w:t>
      </w:r>
      <w:r w:rsidR="00932420">
        <w:t xml:space="preserve"> </w:t>
      </w:r>
      <w:r>
        <w:t>meet</w:t>
      </w:r>
      <w:r w:rsidR="00932420">
        <w:t xml:space="preserve"> </w:t>
      </w:r>
      <w:r>
        <w:t>their</w:t>
      </w:r>
      <w:r w:rsidR="00932420">
        <w:t xml:space="preserve"> </w:t>
      </w:r>
      <w:r>
        <w:t>regulatory</w:t>
      </w:r>
      <w:r w:rsidR="00932420">
        <w:t xml:space="preserve"> </w:t>
      </w:r>
      <w:r>
        <w:t>assessment</w:t>
      </w:r>
      <w:r w:rsidR="00932420">
        <w:t xml:space="preserve"> </w:t>
      </w:r>
      <w:r>
        <w:t>requirements</w:t>
      </w:r>
      <w:r w:rsidR="00932420">
        <w:t xml:space="preserve"> </w:t>
      </w:r>
    </w:p>
    <w:p w14:paraId="4E11F301" w14:textId="2AEB42DC" w:rsidR="00CA3C5B" w:rsidRDefault="00260033" w:rsidP="00B80DEF">
      <w:pPr>
        <w:pStyle w:val="Bulletlast"/>
      </w:pPr>
      <w:r>
        <w:t>providing</w:t>
      </w:r>
      <w:r w:rsidR="00932420">
        <w:t xml:space="preserve"> </w:t>
      </w:r>
      <w:r>
        <w:t>policy</w:t>
      </w:r>
      <w:r w:rsidR="00932420">
        <w:t xml:space="preserve"> </w:t>
      </w:r>
      <w:r>
        <w:t>advice</w:t>
      </w:r>
      <w:r w:rsidR="00932420">
        <w:t xml:space="preserve"> </w:t>
      </w:r>
      <w:r>
        <w:t>and</w:t>
      </w:r>
      <w:r w:rsidR="00932420">
        <w:t xml:space="preserve"> </w:t>
      </w:r>
      <w:r>
        <w:t>advocacy</w:t>
      </w:r>
      <w:r w:rsidR="00932420">
        <w:t xml:space="preserve"> </w:t>
      </w:r>
      <w:r>
        <w:t>across</w:t>
      </w:r>
      <w:r w:rsidR="00932420">
        <w:t xml:space="preserve"> </w:t>
      </w:r>
      <w:r>
        <w:t>government</w:t>
      </w:r>
      <w:r w:rsidR="00932420">
        <w:t xml:space="preserve"> </w:t>
      </w:r>
      <w:r>
        <w:t>on</w:t>
      </w:r>
      <w:r w:rsidR="00932420">
        <w:t xml:space="preserve"> </w:t>
      </w:r>
      <w:r>
        <w:t>key</w:t>
      </w:r>
      <w:r w:rsidR="00932420">
        <w:t xml:space="preserve"> </w:t>
      </w:r>
      <w:r>
        <w:t>regulatory</w:t>
      </w:r>
      <w:r w:rsidR="00932420">
        <w:t xml:space="preserve"> </w:t>
      </w:r>
      <w:r>
        <w:t>settings</w:t>
      </w:r>
      <w:r w:rsidR="00932420">
        <w:t xml:space="preserve"> </w:t>
      </w:r>
      <w:r>
        <w:t>to</w:t>
      </w:r>
      <w:r w:rsidR="00932420">
        <w:t xml:space="preserve"> </w:t>
      </w:r>
      <w:r>
        <w:t>align</w:t>
      </w:r>
      <w:r w:rsidR="00932420">
        <w:t xml:space="preserve"> </w:t>
      </w:r>
      <w:r>
        <w:t>with</w:t>
      </w:r>
      <w:r w:rsidR="00932420">
        <w:t xml:space="preserve"> </w:t>
      </w:r>
      <w:r>
        <w:t>government’s</w:t>
      </w:r>
      <w:r w:rsidR="00932420">
        <w:t xml:space="preserve"> </w:t>
      </w:r>
      <w:r>
        <w:t>economic</w:t>
      </w:r>
      <w:r w:rsidR="00932420">
        <w:t xml:space="preserve"> </w:t>
      </w:r>
      <w:r>
        <w:t>development</w:t>
      </w:r>
      <w:r w:rsidR="00932420">
        <w:t xml:space="preserve"> </w:t>
      </w:r>
      <w:r>
        <w:t>priorities</w:t>
      </w:r>
      <w:r w:rsidR="00932420">
        <w:t xml:space="preserve"> </w:t>
      </w:r>
      <w:r>
        <w:t>to</w:t>
      </w:r>
      <w:r w:rsidR="00932420">
        <w:t xml:space="preserve"> </w:t>
      </w:r>
      <w:r>
        <w:t>ensure</w:t>
      </w:r>
      <w:r w:rsidR="00932420">
        <w:t xml:space="preserve"> </w:t>
      </w:r>
      <w:r>
        <w:t>they</w:t>
      </w:r>
      <w:r w:rsidR="00932420">
        <w:t xml:space="preserve"> </w:t>
      </w:r>
      <w:r>
        <w:t>are</w:t>
      </w:r>
      <w:r w:rsidR="00932420">
        <w:t xml:space="preserve"> </w:t>
      </w:r>
      <w:r>
        <w:t>conducive</w:t>
      </w:r>
      <w:r w:rsidR="00932420">
        <w:t xml:space="preserve"> </w:t>
      </w:r>
      <w:r>
        <w:t>to</w:t>
      </w:r>
      <w:r w:rsidR="00932420">
        <w:t xml:space="preserve"> </w:t>
      </w:r>
      <w:r>
        <w:t>securing</w:t>
      </w:r>
      <w:r w:rsidR="00932420">
        <w:t xml:space="preserve"> </w:t>
      </w:r>
      <w:r>
        <w:t>investment</w:t>
      </w:r>
      <w:r w:rsidR="00932420">
        <w:t xml:space="preserve"> </w:t>
      </w:r>
      <w:r>
        <w:t>and</w:t>
      </w:r>
      <w:r w:rsidR="00932420">
        <w:t xml:space="preserve"> </w:t>
      </w:r>
      <w:r>
        <w:t>facilitating</w:t>
      </w:r>
      <w:r w:rsidR="00932420">
        <w:t xml:space="preserve"> </w:t>
      </w:r>
      <w:r>
        <w:t>economic</w:t>
      </w:r>
      <w:r w:rsidR="00932420">
        <w:t xml:space="preserve"> </w:t>
      </w:r>
      <w:r>
        <w:t>growth.</w:t>
      </w:r>
    </w:p>
    <w:p w14:paraId="21A454FE" w14:textId="7B38B6EE" w:rsidR="00CA3C5B" w:rsidRDefault="00260033" w:rsidP="00B80DEF">
      <w:pPr>
        <w:pStyle w:val="Heading2"/>
      </w:pPr>
      <w:bookmarkStart w:id="20" w:name="_Toc152067220"/>
      <w:r>
        <w:lastRenderedPageBreak/>
        <w:t>Performance</w:t>
      </w:r>
      <w:r w:rsidR="00932420">
        <w:t xml:space="preserve"> </w:t>
      </w:r>
      <w:r>
        <w:t>against</w:t>
      </w:r>
      <w:r w:rsidR="00932420">
        <w:t xml:space="preserve"> </w:t>
      </w:r>
      <w:r>
        <w:t>output</w:t>
      </w:r>
      <w:r w:rsidR="00932420">
        <w:t xml:space="preserve"> </w:t>
      </w:r>
      <w:r>
        <w:t>performance</w:t>
      </w:r>
      <w:r w:rsidR="00932420">
        <w:t xml:space="preserve"> </w:t>
      </w:r>
      <w:r>
        <w:t>measures</w:t>
      </w:r>
      <w:bookmarkEnd w:id="20"/>
    </w:p>
    <w:p w14:paraId="385D4FC4" w14:textId="17A6A3D8" w:rsidR="00CA3C5B" w:rsidRDefault="00260033" w:rsidP="00B80DEF">
      <w:pPr>
        <w:keepLines/>
      </w:pPr>
      <w:r>
        <w:t>Table</w:t>
      </w:r>
      <w:r w:rsidR="00932420">
        <w:t xml:space="preserve"> </w:t>
      </w:r>
      <w:r>
        <w:t>9</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Trade</w:t>
      </w:r>
      <w:r w:rsidR="00932420">
        <w:t xml:space="preserve"> </w:t>
      </w:r>
      <w:r>
        <w:t>and</w:t>
      </w:r>
      <w:r w:rsidR="00932420">
        <w:t xml:space="preserve"> </w:t>
      </w:r>
      <w:r>
        <w:t>Investment</w:t>
      </w:r>
      <w:r w:rsidR="00932420">
        <w:t xml:space="preserve"> </w:t>
      </w:r>
      <w:r>
        <w:t>output.</w:t>
      </w:r>
      <w:r w:rsidR="00932420">
        <w:t xml:space="preserve"> </w:t>
      </w:r>
      <w:r>
        <w:t>This</w:t>
      </w:r>
      <w:r w:rsidR="00932420">
        <w:t xml:space="preserve"> </w:t>
      </w:r>
      <w:r>
        <w:t>output</w:t>
      </w:r>
      <w:r w:rsidR="00932420">
        <w:t xml:space="preserve"> </w:t>
      </w:r>
      <w:r>
        <w:t>promotes</w:t>
      </w:r>
      <w:r w:rsidR="00932420">
        <w:t xml:space="preserve"> </w:t>
      </w:r>
      <w:r>
        <w:t>Victoria’s</w:t>
      </w:r>
      <w:r w:rsidR="00932420">
        <w:t xml:space="preserve"> </w:t>
      </w:r>
      <w:r>
        <w:t>global</w:t>
      </w:r>
      <w:r w:rsidR="00932420">
        <w:t xml:space="preserve"> </w:t>
      </w:r>
      <w:r>
        <w:t>engagement</w:t>
      </w:r>
      <w:r w:rsidR="00932420">
        <w:t xml:space="preserve"> </w:t>
      </w:r>
      <w:r>
        <w:t>activities</w:t>
      </w:r>
      <w:r w:rsidR="00932420">
        <w:t xml:space="preserve"> </w:t>
      </w:r>
      <w:r>
        <w:t>which</w:t>
      </w:r>
      <w:r w:rsidR="00932420">
        <w:t xml:space="preserve"> </w:t>
      </w:r>
      <w:r>
        <w:t>seeks</w:t>
      </w:r>
      <w:r w:rsidR="00932420">
        <w:t xml:space="preserve"> </w:t>
      </w:r>
      <w:r>
        <w:t>to</w:t>
      </w:r>
      <w:r w:rsidR="00932420">
        <w:t xml:space="preserve"> </w:t>
      </w:r>
      <w:r>
        <w:t>secure</w:t>
      </w:r>
      <w:r w:rsidR="00932420">
        <w:t xml:space="preserve"> </w:t>
      </w:r>
      <w:r>
        <w:t>trade</w:t>
      </w:r>
      <w:r w:rsidR="00932420">
        <w:t xml:space="preserve"> </w:t>
      </w:r>
      <w:r>
        <w:t>and</w:t>
      </w:r>
      <w:r w:rsidR="00932420">
        <w:t xml:space="preserve"> </w:t>
      </w:r>
      <w:r>
        <w:t>international</w:t>
      </w:r>
      <w:r w:rsidR="00932420">
        <w:t xml:space="preserve"> </w:t>
      </w:r>
      <w:r>
        <w:t>investment</w:t>
      </w:r>
      <w:r w:rsidR="00932420">
        <w:t xml:space="preserve"> </w:t>
      </w:r>
      <w:r>
        <w:t>outcomes</w:t>
      </w:r>
      <w:r w:rsidR="00932420">
        <w:t xml:space="preserve"> </w:t>
      </w:r>
      <w:r>
        <w:t>for</w:t>
      </w:r>
      <w:r w:rsidR="00932420">
        <w:t xml:space="preserve"> </w:t>
      </w:r>
      <w:r>
        <w:t>the</w:t>
      </w:r>
      <w:r w:rsidR="00932420">
        <w:t xml:space="preserve"> </w:t>
      </w:r>
      <w:r>
        <w:t>State</w:t>
      </w:r>
      <w:r w:rsidR="00932420">
        <w:t xml:space="preserve"> </w:t>
      </w:r>
      <w:r>
        <w:t>through</w:t>
      </w:r>
      <w:r w:rsidR="00932420">
        <w:t xml:space="preserve"> </w:t>
      </w:r>
      <w:r>
        <w:t>a</w:t>
      </w:r>
      <w:r w:rsidR="00932420">
        <w:t xml:space="preserve"> </w:t>
      </w:r>
      <w:r>
        <w:t>range</w:t>
      </w:r>
      <w:r w:rsidR="00932420">
        <w:t xml:space="preserve"> </w:t>
      </w:r>
      <w:r>
        <w:t>of</w:t>
      </w:r>
      <w:r w:rsidR="00932420">
        <w:t xml:space="preserve"> </w:t>
      </w:r>
      <w:r>
        <w:t>promotion</w:t>
      </w:r>
      <w:r w:rsidR="00932420">
        <w:t xml:space="preserve"> </w:t>
      </w:r>
      <w:r>
        <w:t>and</w:t>
      </w:r>
      <w:r w:rsidR="00932420">
        <w:t xml:space="preserve"> </w:t>
      </w:r>
      <w:r>
        <w:t>facilitation</w:t>
      </w:r>
      <w:r w:rsidR="00932420">
        <w:t xml:space="preserve"> </w:t>
      </w:r>
      <w:r>
        <w:t>activities</w:t>
      </w:r>
      <w:r w:rsidR="00932420">
        <w:t xml:space="preserve"> </w:t>
      </w:r>
      <w:r>
        <w:t>in</w:t>
      </w:r>
      <w:r w:rsidR="00932420">
        <w:t xml:space="preserve"> </w:t>
      </w:r>
      <w:r>
        <w:t>addition</w:t>
      </w:r>
      <w:r w:rsidR="00932420">
        <w:t xml:space="preserve"> </w:t>
      </w:r>
      <w:r>
        <w:t>to</w:t>
      </w:r>
      <w:r w:rsidR="00932420">
        <w:t xml:space="preserve"> </w:t>
      </w:r>
      <w:r>
        <w:t>providing</w:t>
      </w:r>
      <w:r w:rsidR="00932420">
        <w:t xml:space="preserve"> </w:t>
      </w:r>
      <w:r>
        <w:t>policy</w:t>
      </w:r>
      <w:r w:rsidR="00932420">
        <w:t xml:space="preserve"> </w:t>
      </w:r>
      <w:r>
        <w:t>advice</w:t>
      </w:r>
      <w:r w:rsidR="00932420">
        <w:t xml:space="preserve"> </w:t>
      </w:r>
      <w:r>
        <w:t>to</w:t>
      </w:r>
      <w:r w:rsidR="00932420">
        <w:t xml:space="preserve"> </w:t>
      </w:r>
      <w:r>
        <w:t>improve</w:t>
      </w:r>
      <w:r w:rsidR="00932420">
        <w:t xml:space="preserve"> </w:t>
      </w:r>
      <w:r>
        <w:t>the</w:t>
      </w:r>
      <w:r w:rsidR="00932420">
        <w:t xml:space="preserve"> </w:t>
      </w:r>
      <w:r>
        <w:t>attractiveness</w:t>
      </w:r>
      <w:r w:rsidR="00932420">
        <w:t xml:space="preserve"> </w:t>
      </w:r>
      <w:r>
        <w:t>of</w:t>
      </w:r>
      <w:r w:rsidR="00932420">
        <w:t xml:space="preserve"> </w:t>
      </w:r>
      <w:r>
        <w:t>Victorian</w:t>
      </w:r>
      <w:r w:rsidR="00932420">
        <w:t xml:space="preserve"> </w:t>
      </w:r>
      <w:r>
        <w:t>exports</w:t>
      </w:r>
      <w:r w:rsidR="00932420">
        <w:t xml:space="preserve"> </w:t>
      </w:r>
      <w:r>
        <w:t>and</w:t>
      </w:r>
      <w:r w:rsidR="00932420">
        <w:t xml:space="preserve"> </w:t>
      </w:r>
      <w:r>
        <w:t>as</w:t>
      </w:r>
      <w:r w:rsidR="00932420">
        <w:t xml:space="preserve"> </w:t>
      </w:r>
      <w:r>
        <w:t>an</w:t>
      </w:r>
      <w:r w:rsidR="00932420">
        <w:t xml:space="preserve"> </w:t>
      </w:r>
      <w:r>
        <w:t>international</w:t>
      </w:r>
      <w:r w:rsidR="00932420">
        <w:t xml:space="preserve"> </w:t>
      </w:r>
      <w:r>
        <w:t>investment</w:t>
      </w:r>
      <w:r w:rsidR="00932420">
        <w:t xml:space="preserve"> </w:t>
      </w:r>
      <w:r>
        <w:t>destination.</w:t>
      </w:r>
    </w:p>
    <w:p w14:paraId="6EC9F495" w14:textId="6608F305" w:rsidR="00CA3C5B" w:rsidRDefault="00260033" w:rsidP="00B80DEF">
      <w:pPr>
        <w:pStyle w:val="Normalbeforebullets"/>
      </w:pPr>
      <w:r>
        <w:t>This</w:t>
      </w:r>
      <w:r w:rsidR="00932420">
        <w:t xml:space="preserve"> </w:t>
      </w:r>
      <w:r>
        <w:t>output</w:t>
      </w:r>
      <w:r w:rsidR="00932420">
        <w:t xml:space="preserve"> </w:t>
      </w:r>
      <w:r>
        <w:t>also</w:t>
      </w:r>
      <w:r w:rsidR="00932420">
        <w:t xml:space="preserve"> </w:t>
      </w:r>
      <w:r>
        <w:t>provides</w:t>
      </w:r>
      <w:r w:rsidR="00932420">
        <w:t xml:space="preserve"> </w:t>
      </w:r>
      <w:r>
        <w:t>support</w:t>
      </w:r>
      <w:r w:rsidR="00932420">
        <w:t xml:space="preserve"> </w:t>
      </w:r>
      <w:r>
        <w:t>and</w:t>
      </w:r>
      <w:r w:rsidR="00932420">
        <w:t xml:space="preserve"> </w:t>
      </w:r>
      <w:r>
        <w:t>advice</w:t>
      </w:r>
      <w:r w:rsidR="00932420">
        <w:t xml:space="preserve"> </w:t>
      </w:r>
      <w:r>
        <w:t>to</w:t>
      </w:r>
      <w:r w:rsidR="00932420">
        <w:t xml:space="preserve"> </w:t>
      </w:r>
      <w:r>
        <w:t>Government</w:t>
      </w:r>
      <w:r w:rsidR="00932420">
        <w:t xml:space="preserve"> </w:t>
      </w:r>
      <w:r>
        <w:t>on</w:t>
      </w:r>
      <w:r w:rsidR="00932420">
        <w:t xml:space="preserve"> </w:t>
      </w:r>
      <w:r>
        <w:t>strengthening</w:t>
      </w:r>
      <w:r w:rsidR="00932420">
        <w:t xml:space="preserve"> </w:t>
      </w:r>
      <w:r>
        <w:t>Victoria’s</w:t>
      </w:r>
      <w:r w:rsidR="00932420">
        <w:t xml:space="preserve"> </w:t>
      </w:r>
      <w:r>
        <w:t>economic</w:t>
      </w:r>
      <w:r w:rsidR="00932420">
        <w:t xml:space="preserve"> </w:t>
      </w:r>
      <w:r>
        <w:t>performance,</w:t>
      </w:r>
      <w:r w:rsidR="00932420">
        <w:t xml:space="preserve"> </w:t>
      </w:r>
      <w:r>
        <w:t>including</w:t>
      </w:r>
      <w:r w:rsidR="00932420">
        <w:t xml:space="preserve"> </w:t>
      </w:r>
      <w:r>
        <w:t>in</w:t>
      </w:r>
      <w:r w:rsidR="00932420">
        <w:t xml:space="preserve"> </w:t>
      </w:r>
      <w:r>
        <w:t>relation</w:t>
      </w:r>
      <w:r w:rsidR="00932420">
        <w:t xml:space="preserve"> </w:t>
      </w:r>
      <w:r>
        <w:t>to:</w:t>
      </w:r>
    </w:p>
    <w:p w14:paraId="54B8E4ED" w14:textId="6D0CA602" w:rsidR="00CA3C5B" w:rsidRDefault="00260033" w:rsidP="00B80DEF">
      <w:pPr>
        <w:pStyle w:val="Bullet"/>
      </w:pPr>
      <w:r>
        <w:t>ensuring</w:t>
      </w:r>
      <w:r w:rsidR="00932420">
        <w:t xml:space="preserve"> </w:t>
      </w:r>
      <w:r>
        <w:t>Victoria</w:t>
      </w:r>
      <w:r w:rsidR="00932420">
        <w:t xml:space="preserve"> </w:t>
      </w:r>
      <w:r>
        <w:t>is</w:t>
      </w:r>
      <w:r w:rsidR="00932420">
        <w:t xml:space="preserve"> </w:t>
      </w:r>
      <w:r>
        <w:t>a</w:t>
      </w:r>
      <w:r w:rsidR="00932420">
        <w:t xml:space="preserve"> </w:t>
      </w:r>
      <w:r>
        <w:t>leading</w:t>
      </w:r>
      <w:r w:rsidR="00932420">
        <w:t xml:space="preserve"> </w:t>
      </w:r>
      <w:r>
        <w:t>destination</w:t>
      </w:r>
      <w:r w:rsidR="00932420">
        <w:t xml:space="preserve"> </w:t>
      </w:r>
      <w:r>
        <w:t>for</w:t>
      </w:r>
      <w:r w:rsidR="00932420">
        <w:t xml:space="preserve"> </w:t>
      </w:r>
      <w:r>
        <w:t>business,</w:t>
      </w:r>
      <w:r w:rsidR="00932420">
        <w:t xml:space="preserve"> </w:t>
      </w:r>
      <w:proofErr w:type="gramStart"/>
      <w:r>
        <w:t>innovation</w:t>
      </w:r>
      <w:proofErr w:type="gramEnd"/>
      <w:r w:rsidR="00932420">
        <w:t xml:space="preserve"> </w:t>
      </w:r>
      <w:r>
        <w:t>and</w:t>
      </w:r>
      <w:r w:rsidR="00932420">
        <w:t xml:space="preserve"> </w:t>
      </w:r>
      <w:r>
        <w:t>talent</w:t>
      </w:r>
    </w:p>
    <w:p w14:paraId="5433280C" w14:textId="5374DE2D" w:rsidR="00CA3C5B" w:rsidRDefault="00260033" w:rsidP="00B80DEF">
      <w:pPr>
        <w:pStyle w:val="Bullet"/>
      </w:pPr>
      <w:r>
        <w:t>continuous</w:t>
      </w:r>
      <w:r w:rsidR="00932420">
        <w:t xml:space="preserve"> </w:t>
      </w:r>
      <w:r>
        <w:t>enhancement</w:t>
      </w:r>
      <w:r w:rsidR="00932420">
        <w:t xml:space="preserve"> </w:t>
      </w:r>
      <w:r>
        <w:t>of</w:t>
      </w:r>
      <w:r w:rsidR="00932420">
        <w:t xml:space="preserve"> </w:t>
      </w:r>
      <w:r>
        <w:t>Victoria’s</w:t>
      </w:r>
      <w:r w:rsidR="00932420">
        <w:t xml:space="preserve"> </w:t>
      </w:r>
      <w:r>
        <w:t>approach</w:t>
      </w:r>
      <w:r w:rsidR="00932420">
        <w:t xml:space="preserve"> </w:t>
      </w:r>
      <w:r>
        <w:t>to</w:t>
      </w:r>
      <w:r w:rsidR="00932420">
        <w:t xml:space="preserve"> </w:t>
      </w:r>
      <w:r>
        <w:t>investment</w:t>
      </w:r>
      <w:r w:rsidR="00932420">
        <w:t xml:space="preserve"> </w:t>
      </w:r>
      <w:r>
        <w:t>attraction</w:t>
      </w:r>
    </w:p>
    <w:p w14:paraId="499426EE" w14:textId="4B40733D" w:rsidR="00CA3C5B" w:rsidRDefault="00260033" w:rsidP="00B80DEF">
      <w:pPr>
        <w:pStyle w:val="Bullet"/>
      </w:pPr>
      <w:r>
        <w:t>enhancing</w:t>
      </w:r>
      <w:r w:rsidR="00932420">
        <w:t xml:space="preserve"> </w:t>
      </w:r>
      <w:r>
        <w:t>Victoria’s</w:t>
      </w:r>
      <w:r w:rsidR="00932420">
        <w:t xml:space="preserve"> </w:t>
      </w:r>
      <w:r>
        <w:t>business</w:t>
      </w:r>
      <w:r w:rsidR="00932420">
        <w:t xml:space="preserve"> </w:t>
      </w:r>
      <w:r>
        <w:t>investment</w:t>
      </w:r>
      <w:r w:rsidR="00932420">
        <w:t xml:space="preserve"> </w:t>
      </w:r>
      <w:r>
        <w:t>environment</w:t>
      </w:r>
    </w:p>
    <w:p w14:paraId="53A658BE" w14:textId="450B0EF6" w:rsidR="00CA3C5B" w:rsidRDefault="00260033" w:rsidP="00B80DEF">
      <w:pPr>
        <w:pStyle w:val="Bullet"/>
      </w:pPr>
      <w:r>
        <w:t>helping</w:t>
      </w:r>
      <w:r w:rsidR="00932420">
        <w:t xml:space="preserve"> </w:t>
      </w:r>
      <w:r>
        <w:t>Victorian</w:t>
      </w:r>
      <w:r w:rsidR="00932420">
        <w:t xml:space="preserve"> </w:t>
      </w:r>
      <w:r>
        <w:t>businesses</w:t>
      </w:r>
      <w:r w:rsidR="00932420">
        <w:t xml:space="preserve"> </w:t>
      </w:r>
      <w:r>
        <w:t>successfully</w:t>
      </w:r>
      <w:r w:rsidR="00932420">
        <w:t xml:space="preserve"> </w:t>
      </w:r>
      <w:r>
        <w:t>trade</w:t>
      </w:r>
      <w:r w:rsidR="00932420">
        <w:t xml:space="preserve"> </w:t>
      </w:r>
      <w:r>
        <w:t>into</w:t>
      </w:r>
      <w:r w:rsidR="00932420">
        <w:t xml:space="preserve"> </w:t>
      </w:r>
      <w:r>
        <w:t>global</w:t>
      </w:r>
      <w:r w:rsidR="00932420">
        <w:t xml:space="preserve"> </w:t>
      </w:r>
      <w:r>
        <w:t>markets</w:t>
      </w:r>
    </w:p>
    <w:p w14:paraId="2FA75A86" w14:textId="242BF708" w:rsidR="00CA3C5B" w:rsidRDefault="00260033" w:rsidP="00B80DEF">
      <w:pPr>
        <w:pStyle w:val="Bulletlast"/>
      </w:pPr>
      <w:r>
        <w:t>growing</w:t>
      </w:r>
      <w:r w:rsidR="00932420">
        <w:t xml:space="preserve"> </w:t>
      </w:r>
      <w:r>
        <w:t>Victoria’s</w:t>
      </w:r>
      <w:r w:rsidR="00932420">
        <w:t xml:space="preserve"> </w:t>
      </w:r>
      <w:r>
        <w:t>market</w:t>
      </w:r>
      <w:r w:rsidR="00932420">
        <w:t xml:space="preserve"> </w:t>
      </w:r>
      <w:r>
        <w:t>share</w:t>
      </w:r>
      <w:r w:rsidR="00932420">
        <w:t xml:space="preserve"> </w:t>
      </w:r>
      <w:r>
        <w:t>of</w:t>
      </w:r>
      <w:r w:rsidR="00932420">
        <w:t xml:space="preserve"> </w:t>
      </w:r>
      <w:r>
        <w:t>international</w:t>
      </w:r>
      <w:r w:rsidR="00932420">
        <w:t xml:space="preserve"> </w:t>
      </w:r>
      <w:r>
        <w:t>student</w:t>
      </w:r>
      <w:r w:rsidR="00932420">
        <w:t xml:space="preserve"> </w:t>
      </w:r>
      <w:r>
        <w:t>enrolments</w:t>
      </w:r>
      <w:r w:rsidR="00932420">
        <w:t xml:space="preserve"> </w:t>
      </w:r>
      <w:r>
        <w:t>in</w:t>
      </w:r>
      <w:r w:rsidR="00932420">
        <w:t xml:space="preserve"> </w:t>
      </w:r>
      <w:r>
        <w:t>Australia.</w:t>
      </w:r>
    </w:p>
    <w:p w14:paraId="424896EE" w14:textId="1C32DAFE" w:rsidR="00CA3C5B" w:rsidRDefault="00260033" w:rsidP="00B80DEF">
      <w:pPr>
        <w:pStyle w:val="TableHeading"/>
      </w:pPr>
      <w:r>
        <w:t>Table</w:t>
      </w:r>
      <w:r w:rsidR="00932420">
        <w:t xml:space="preserve"> </w:t>
      </w:r>
      <w:r>
        <w:t>9:</w:t>
      </w:r>
      <w:r w:rsidR="00932420">
        <w:t xml:space="preserve"> </w:t>
      </w:r>
      <w:r>
        <w:t>Output</w:t>
      </w:r>
      <w:r w:rsidR="00932420">
        <w:t xml:space="preserve"> </w:t>
      </w:r>
      <w:r>
        <w:t>–</w:t>
      </w:r>
      <w:r w:rsidR="00932420">
        <w:t xml:space="preserve"> </w:t>
      </w:r>
      <w:r>
        <w:t>Trade</w:t>
      </w:r>
      <w:r w:rsidR="00932420">
        <w:t xml:space="preserve"> </w:t>
      </w:r>
      <w:r>
        <w:t>and</w:t>
      </w:r>
      <w:r w:rsidR="00932420">
        <w:t xml:space="preserve"> </w:t>
      </w:r>
      <w:r>
        <w:t>Investment</w:t>
      </w:r>
    </w:p>
    <w:p w14:paraId="6607F778" w14:textId="24635CB2" w:rsidR="00B80DEF" w:rsidRDefault="00B80DEF" w:rsidP="00B80DEF">
      <w:pPr>
        <w:pStyle w:val="Normalbeforebullets"/>
        <w:rPr>
          <w:b/>
          <w:bCs/>
        </w:rPr>
      </w:pPr>
      <w:r w:rsidRPr="00B80DEF">
        <w:rPr>
          <w:b/>
          <w:bCs/>
        </w:rPr>
        <w:t>Investment Attraction</w:t>
      </w:r>
    </w:p>
    <w:p w14:paraId="12E7D223" w14:textId="1B46A026" w:rsidR="00B80DEF" w:rsidRPr="00B80DEF" w:rsidRDefault="00B80DEF" w:rsidP="00B80DEF">
      <w:r>
        <w:t>This sub-output contributes to strengthening Victoria’s economic performance through facilitating private sector investment in Victoria. This is achieved through securing investments with facilitation support, grants or access to finance initiatives that enhance productivity, by introducing new skills and capabilities to the Victorian economy.</w:t>
      </w:r>
    </w:p>
    <w:tbl>
      <w:tblPr>
        <w:tblStyle w:val="TableGrid"/>
        <w:tblW w:w="9984" w:type="dxa"/>
        <w:tblLayout w:type="fixed"/>
        <w:tblLook w:val="0020" w:firstRow="1" w:lastRow="0" w:firstColumn="0" w:lastColumn="0" w:noHBand="0" w:noVBand="0"/>
      </w:tblPr>
      <w:tblGrid>
        <w:gridCol w:w="4673"/>
        <w:gridCol w:w="1172"/>
        <w:gridCol w:w="963"/>
        <w:gridCol w:w="953"/>
        <w:gridCol w:w="1428"/>
        <w:gridCol w:w="795"/>
      </w:tblGrid>
      <w:tr w:rsidR="00CA3C5B" w:rsidRPr="007C691A" w14:paraId="569EB6BE" w14:textId="77777777" w:rsidTr="00DA783E">
        <w:trPr>
          <w:cantSplit/>
          <w:tblHeader/>
        </w:trPr>
        <w:tc>
          <w:tcPr>
            <w:tcW w:w="4673" w:type="dxa"/>
          </w:tcPr>
          <w:p w14:paraId="3862D44C" w14:textId="3C0BDEE5" w:rsidR="00CA3C5B" w:rsidRPr="007C691A" w:rsidRDefault="00260033" w:rsidP="007C691A">
            <w:pPr>
              <w:pStyle w:val="TableColumnHeading"/>
              <w:rPr>
                <w:sz w:val="21"/>
                <w:szCs w:val="21"/>
              </w:rPr>
            </w:pPr>
            <w:bookmarkStart w:id="21" w:name="ColumnTitle_9"/>
            <w:bookmarkEnd w:id="21"/>
            <w:r w:rsidRPr="007C691A">
              <w:rPr>
                <w:sz w:val="21"/>
                <w:szCs w:val="21"/>
              </w:rPr>
              <w:t>Performance</w:t>
            </w:r>
            <w:r w:rsidR="00932420" w:rsidRPr="007C691A">
              <w:rPr>
                <w:sz w:val="21"/>
                <w:szCs w:val="21"/>
              </w:rPr>
              <w:t xml:space="preserve"> </w:t>
            </w:r>
            <w:r w:rsidRPr="007C691A">
              <w:rPr>
                <w:sz w:val="21"/>
                <w:szCs w:val="21"/>
              </w:rPr>
              <w:t>measures</w:t>
            </w:r>
          </w:p>
        </w:tc>
        <w:tc>
          <w:tcPr>
            <w:tcW w:w="1172" w:type="dxa"/>
          </w:tcPr>
          <w:p w14:paraId="42772C52" w14:textId="70717E1E" w:rsidR="00CA3C5B" w:rsidRPr="007C691A" w:rsidRDefault="00260033" w:rsidP="007C691A">
            <w:pPr>
              <w:pStyle w:val="TableColumnHeading"/>
              <w:rPr>
                <w:sz w:val="21"/>
                <w:szCs w:val="21"/>
              </w:rPr>
            </w:pPr>
            <w:r w:rsidRPr="007C691A">
              <w:rPr>
                <w:sz w:val="21"/>
                <w:szCs w:val="21"/>
              </w:rPr>
              <w:t>Unit</w:t>
            </w:r>
            <w:r w:rsidR="00932420" w:rsidRPr="007C691A">
              <w:rPr>
                <w:sz w:val="21"/>
                <w:szCs w:val="21"/>
              </w:rPr>
              <w:t xml:space="preserve"> </w:t>
            </w:r>
            <w:r w:rsidRPr="007C691A">
              <w:rPr>
                <w:sz w:val="21"/>
                <w:szCs w:val="21"/>
              </w:rPr>
              <w:t>of</w:t>
            </w:r>
            <w:r w:rsidR="00932420" w:rsidRPr="007C691A">
              <w:rPr>
                <w:sz w:val="21"/>
                <w:szCs w:val="21"/>
              </w:rPr>
              <w:t xml:space="preserve"> </w:t>
            </w:r>
            <w:r w:rsidRPr="007C691A">
              <w:rPr>
                <w:sz w:val="21"/>
                <w:szCs w:val="21"/>
              </w:rPr>
              <w:t>Measure</w:t>
            </w:r>
          </w:p>
        </w:tc>
        <w:tc>
          <w:tcPr>
            <w:tcW w:w="963" w:type="dxa"/>
          </w:tcPr>
          <w:p w14:paraId="70EC0EEB" w14:textId="7147982B" w:rsidR="00CA3C5B" w:rsidRPr="007C691A" w:rsidRDefault="00260033" w:rsidP="00DA783E">
            <w:pPr>
              <w:pStyle w:val="TableColumnHeading"/>
              <w:jc w:val="right"/>
              <w:rPr>
                <w:sz w:val="21"/>
                <w:szCs w:val="21"/>
              </w:rPr>
            </w:pPr>
            <w:r w:rsidRPr="007C691A">
              <w:rPr>
                <w:sz w:val="21"/>
                <w:szCs w:val="21"/>
              </w:rPr>
              <w:t>2022–23</w:t>
            </w:r>
            <w:r w:rsidR="007C691A">
              <w:rPr>
                <w:sz w:val="21"/>
                <w:szCs w:val="21"/>
              </w:rPr>
              <w:t xml:space="preserve"> </w:t>
            </w:r>
            <w:r w:rsidRPr="007C691A">
              <w:rPr>
                <w:sz w:val="21"/>
                <w:szCs w:val="21"/>
              </w:rPr>
              <w:t>Actual</w:t>
            </w:r>
          </w:p>
        </w:tc>
        <w:tc>
          <w:tcPr>
            <w:tcW w:w="953" w:type="dxa"/>
          </w:tcPr>
          <w:p w14:paraId="2B053200" w14:textId="1D67F3C8" w:rsidR="00CA3C5B" w:rsidRPr="007C691A" w:rsidRDefault="00260033" w:rsidP="00DA783E">
            <w:pPr>
              <w:pStyle w:val="TableColumnHeading"/>
              <w:jc w:val="right"/>
              <w:rPr>
                <w:sz w:val="21"/>
                <w:szCs w:val="21"/>
              </w:rPr>
            </w:pPr>
            <w:r w:rsidRPr="007C691A">
              <w:rPr>
                <w:sz w:val="21"/>
                <w:szCs w:val="21"/>
              </w:rPr>
              <w:t>2022–23</w:t>
            </w:r>
            <w:r w:rsidR="00932420" w:rsidRPr="007C691A">
              <w:rPr>
                <w:sz w:val="21"/>
                <w:szCs w:val="21"/>
              </w:rPr>
              <w:t xml:space="preserve"> </w:t>
            </w:r>
            <w:r w:rsidRPr="007C691A">
              <w:rPr>
                <w:sz w:val="21"/>
                <w:szCs w:val="21"/>
              </w:rPr>
              <w:t>Target</w:t>
            </w:r>
          </w:p>
        </w:tc>
        <w:tc>
          <w:tcPr>
            <w:tcW w:w="1428" w:type="dxa"/>
          </w:tcPr>
          <w:p w14:paraId="015C01BF" w14:textId="4CBB7224" w:rsidR="00CA3C5B" w:rsidRPr="007C691A" w:rsidRDefault="00260033" w:rsidP="00DA783E">
            <w:pPr>
              <w:pStyle w:val="TableColumnHeading"/>
              <w:jc w:val="right"/>
              <w:rPr>
                <w:sz w:val="21"/>
                <w:szCs w:val="21"/>
              </w:rPr>
            </w:pPr>
            <w:r w:rsidRPr="007C691A">
              <w:rPr>
                <w:sz w:val="21"/>
                <w:szCs w:val="21"/>
              </w:rPr>
              <w:t>Performance</w:t>
            </w:r>
            <w:r w:rsidR="00932420" w:rsidRPr="007C691A">
              <w:rPr>
                <w:sz w:val="21"/>
                <w:szCs w:val="21"/>
              </w:rPr>
              <w:t xml:space="preserve"> </w:t>
            </w:r>
            <w:r w:rsidRPr="007C691A">
              <w:rPr>
                <w:sz w:val="21"/>
                <w:szCs w:val="21"/>
              </w:rPr>
              <w:t>variation</w:t>
            </w:r>
            <w:r w:rsidR="00932420" w:rsidRPr="007C691A">
              <w:rPr>
                <w:sz w:val="21"/>
                <w:szCs w:val="21"/>
              </w:rPr>
              <w:t xml:space="preserve"> </w:t>
            </w:r>
            <w:r w:rsidRPr="007C691A">
              <w:rPr>
                <w:sz w:val="21"/>
                <w:szCs w:val="21"/>
              </w:rPr>
              <w:t>(%)</w:t>
            </w:r>
          </w:p>
        </w:tc>
        <w:tc>
          <w:tcPr>
            <w:tcW w:w="795" w:type="dxa"/>
          </w:tcPr>
          <w:p w14:paraId="41BBA466" w14:textId="77777777" w:rsidR="00CA3C5B" w:rsidRPr="007C691A" w:rsidRDefault="00260033" w:rsidP="00DA783E">
            <w:pPr>
              <w:pStyle w:val="TableColumnHeading"/>
              <w:jc w:val="right"/>
              <w:rPr>
                <w:sz w:val="21"/>
                <w:szCs w:val="21"/>
              </w:rPr>
            </w:pPr>
            <w:r w:rsidRPr="007C691A">
              <w:rPr>
                <w:sz w:val="21"/>
                <w:szCs w:val="21"/>
              </w:rPr>
              <w:t>Result</w:t>
            </w:r>
          </w:p>
        </w:tc>
      </w:tr>
      <w:tr w:rsidR="007C691A" w14:paraId="1AD30862" w14:textId="77777777" w:rsidTr="00DA783E">
        <w:trPr>
          <w:cantSplit/>
        </w:trPr>
        <w:tc>
          <w:tcPr>
            <w:tcW w:w="4673" w:type="dxa"/>
          </w:tcPr>
          <w:p w14:paraId="67C1F561" w14:textId="35FE5C5C" w:rsidR="007C691A" w:rsidRDefault="007C691A" w:rsidP="007C691A">
            <w:pPr>
              <w:pStyle w:val="TableHeading"/>
            </w:pPr>
            <w:r>
              <w:t>Quantity</w:t>
            </w:r>
          </w:p>
        </w:tc>
        <w:tc>
          <w:tcPr>
            <w:tcW w:w="1172" w:type="dxa"/>
          </w:tcPr>
          <w:p w14:paraId="16EF6A99" w14:textId="77777777" w:rsidR="007C691A" w:rsidRPr="007C691A" w:rsidRDefault="007C691A" w:rsidP="007C691A">
            <w:pPr>
              <w:pStyle w:val="TableCopy"/>
            </w:pPr>
          </w:p>
        </w:tc>
        <w:tc>
          <w:tcPr>
            <w:tcW w:w="963" w:type="dxa"/>
          </w:tcPr>
          <w:p w14:paraId="79D939AF" w14:textId="77777777" w:rsidR="007C691A" w:rsidRPr="007C691A" w:rsidRDefault="007C691A" w:rsidP="00DA783E">
            <w:pPr>
              <w:pStyle w:val="TableCopy"/>
              <w:jc w:val="right"/>
            </w:pPr>
          </w:p>
        </w:tc>
        <w:tc>
          <w:tcPr>
            <w:tcW w:w="953" w:type="dxa"/>
          </w:tcPr>
          <w:p w14:paraId="1D86E111" w14:textId="77777777" w:rsidR="007C691A" w:rsidRPr="007C691A" w:rsidRDefault="007C691A" w:rsidP="00DA783E">
            <w:pPr>
              <w:pStyle w:val="TableCopy"/>
              <w:jc w:val="right"/>
            </w:pPr>
          </w:p>
        </w:tc>
        <w:tc>
          <w:tcPr>
            <w:tcW w:w="1428" w:type="dxa"/>
          </w:tcPr>
          <w:p w14:paraId="5A7511A1" w14:textId="77777777" w:rsidR="007C691A" w:rsidRPr="007C691A" w:rsidRDefault="007C691A" w:rsidP="00DA783E">
            <w:pPr>
              <w:pStyle w:val="TableCopy"/>
              <w:jc w:val="right"/>
            </w:pPr>
          </w:p>
        </w:tc>
        <w:tc>
          <w:tcPr>
            <w:tcW w:w="795" w:type="dxa"/>
          </w:tcPr>
          <w:p w14:paraId="58324021" w14:textId="77777777" w:rsidR="007C691A" w:rsidRPr="007C691A" w:rsidRDefault="007C691A" w:rsidP="00DA783E">
            <w:pPr>
              <w:pStyle w:val="TableCopy"/>
              <w:jc w:val="right"/>
            </w:pPr>
          </w:p>
        </w:tc>
      </w:tr>
      <w:tr w:rsidR="00CA3C5B" w14:paraId="6D61930E" w14:textId="77777777" w:rsidTr="00DA783E">
        <w:trPr>
          <w:cantSplit/>
        </w:trPr>
        <w:tc>
          <w:tcPr>
            <w:tcW w:w="4673" w:type="dxa"/>
          </w:tcPr>
          <w:p w14:paraId="4A72F50D" w14:textId="77777777" w:rsidR="00CA3C5B" w:rsidRDefault="00260033" w:rsidP="007C691A">
            <w:pPr>
              <w:pStyle w:val="TableCopy"/>
            </w:pPr>
            <w:r>
              <w:t>Innovation</w:t>
            </w:r>
            <w:r w:rsidR="00932420">
              <w:t xml:space="preserve"> </w:t>
            </w:r>
            <w:r>
              <w:t>expenditure</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082D56FB" w14:textId="4C73E404" w:rsidR="007C691A" w:rsidRPr="007C691A" w:rsidRDefault="007C691A" w:rsidP="007C691A">
            <w:pPr>
              <w:pStyle w:val="TableCopy"/>
              <w:rPr>
                <w:i/>
                <w:iCs/>
              </w:rPr>
            </w:pPr>
            <w:r w:rsidRPr="007C691A">
              <w:rPr>
                <w:i/>
                <w:iCs/>
              </w:rPr>
              <w:t>Higher result due to several large projects secured in 2022–23 which were the culmination of several years of engagement.</w:t>
            </w:r>
          </w:p>
        </w:tc>
        <w:tc>
          <w:tcPr>
            <w:tcW w:w="1172" w:type="dxa"/>
          </w:tcPr>
          <w:p w14:paraId="4E6E9015" w14:textId="3867ABB2" w:rsidR="00CA3C5B" w:rsidRDefault="00260033" w:rsidP="007C691A">
            <w:pPr>
              <w:pStyle w:val="TableCopy"/>
            </w:pPr>
            <w:r>
              <w:t>$</w:t>
            </w:r>
            <w:r w:rsidR="00932420">
              <w:t xml:space="preserve"> </w:t>
            </w:r>
            <w:r>
              <w:t>million</w:t>
            </w:r>
          </w:p>
        </w:tc>
        <w:tc>
          <w:tcPr>
            <w:tcW w:w="963" w:type="dxa"/>
          </w:tcPr>
          <w:p w14:paraId="029A589D" w14:textId="77777777" w:rsidR="00CA3C5B" w:rsidRDefault="00260033" w:rsidP="00DA783E">
            <w:pPr>
              <w:pStyle w:val="TableCopy"/>
              <w:jc w:val="right"/>
            </w:pPr>
            <w:r>
              <w:t>625</w:t>
            </w:r>
          </w:p>
        </w:tc>
        <w:tc>
          <w:tcPr>
            <w:tcW w:w="953" w:type="dxa"/>
          </w:tcPr>
          <w:p w14:paraId="7646307C" w14:textId="77777777" w:rsidR="00CA3C5B" w:rsidRDefault="00260033" w:rsidP="00DA783E">
            <w:pPr>
              <w:pStyle w:val="TableCopy"/>
              <w:jc w:val="right"/>
            </w:pPr>
            <w:r>
              <w:t>135</w:t>
            </w:r>
          </w:p>
        </w:tc>
        <w:tc>
          <w:tcPr>
            <w:tcW w:w="1428" w:type="dxa"/>
          </w:tcPr>
          <w:p w14:paraId="7DBF00C1" w14:textId="77777777" w:rsidR="00CA3C5B" w:rsidRDefault="00260033" w:rsidP="00DA783E">
            <w:pPr>
              <w:pStyle w:val="TableCopy"/>
              <w:jc w:val="right"/>
            </w:pPr>
            <w:r>
              <w:t>363.0%</w:t>
            </w:r>
          </w:p>
        </w:tc>
        <w:tc>
          <w:tcPr>
            <w:tcW w:w="795" w:type="dxa"/>
          </w:tcPr>
          <w:p w14:paraId="238CD8B0" w14:textId="38AC391D" w:rsidR="00CA3C5B" w:rsidRPr="00DA783E" w:rsidRDefault="00DA783E" w:rsidP="00DA783E">
            <w:pPr>
              <w:pStyle w:val="TableCopy"/>
              <w:jc w:val="right"/>
            </w:pPr>
            <w:r w:rsidRPr="00DA783E">
              <w:t>1</w:t>
            </w:r>
          </w:p>
        </w:tc>
      </w:tr>
      <w:tr w:rsidR="00CA3C5B" w14:paraId="7227CFEC" w14:textId="77777777" w:rsidTr="00DA783E">
        <w:trPr>
          <w:cantSplit/>
        </w:trPr>
        <w:tc>
          <w:tcPr>
            <w:tcW w:w="4673" w:type="dxa"/>
          </w:tcPr>
          <w:p w14:paraId="4A7E5282" w14:textId="77777777" w:rsidR="00CA3C5B" w:rsidRDefault="00260033" w:rsidP="007C691A">
            <w:pPr>
              <w:pStyle w:val="TableCopy"/>
            </w:pPr>
            <w:r>
              <w:lastRenderedPageBreak/>
              <w:t>Jobs</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5EC5B95A" w14:textId="2A69D291" w:rsidR="007C691A" w:rsidRPr="007C691A" w:rsidRDefault="007C691A" w:rsidP="007C691A">
            <w:pPr>
              <w:pStyle w:val="TableCopy"/>
              <w:rPr>
                <w:i/>
                <w:iCs/>
              </w:rPr>
            </w:pPr>
            <w:r w:rsidRPr="007C691A">
              <w:rPr>
                <w:i/>
                <w:iCs/>
              </w:rPr>
              <w:t>Higher result due to several large projects secured in 2022–23 which were the culmination of several years of engagement.</w:t>
            </w:r>
          </w:p>
        </w:tc>
        <w:tc>
          <w:tcPr>
            <w:tcW w:w="1172" w:type="dxa"/>
          </w:tcPr>
          <w:p w14:paraId="626495DF" w14:textId="77777777" w:rsidR="00CA3C5B" w:rsidRDefault="00260033" w:rsidP="007C691A">
            <w:pPr>
              <w:pStyle w:val="TableCopy"/>
            </w:pPr>
            <w:r>
              <w:t>number</w:t>
            </w:r>
          </w:p>
        </w:tc>
        <w:tc>
          <w:tcPr>
            <w:tcW w:w="963" w:type="dxa"/>
          </w:tcPr>
          <w:p w14:paraId="47D68698" w14:textId="77777777" w:rsidR="00CA3C5B" w:rsidRDefault="00260033" w:rsidP="00DA783E">
            <w:pPr>
              <w:pStyle w:val="TableCopy"/>
              <w:jc w:val="right"/>
            </w:pPr>
            <w:r>
              <w:t>2,549</w:t>
            </w:r>
          </w:p>
        </w:tc>
        <w:tc>
          <w:tcPr>
            <w:tcW w:w="953" w:type="dxa"/>
          </w:tcPr>
          <w:p w14:paraId="0BF6555B" w14:textId="77777777" w:rsidR="00CA3C5B" w:rsidRDefault="00260033" w:rsidP="00DA783E">
            <w:pPr>
              <w:pStyle w:val="TableCopy"/>
              <w:jc w:val="right"/>
            </w:pPr>
            <w:r>
              <w:t>1,250</w:t>
            </w:r>
          </w:p>
        </w:tc>
        <w:tc>
          <w:tcPr>
            <w:tcW w:w="1428" w:type="dxa"/>
          </w:tcPr>
          <w:p w14:paraId="04353943" w14:textId="77777777" w:rsidR="00CA3C5B" w:rsidRDefault="00260033" w:rsidP="00DA783E">
            <w:pPr>
              <w:pStyle w:val="TableCopy"/>
              <w:jc w:val="right"/>
            </w:pPr>
            <w:r>
              <w:t>103.9%</w:t>
            </w:r>
          </w:p>
        </w:tc>
        <w:tc>
          <w:tcPr>
            <w:tcW w:w="795" w:type="dxa"/>
          </w:tcPr>
          <w:p w14:paraId="08E27178" w14:textId="49BBF20E" w:rsidR="00CA3C5B" w:rsidRDefault="00DA783E" w:rsidP="00DA783E">
            <w:pPr>
              <w:pStyle w:val="TableCopy"/>
              <w:jc w:val="right"/>
            </w:pPr>
            <w:r w:rsidRPr="00DA783E">
              <w:t>1</w:t>
            </w:r>
          </w:p>
        </w:tc>
      </w:tr>
      <w:tr w:rsidR="00CA3C5B" w14:paraId="0C20F088" w14:textId="77777777" w:rsidTr="00DA783E">
        <w:trPr>
          <w:cantSplit/>
        </w:trPr>
        <w:tc>
          <w:tcPr>
            <w:tcW w:w="4673" w:type="dxa"/>
          </w:tcPr>
          <w:p w14:paraId="71113D37" w14:textId="77777777" w:rsidR="00CA3C5B" w:rsidRDefault="00260033" w:rsidP="007C691A">
            <w:pPr>
              <w:pStyle w:val="TableCopy"/>
            </w:pPr>
            <w:r>
              <w:t>Wages</w:t>
            </w:r>
            <w:r w:rsidR="00932420">
              <w:t xml:space="preserve"> </w:t>
            </w:r>
            <w:r>
              <w:t>generated</w:t>
            </w:r>
            <w:r w:rsidR="00932420">
              <w:t xml:space="preserve"> </w:t>
            </w:r>
            <w:r>
              <w:t>from</w:t>
            </w:r>
            <w:r w:rsidR="00932420">
              <w:t xml:space="preserve"> </w:t>
            </w:r>
            <w:r>
              <w:t>international</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60B9DDA1" w14:textId="0F139E38" w:rsidR="007C691A" w:rsidRPr="007C691A" w:rsidRDefault="007C691A" w:rsidP="007C691A">
            <w:pPr>
              <w:pStyle w:val="TableCopy"/>
              <w:rPr>
                <w:i/>
                <w:iCs/>
              </w:rPr>
            </w:pPr>
            <w:r w:rsidRPr="007C691A">
              <w:rPr>
                <w:i/>
                <w:iCs/>
              </w:rPr>
              <w:t>Higher result due to several large projects secured in 2022–23 which were the culmination of several years of engagement.</w:t>
            </w:r>
          </w:p>
        </w:tc>
        <w:tc>
          <w:tcPr>
            <w:tcW w:w="1172" w:type="dxa"/>
          </w:tcPr>
          <w:p w14:paraId="557851F0" w14:textId="1D9C1EEA" w:rsidR="00CA3C5B" w:rsidRDefault="00260033" w:rsidP="007C691A">
            <w:pPr>
              <w:pStyle w:val="TableCopy"/>
            </w:pPr>
            <w:r>
              <w:t>$</w:t>
            </w:r>
            <w:r w:rsidR="00932420">
              <w:t xml:space="preserve"> </w:t>
            </w:r>
            <w:r>
              <w:t>million</w:t>
            </w:r>
          </w:p>
        </w:tc>
        <w:tc>
          <w:tcPr>
            <w:tcW w:w="963" w:type="dxa"/>
          </w:tcPr>
          <w:p w14:paraId="03EC45F9" w14:textId="77777777" w:rsidR="00CA3C5B" w:rsidRDefault="00260033" w:rsidP="00DA783E">
            <w:pPr>
              <w:pStyle w:val="TableCopy"/>
              <w:jc w:val="right"/>
            </w:pPr>
            <w:r>
              <w:t>332</w:t>
            </w:r>
          </w:p>
        </w:tc>
        <w:tc>
          <w:tcPr>
            <w:tcW w:w="953" w:type="dxa"/>
          </w:tcPr>
          <w:p w14:paraId="1A451682" w14:textId="77777777" w:rsidR="00CA3C5B" w:rsidRDefault="00260033" w:rsidP="00DA783E">
            <w:pPr>
              <w:pStyle w:val="TableCopy"/>
              <w:jc w:val="right"/>
            </w:pPr>
            <w:r>
              <w:t>110</w:t>
            </w:r>
          </w:p>
        </w:tc>
        <w:tc>
          <w:tcPr>
            <w:tcW w:w="1428" w:type="dxa"/>
          </w:tcPr>
          <w:p w14:paraId="677D43C7" w14:textId="77777777" w:rsidR="00CA3C5B" w:rsidRDefault="00260033" w:rsidP="00DA783E">
            <w:pPr>
              <w:pStyle w:val="TableCopy"/>
              <w:jc w:val="right"/>
            </w:pPr>
            <w:r>
              <w:t>201.8%</w:t>
            </w:r>
          </w:p>
        </w:tc>
        <w:tc>
          <w:tcPr>
            <w:tcW w:w="795" w:type="dxa"/>
          </w:tcPr>
          <w:p w14:paraId="4B9E1F3B" w14:textId="5BDF209B" w:rsidR="00CA3C5B" w:rsidRDefault="00DA783E" w:rsidP="00DA783E">
            <w:pPr>
              <w:pStyle w:val="TableCopy"/>
              <w:jc w:val="right"/>
            </w:pPr>
            <w:r w:rsidRPr="00DA783E">
              <w:t>1</w:t>
            </w:r>
          </w:p>
        </w:tc>
      </w:tr>
      <w:tr w:rsidR="007C691A" w14:paraId="64474BEE" w14:textId="77777777" w:rsidTr="00DA783E">
        <w:trPr>
          <w:cantSplit/>
        </w:trPr>
        <w:tc>
          <w:tcPr>
            <w:tcW w:w="4673" w:type="dxa"/>
          </w:tcPr>
          <w:p w14:paraId="6B875F89" w14:textId="5A76264C" w:rsidR="007C691A" w:rsidRDefault="007C691A" w:rsidP="007C691A">
            <w:pPr>
              <w:pStyle w:val="TableHeading"/>
            </w:pPr>
            <w:r>
              <w:t>Timeliness</w:t>
            </w:r>
          </w:p>
        </w:tc>
        <w:tc>
          <w:tcPr>
            <w:tcW w:w="1172" w:type="dxa"/>
          </w:tcPr>
          <w:p w14:paraId="4368F70B" w14:textId="77777777" w:rsidR="007C691A" w:rsidRPr="007C691A" w:rsidRDefault="007C691A" w:rsidP="007C691A">
            <w:pPr>
              <w:pStyle w:val="TableCopy"/>
            </w:pPr>
          </w:p>
        </w:tc>
        <w:tc>
          <w:tcPr>
            <w:tcW w:w="963" w:type="dxa"/>
          </w:tcPr>
          <w:p w14:paraId="2CDA269B" w14:textId="77777777" w:rsidR="007C691A" w:rsidRPr="007C691A" w:rsidRDefault="007C691A" w:rsidP="00DA783E">
            <w:pPr>
              <w:pStyle w:val="TableCopy"/>
              <w:jc w:val="right"/>
            </w:pPr>
          </w:p>
        </w:tc>
        <w:tc>
          <w:tcPr>
            <w:tcW w:w="953" w:type="dxa"/>
          </w:tcPr>
          <w:p w14:paraId="4807D855" w14:textId="77777777" w:rsidR="007C691A" w:rsidRPr="007C691A" w:rsidRDefault="007C691A" w:rsidP="00DA783E">
            <w:pPr>
              <w:pStyle w:val="TableCopy"/>
              <w:jc w:val="right"/>
            </w:pPr>
          </w:p>
        </w:tc>
        <w:tc>
          <w:tcPr>
            <w:tcW w:w="1428" w:type="dxa"/>
          </w:tcPr>
          <w:p w14:paraId="70030E6A" w14:textId="77777777" w:rsidR="007C691A" w:rsidRPr="007C691A" w:rsidRDefault="007C691A" w:rsidP="00DA783E">
            <w:pPr>
              <w:pStyle w:val="TableCopy"/>
              <w:jc w:val="right"/>
            </w:pPr>
          </w:p>
        </w:tc>
        <w:tc>
          <w:tcPr>
            <w:tcW w:w="795" w:type="dxa"/>
          </w:tcPr>
          <w:p w14:paraId="404CFB09" w14:textId="77777777" w:rsidR="007C691A" w:rsidRPr="007C691A" w:rsidRDefault="007C691A" w:rsidP="00DA783E">
            <w:pPr>
              <w:pStyle w:val="TableCopy"/>
              <w:jc w:val="right"/>
            </w:pPr>
          </w:p>
        </w:tc>
      </w:tr>
      <w:tr w:rsidR="00CA3C5B" w14:paraId="43217470" w14:textId="77777777" w:rsidTr="00DA783E">
        <w:trPr>
          <w:cantSplit/>
        </w:trPr>
        <w:tc>
          <w:tcPr>
            <w:tcW w:w="4673" w:type="dxa"/>
          </w:tcPr>
          <w:p w14:paraId="2DD8ED4F" w14:textId="77777777" w:rsidR="00CA3C5B" w:rsidRDefault="00260033" w:rsidP="007C691A">
            <w:pPr>
              <w:pStyle w:val="TableCopy"/>
            </w:pPr>
            <w:r>
              <w:t>Delivery</w:t>
            </w:r>
            <w:r w:rsidR="00932420">
              <w:t xml:space="preserve"> </w:t>
            </w:r>
            <w:r>
              <w:t>of</w:t>
            </w:r>
            <w:r w:rsidR="00932420">
              <w:t xml:space="preserve"> </w:t>
            </w:r>
            <w:r>
              <w:t>key</w:t>
            </w:r>
            <w:r w:rsidR="00932420">
              <w:t xml:space="preserve"> </w:t>
            </w:r>
            <w:proofErr w:type="spellStart"/>
            <w:r>
              <w:t>CarbonNet</w:t>
            </w:r>
            <w:proofErr w:type="spellEnd"/>
            <w:r w:rsidR="00932420">
              <w:t xml:space="preserve"> </w:t>
            </w:r>
            <w:r>
              <w:t>milestones,</w:t>
            </w:r>
            <w:r w:rsidR="00932420">
              <w:t xml:space="preserve"> </w:t>
            </w:r>
            <w:r>
              <w:t>in</w:t>
            </w:r>
            <w:r w:rsidR="00932420">
              <w:t xml:space="preserve"> </w:t>
            </w:r>
            <w:r>
              <w:t>line</w:t>
            </w:r>
            <w:r w:rsidR="00932420">
              <w:t xml:space="preserve"> </w:t>
            </w:r>
            <w:r>
              <w:t>with</w:t>
            </w:r>
            <w:r w:rsidR="00932420">
              <w:t xml:space="preserve"> </w:t>
            </w:r>
            <w:r>
              <w:t>funding</w:t>
            </w:r>
            <w:r w:rsidR="00932420">
              <w:t xml:space="preserve"> </w:t>
            </w:r>
            <w:r>
              <w:t>agreements</w:t>
            </w:r>
            <w:r w:rsidR="00932420">
              <w:t xml:space="preserve"> </w:t>
            </w:r>
            <w:r>
              <w:t>and</w:t>
            </w:r>
            <w:r w:rsidR="00932420">
              <w:t xml:space="preserve"> </w:t>
            </w:r>
            <w:r>
              <w:t>agreed</w:t>
            </w:r>
            <w:r w:rsidR="00932420">
              <w:t xml:space="preserve"> </w:t>
            </w:r>
            <w:r>
              <w:t>project</w:t>
            </w:r>
            <w:r w:rsidR="00932420">
              <w:t xml:space="preserve"> </w:t>
            </w:r>
            <w:r>
              <w:t>deliverables</w:t>
            </w:r>
          </w:p>
          <w:p w14:paraId="74DC707C" w14:textId="33F45E86" w:rsidR="007C691A" w:rsidRPr="007C691A" w:rsidRDefault="007C691A" w:rsidP="007C691A">
            <w:pPr>
              <w:pStyle w:val="TableCopy"/>
              <w:rPr>
                <w:i/>
                <w:iCs/>
              </w:rPr>
            </w:pPr>
            <w:r w:rsidRPr="007C691A">
              <w:rPr>
                <w:i/>
                <w:iCs/>
              </w:rPr>
              <w:t xml:space="preserve">Lower result due to the timing of release of Australian and State Government funding and impact on the timelines of </w:t>
            </w:r>
            <w:proofErr w:type="gramStart"/>
            <w:r w:rsidRPr="007C691A">
              <w:rPr>
                <w:i/>
                <w:iCs/>
              </w:rPr>
              <w:t>Front End</w:t>
            </w:r>
            <w:proofErr w:type="gramEnd"/>
            <w:r w:rsidRPr="007C691A">
              <w:rPr>
                <w:i/>
                <w:iCs/>
              </w:rPr>
              <w:t xml:space="preserve"> Engineering Design procurement.</w:t>
            </w:r>
          </w:p>
        </w:tc>
        <w:tc>
          <w:tcPr>
            <w:tcW w:w="1172" w:type="dxa"/>
          </w:tcPr>
          <w:p w14:paraId="47D43B5C" w14:textId="63FE14D1" w:rsidR="00CA3C5B" w:rsidRDefault="00260033" w:rsidP="007C691A">
            <w:pPr>
              <w:pStyle w:val="TableCopy"/>
            </w:pPr>
            <w:r>
              <w:t>per</w:t>
            </w:r>
            <w:r w:rsidR="00932420">
              <w:t xml:space="preserve"> </w:t>
            </w:r>
            <w:r>
              <w:t>cent</w:t>
            </w:r>
          </w:p>
        </w:tc>
        <w:tc>
          <w:tcPr>
            <w:tcW w:w="963" w:type="dxa"/>
          </w:tcPr>
          <w:p w14:paraId="33F60B12" w14:textId="77777777" w:rsidR="00CA3C5B" w:rsidRDefault="00260033" w:rsidP="00DA783E">
            <w:pPr>
              <w:pStyle w:val="TableCopy"/>
              <w:jc w:val="right"/>
            </w:pPr>
            <w:r>
              <w:t>50</w:t>
            </w:r>
          </w:p>
        </w:tc>
        <w:tc>
          <w:tcPr>
            <w:tcW w:w="953" w:type="dxa"/>
          </w:tcPr>
          <w:p w14:paraId="0113726E" w14:textId="77777777" w:rsidR="00CA3C5B" w:rsidRDefault="00260033" w:rsidP="00DA783E">
            <w:pPr>
              <w:pStyle w:val="TableCopy"/>
              <w:jc w:val="right"/>
            </w:pPr>
            <w:r>
              <w:t>100</w:t>
            </w:r>
          </w:p>
        </w:tc>
        <w:tc>
          <w:tcPr>
            <w:tcW w:w="1428" w:type="dxa"/>
          </w:tcPr>
          <w:p w14:paraId="6219A4F9" w14:textId="77777777" w:rsidR="00CA3C5B" w:rsidRDefault="00260033" w:rsidP="00DA783E">
            <w:pPr>
              <w:pStyle w:val="TableCopy"/>
              <w:jc w:val="right"/>
            </w:pPr>
            <w:r>
              <w:t>-50.0%</w:t>
            </w:r>
          </w:p>
        </w:tc>
        <w:tc>
          <w:tcPr>
            <w:tcW w:w="795" w:type="dxa"/>
          </w:tcPr>
          <w:p w14:paraId="0CDADB73" w14:textId="5C41E292" w:rsidR="00CA3C5B" w:rsidRPr="00DA783E" w:rsidRDefault="00DA783E" w:rsidP="00DA783E">
            <w:pPr>
              <w:pStyle w:val="TableCopy"/>
              <w:jc w:val="right"/>
            </w:pPr>
            <w:r w:rsidRPr="00DA783E">
              <w:t>3</w:t>
            </w:r>
          </w:p>
        </w:tc>
      </w:tr>
      <w:tr w:rsidR="007C691A" w14:paraId="7C2BC462" w14:textId="77777777" w:rsidTr="00DA783E">
        <w:trPr>
          <w:cantSplit/>
        </w:trPr>
        <w:tc>
          <w:tcPr>
            <w:tcW w:w="4673" w:type="dxa"/>
          </w:tcPr>
          <w:p w14:paraId="03C9B9CD" w14:textId="36A68EA8" w:rsidR="007C691A" w:rsidRDefault="007C691A" w:rsidP="007C691A">
            <w:pPr>
              <w:pStyle w:val="TableHeading"/>
            </w:pPr>
            <w:r>
              <w:t>Cost</w:t>
            </w:r>
          </w:p>
        </w:tc>
        <w:tc>
          <w:tcPr>
            <w:tcW w:w="1172" w:type="dxa"/>
          </w:tcPr>
          <w:p w14:paraId="6CE9A5BE" w14:textId="77777777" w:rsidR="007C691A" w:rsidRPr="007C691A" w:rsidRDefault="007C691A" w:rsidP="007C691A">
            <w:pPr>
              <w:pStyle w:val="TableCopy"/>
            </w:pPr>
          </w:p>
        </w:tc>
        <w:tc>
          <w:tcPr>
            <w:tcW w:w="963" w:type="dxa"/>
          </w:tcPr>
          <w:p w14:paraId="5A8853AC" w14:textId="77777777" w:rsidR="007C691A" w:rsidRPr="007C691A" w:rsidRDefault="007C691A" w:rsidP="00DA783E">
            <w:pPr>
              <w:pStyle w:val="TableCopy"/>
              <w:jc w:val="right"/>
            </w:pPr>
          </w:p>
        </w:tc>
        <w:tc>
          <w:tcPr>
            <w:tcW w:w="953" w:type="dxa"/>
          </w:tcPr>
          <w:p w14:paraId="3AFECBD2" w14:textId="77777777" w:rsidR="007C691A" w:rsidRPr="007C691A" w:rsidRDefault="007C691A" w:rsidP="00DA783E">
            <w:pPr>
              <w:pStyle w:val="TableCopy"/>
              <w:jc w:val="right"/>
            </w:pPr>
          </w:p>
        </w:tc>
        <w:tc>
          <w:tcPr>
            <w:tcW w:w="1428" w:type="dxa"/>
          </w:tcPr>
          <w:p w14:paraId="5BDE0510" w14:textId="77777777" w:rsidR="007C691A" w:rsidRPr="007C691A" w:rsidRDefault="007C691A" w:rsidP="00DA783E">
            <w:pPr>
              <w:pStyle w:val="TableCopy"/>
              <w:jc w:val="right"/>
            </w:pPr>
          </w:p>
        </w:tc>
        <w:tc>
          <w:tcPr>
            <w:tcW w:w="795" w:type="dxa"/>
          </w:tcPr>
          <w:p w14:paraId="6F75257B" w14:textId="77777777" w:rsidR="007C691A" w:rsidRPr="007C691A" w:rsidRDefault="007C691A" w:rsidP="00DA783E">
            <w:pPr>
              <w:pStyle w:val="TableCopy"/>
              <w:jc w:val="right"/>
            </w:pPr>
          </w:p>
        </w:tc>
      </w:tr>
      <w:tr w:rsidR="00CA3C5B" w:rsidRPr="007C691A" w14:paraId="725744C7" w14:textId="77777777" w:rsidTr="00DA783E">
        <w:trPr>
          <w:cantSplit/>
        </w:trPr>
        <w:tc>
          <w:tcPr>
            <w:tcW w:w="4673" w:type="dxa"/>
          </w:tcPr>
          <w:p w14:paraId="3D7C2A38" w14:textId="31CF25EA" w:rsidR="00CA3C5B" w:rsidRPr="007C691A" w:rsidRDefault="00260033" w:rsidP="007C691A">
            <w:pPr>
              <w:pStyle w:val="TableCopy"/>
              <w:rPr>
                <w:b/>
                <w:bCs/>
              </w:rPr>
            </w:pPr>
            <w:r w:rsidRPr="007C691A">
              <w:rPr>
                <w:b/>
                <w:bCs/>
              </w:rPr>
              <w:t>Total</w:t>
            </w:r>
            <w:r w:rsidR="00932420" w:rsidRPr="007C691A">
              <w:rPr>
                <w:b/>
                <w:bCs/>
              </w:rPr>
              <w:t xml:space="preserve"> </w:t>
            </w:r>
            <w:r w:rsidRPr="007C691A">
              <w:rPr>
                <w:b/>
                <w:bCs/>
              </w:rPr>
              <w:t>output</w:t>
            </w:r>
            <w:r w:rsidR="00932420" w:rsidRPr="007C691A">
              <w:rPr>
                <w:b/>
                <w:bCs/>
              </w:rPr>
              <w:t xml:space="preserve"> </w:t>
            </w:r>
            <w:r w:rsidRPr="007C691A">
              <w:rPr>
                <w:b/>
                <w:bCs/>
              </w:rPr>
              <w:t>cost</w:t>
            </w:r>
          </w:p>
        </w:tc>
        <w:tc>
          <w:tcPr>
            <w:tcW w:w="1172" w:type="dxa"/>
          </w:tcPr>
          <w:p w14:paraId="5F6C78C3" w14:textId="3A44082A" w:rsidR="00CA3C5B" w:rsidRPr="007C691A" w:rsidRDefault="00260033" w:rsidP="007C691A">
            <w:pPr>
              <w:pStyle w:val="TableCopy"/>
              <w:rPr>
                <w:b/>
                <w:bCs/>
              </w:rPr>
            </w:pPr>
            <w:r w:rsidRPr="007C691A">
              <w:rPr>
                <w:b/>
                <w:bCs/>
              </w:rPr>
              <w:t>$</w:t>
            </w:r>
            <w:r w:rsidR="00932420" w:rsidRPr="007C691A">
              <w:rPr>
                <w:b/>
                <w:bCs/>
              </w:rPr>
              <w:t xml:space="preserve"> </w:t>
            </w:r>
            <w:r w:rsidRPr="007C691A">
              <w:rPr>
                <w:b/>
                <w:bCs/>
              </w:rPr>
              <w:t>million</w:t>
            </w:r>
          </w:p>
        </w:tc>
        <w:tc>
          <w:tcPr>
            <w:tcW w:w="963" w:type="dxa"/>
          </w:tcPr>
          <w:p w14:paraId="5F61C98C" w14:textId="77777777" w:rsidR="00CA3C5B" w:rsidRPr="007C691A" w:rsidRDefault="00260033" w:rsidP="00DA783E">
            <w:pPr>
              <w:pStyle w:val="TableCopy"/>
              <w:jc w:val="right"/>
              <w:rPr>
                <w:b/>
                <w:bCs/>
              </w:rPr>
            </w:pPr>
            <w:r w:rsidRPr="007C691A">
              <w:rPr>
                <w:b/>
                <w:bCs/>
              </w:rPr>
              <w:t>57.9</w:t>
            </w:r>
          </w:p>
        </w:tc>
        <w:tc>
          <w:tcPr>
            <w:tcW w:w="953" w:type="dxa"/>
          </w:tcPr>
          <w:p w14:paraId="457DF19A" w14:textId="77777777" w:rsidR="00CA3C5B" w:rsidRPr="007C691A" w:rsidRDefault="00260033" w:rsidP="00DA783E">
            <w:pPr>
              <w:pStyle w:val="TableCopy"/>
              <w:jc w:val="right"/>
              <w:rPr>
                <w:b/>
                <w:bCs/>
              </w:rPr>
            </w:pPr>
            <w:r w:rsidRPr="007C691A">
              <w:rPr>
                <w:b/>
                <w:bCs/>
              </w:rPr>
              <w:t>162.8</w:t>
            </w:r>
          </w:p>
        </w:tc>
        <w:tc>
          <w:tcPr>
            <w:tcW w:w="1428" w:type="dxa"/>
          </w:tcPr>
          <w:p w14:paraId="0BAA7073" w14:textId="77777777" w:rsidR="00CA3C5B" w:rsidRPr="007C691A" w:rsidRDefault="00260033" w:rsidP="00DA783E">
            <w:pPr>
              <w:pStyle w:val="TableCopy"/>
              <w:jc w:val="right"/>
              <w:rPr>
                <w:b/>
                <w:bCs/>
              </w:rPr>
            </w:pPr>
            <w:r w:rsidRPr="007C691A">
              <w:rPr>
                <w:b/>
                <w:bCs/>
              </w:rPr>
              <w:t>-64.4%</w:t>
            </w:r>
          </w:p>
        </w:tc>
        <w:tc>
          <w:tcPr>
            <w:tcW w:w="795" w:type="dxa"/>
          </w:tcPr>
          <w:p w14:paraId="24A8948A" w14:textId="0F15860F" w:rsidR="00CA3C5B" w:rsidRPr="00DA783E" w:rsidRDefault="00DA783E" w:rsidP="00DA783E">
            <w:pPr>
              <w:pStyle w:val="TableCopy"/>
              <w:jc w:val="right"/>
              <w:rPr>
                <w:b/>
                <w:bCs/>
              </w:rPr>
            </w:pPr>
            <w:r w:rsidRPr="00DA783E">
              <w:rPr>
                <w:b/>
                <w:bCs/>
              </w:rPr>
              <w:t>1</w:t>
            </w:r>
          </w:p>
        </w:tc>
      </w:tr>
      <w:tr w:rsidR="007C691A" w:rsidRPr="007C691A" w14:paraId="4D923B9F" w14:textId="77777777" w:rsidTr="00DA783E">
        <w:trPr>
          <w:cantSplit/>
        </w:trPr>
        <w:tc>
          <w:tcPr>
            <w:tcW w:w="4673" w:type="dxa"/>
          </w:tcPr>
          <w:p w14:paraId="3E561EB7" w14:textId="46A0693B" w:rsidR="007C691A" w:rsidRPr="007C691A" w:rsidRDefault="007C691A" w:rsidP="007C691A">
            <w:pPr>
              <w:pStyle w:val="TableCopy"/>
              <w:rPr>
                <w:i/>
                <w:iCs/>
              </w:rPr>
            </w:pPr>
            <w:r w:rsidRPr="007C691A">
              <w:rPr>
                <w:i/>
                <w:iCs/>
              </w:rPr>
              <w:t>The 2022–23 result is lower than the 2022–23 budget due to timing of payments for investment grant programs, with milestone payments now expected to be made in future years.</w:t>
            </w:r>
          </w:p>
        </w:tc>
        <w:tc>
          <w:tcPr>
            <w:tcW w:w="1172" w:type="dxa"/>
          </w:tcPr>
          <w:p w14:paraId="08E51565" w14:textId="77777777" w:rsidR="007C691A" w:rsidRPr="007C691A" w:rsidRDefault="007C691A" w:rsidP="007C691A">
            <w:pPr>
              <w:pStyle w:val="TableCopy"/>
            </w:pPr>
          </w:p>
        </w:tc>
        <w:tc>
          <w:tcPr>
            <w:tcW w:w="963" w:type="dxa"/>
          </w:tcPr>
          <w:p w14:paraId="57727F09" w14:textId="77777777" w:rsidR="007C691A" w:rsidRPr="007C691A" w:rsidRDefault="007C691A" w:rsidP="00DA783E">
            <w:pPr>
              <w:pStyle w:val="TableCopy"/>
              <w:jc w:val="right"/>
            </w:pPr>
          </w:p>
        </w:tc>
        <w:tc>
          <w:tcPr>
            <w:tcW w:w="953" w:type="dxa"/>
          </w:tcPr>
          <w:p w14:paraId="5E8050B6" w14:textId="77777777" w:rsidR="007C691A" w:rsidRPr="007C691A" w:rsidRDefault="007C691A" w:rsidP="00DA783E">
            <w:pPr>
              <w:pStyle w:val="TableCopy"/>
              <w:jc w:val="right"/>
            </w:pPr>
          </w:p>
        </w:tc>
        <w:tc>
          <w:tcPr>
            <w:tcW w:w="1428" w:type="dxa"/>
          </w:tcPr>
          <w:p w14:paraId="7BA54B27" w14:textId="77777777" w:rsidR="007C691A" w:rsidRPr="007C691A" w:rsidRDefault="007C691A" w:rsidP="00DA783E">
            <w:pPr>
              <w:pStyle w:val="TableCopy"/>
              <w:jc w:val="right"/>
            </w:pPr>
          </w:p>
        </w:tc>
        <w:tc>
          <w:tcPr>
            <w:tcW w:w="795" w:type="dxa"/>
          </w:tcPr>
          <w:p w14:paraId="0F410CBC" w14:textId="77777777" w:rsidR="007C691A" w:rsidRPr="007C691A" w:rsidRDefault="007C691A" w:rsidP="00DA783E">
            <w:pPr>
              <w:pStyle w:val="TableCopy"/>
              <w:jc w:val="right"/>
            </w:pPr>
          </w:p>
        </w:tc>
      </w:tr>
    </w:tbl>
    <w:p w14:paraId="4D903F22" w14:textId="77777777" w:rsidR="00DA783E" w:rsidRPr="00DA783E" w:rsidRDefault="007C691A" w:rsidP="00DA783E">
      <w:pPr>
        <w:pStyle w:val="FootnoteText"/>
        <w:spacing w:before="120"/>
      </w:pPr>
      <w:r>
        <w:t>Note:</w:t>
      </w:r>
    </w:p>
    <w:p w14:paraId="2FE6952E" w14:textId="4CC2FA88" w:rsidR="00DA783E" w:rsidRPr="00DA783E" w:rsidRDefault="00DA783E" w:rsidP="00DA783E">
      <w:pPr>
        <w:pStyle w:val="FootnoteText"/>
      </w:pPr>
      <w:r>
        <w:t>1</w:t>
      </w:r>
      <w:r w:rsidR="007C691A" w:rsidRPr="00DA783E">
        <w:t xml:space="preserve"> Performance target achieved or exceeded</w:t>
      </w:r>
    </w:p>
    <w:p w14:paraId="7948D9C6" w14:textId="2487250F" w:rsidR="00DA783E" w:rsidRDefault="00DA783E" w:rsidP="00DA783E">
      <w:pPr>
        <w:pStyle w:val="FootnoteText"/>
      </w:pPr>
      <w:r>
        <w:t>2</w:t>
      </w:r>
      <w:r w:rsidR="007C691A" w:rsidRPr="00DA783E">
        <w:t xml:space="preserve"> Performance target not achieved – but within</w:t>
      </w:r>
      <w:r w:rsidR="007C691A">
        <w:t xml:space="preserve"> 5% variance</w:t>
      </w:r>
    </w:p>
    <w:p w14:paraId="0B206004" w14:textId="53918428" w:rsidR="007C691A" w:rsidRDefault="00DA783E" w:rsidP="00DA783E">
      <w:pPr>
        <w:pStyle w:val="FootnoteText"/>
        <w:spacing w:before="60" w:after="280"/>
      </w:pPr>
      <w:r>
        <w:t>3</w:t>
      </w:r>
      <w:r w:rsidR="007C691A" w:rsidRPr="00DA783E">
        <w:t xml:space="preserve"> </w:t>
      </w:r>
      <w:r w:rsidR="007C691A">
        <w:t>Performance target not achieved – exceeds 5% variance</w:t>
      </w:r>
    </w:p>
    <w:p w14:paraId="6201CF16" w14:textId="204D8FBC" w:rsidR="00DA783E" w:rsidRPr="00DA783E" w:rsidRDefault="00DA783E" w:rsidP="00DA783E">
      <w:pPr>
        <w:pStyle w:val="Normalbeforebullets"/>
        <w:rPr>
          <w:b/>
          <w:bCs/>
        </w:rPr>
      </w:pPr>
      <w:r w:rsidRPr="00DA783E">
        <w:rPr>
          <w:b/>
          <w:bCs/>
        </w:rPr>
        <w:lastRenderedPageBreak/>
        <w:t>Trade and Global Engagement</w:t>
      </w:r>
    </w:p>
    <w:p w14:paraId="0FB855B3" w14:textId="5A8C129D" w:rsidR="00DA783E" w:rsidRDefault="00DA783E" w:rsidP="00DA783E">
      <w:r>
        <w:t>This sub-output promotes business growth opportunities by connecting organisations to global business opportunities in priority markets and supporting the establishment and deepening of strategic commercial partnerships. It also positions Victoria as a destination of choice for international students.</w:t>
      </w:r>
    </w:p>
    <w:tbl>
      <w:tblPr>
        <w:tblStyle w:val="TableGrid"/>
        <w:tblW w:w="10141" w:type="dxa"/>
        <w:tblLayout w:type="fixed"/>
        <w:tblLook w:val="0020" w:firstRow="1" w:lastRow="0" w:firstColumn="0" w:lastColumn="0" w:noHBand="0" w:noVBand="0"/>
      </w:tblPr>
      <w:tblGrid>
        <w:gridCol w:w="4815"/>
        <w:gridCol w:w="1134"/>
        <w:gridCol w:w="963"/>
        <w:gridCol w:w="1025"/>
        <w:gridCol w:w="1428"/>
        <w:gridCol w:w="776"/>
      </w:tblGrid>
      <w:tr w:rsidR="00BC3986" w:rsidRPr="007C691A" w14:paraId="4CC50E93" w14:textId="77777777" w:rsidTr="00BC3986">
        <w:trPr>
          <w:cantSplit/>
          <w:tblHeader/>
        </w:trPr>
        <w:tc>
          <w:tcPr>
            <w:tcW w:w="4815" w:type="dxa"/>
          </w:tcPr>
          <w:p w14:paraId="273CA868" w14:textId="77777777" w:rsidR="00DA783E" w:rsidRPr="007C691A" w:rsidRDefault="00DA783E" w:rsidP="006D4054">
            <w:pPr>
              <w:pStyle w:val="TableColumnHeading"/>
              <w:rPr>
                <w:sz w:val="21"/>
                <w:szCs w:val="21"/>
              </w:rPr>
            </w:pPr>
            <w:bookmarkStart w:id="22" w:name="ColumnTitle_10"/>
            <w:bookmarkEnd w:id="22"/>
            <w:r w:rsidRPr="007C691A">
              <w:rPr>
                <w:sz w:val="21"/>
                <w:szCs w:val="21"/>
              </w:rPr>
              <w:t>Performance measures</w:t>
            </w:r>
          </w:p>
        </w:tc>
        <w:tc>
          <w:tcPr>
            <w:tcW w:w="1134" w:type="dxa"/>
          </w:tcPr>
          <w:p w14:paraId="5D1574EC" w14:textId="77777777" w:rsidR="00DA783E" w:rsidRPr="007C691A" w:rsidRDefault="00DA783E" w:rsidP="00BC3986">
            <w:pPr>
              <w:pStyle w:val="TableColumnHeading"/>
              <w:jc w:val="right"/>
              <w:rPr>
                <w:sz w:val="21"/>
                <w:szCs w:val="21"/>
              </w:rPr>
            </w:pPr>
            <w:r w:rsidRPr="007C691A">
              <w:rPr>
                <w:sz w:val="21"/>
                <w:szCs w:val="21"/>
              </w:rPr>
              <w:t>Unit of Measure</w:t>
            </w:r>
          </w:p>
        </w:tc>
        <w:tc>
          <w:tcPr>
            <w:tcW w:w="963" w:type="dxa"/>
          </w:tcPr>
          <w:p w14:paraId="1B336518" w14:textId="77777777" w:rsidR="00DA783E" w:rsidRPr="007C691A" w:rsidRDefault="00DA783E" w:rsidP="00BC3986">
            <w:pPr>
              <w:pStyle w:val="TableColumnHeading"/>
              <w:jc w:val="right"/>
              <w:rPr>
                <w:sz w:val="21"/>
                <w:szCs w:val="21"/>
              </w:rPr>
            </w:pPr>
            <w:r w:rsidRPr="007C691A">
              <w:rPr>
                <w:sz w:val="21"/>
                <w:szCs w:val="21"/>
              </w:rPr>
              <w:t>2022–23</w:t>
            </w:r>
            <w:r>
              <w:rPr>
                <w:sz w:val="21"/>
                <w:szCs w:val="21"/>
              </w:rPr>
              <w:t xml:space="preserve"> </w:t>
            </w:r>
            <w:r w:rsidRPr="007C691A">
              <w:rPr>
                <w:sz w:val="21"/>
                <w:szCs w:val="21"/>
              </w:rPr>
              <w:t>Actual</w:t>
            </w:r>
          </w:p>
        </w:tc>
        <w:tc>
          <w:tcPr>
            <w:tcW w:w="1025" w:type="dxa"/>
          </w:tcPr>
          <w:p w14:paraId="1DB9F7A7" w14:textId="77777777" w:rsidR="00DA783E" w:rsidRPr="007C691A" w:rsidRDefault="00DA783E" w:rsidP="00BC3986">
            <w:pPr>
              <w:pStyle w:val="TableColumnHeading"/>
              <w:jc w:val="right"/>
              <w:rPr>
                <w:sz w:val="21"/>
                <w:szCs w:val="21"/>
              </w:rPr>
            </w:pPr>
            <w:r w:rsidRPr="007C691A">
              <w:rPr>
                <w:sz w:val="21"/>
                <w:szCs w:val="21"/>
              </w:rPr>
              <w:t>2022–23 Target</w:t>
            </w:r>
          </w:p>
        </w:tc>
        <w:tc>
          <w:tcPr>
            <w:tcW w:w="1428" w:type="dxa"/>
          </w:tcPr>
          <w:p w14:paraId="025E8269" w14:textId="77777777" w:rsidR="00DA783E" w:rsidRPr="007C691A" w:rsidRDefault="00DA783E" w:rsidP="00BC3986">
            <w:pPr>
              <w:pStyle w:val="TableColumnHeading"/>
              <w:jc w:val="right"/>
              <w:rPr>
                <w:sz w:val="21"/>
                <w:szCs w:val="21"/>
              </w:rPr>
            </w:pPr>
            <w:r w:rsidRPr="007C691A">
              <w:rPr>
                <w:sz w:val="21"/>
                <w:szCs w:val="21"/>
              </w:rPr>
              <w:t>Performance variation (%)</w:t>
            </w:r>
          </w:p>
        </w:tc>
        <w:tc>
          <w:tcPr>
            <w:tcW w:w="776" w:type="dxa"/>
          </w:tcPr>
          <w:p w14:paraId="7EBDA738" w14:textId="77777777" w:rsidR="00DA783E" w:rsidRPr="007C691A" w:rsidRDefault="00DA783E" w:rsidP="00BC3986">
            <w:pPr>
              <w:pStyle w:val="TableColumnHeading"/>
              <w:jc w:val="right"/>
              <w:rPr>
                <w:sz w:val="21"/>
                <w:szCs w:val="21"/>
              </w:rPr>
            </w:pPr>
            <w:r w:rsidRPr="007C691A">
              <w:rPr>
                <w:sz w:val="21"/>
                <w:szCs w:val="21"/>
              </w:rPr>
              <w:t>Result</w:t>
            </w:r>
          </w:p>
        </w:tc>
      </w:tr>
      <w:tr w:rsidR="00DA783E" w14:paraId="07DAF8AD" w14:textId="77777777" w:rsidTr="00BC3986">
        <w:trPr>
          <w:cantSplit/>
        </w:trPr>
        <w:tc>
          <w:tcPr>
            <w:tcW w:w="4815" w:type="dxa"/>
          </w:tcPr>
          <w:p w14:paraId="05D446D3" w14:textId="7D417453" w:rsidR="00DA783E" w:rsidRDefault="00DA783E" w:rsidP="00DA783E">
            <w:pPr>
              <w:pStyle w:val="TableHeading"/>
            </w:pPr>
            <w:r>
              <w:t>Quantity</w:t>
            </w:r>
          </w:p>
        </w:tc>
        <w:tc>
          <w:tcPr>
            <w:tcW w:w="1134" w:type="dxa"/>
          </w:tcPr>
          <w:p w14:paraId="3BADB185" w14:textId="77777777" w:rsidR="00DA783E" w:rsidRPr="00DA783E" w:rsidRDefault="00DA783E" w:rsidP="00BC3986">
            <w:pPr>
              <w:pStyle w:val="TableCopy"/>
              <w:jc w:val="right"/>
            </w:pPr>
          </w:p>
        </w:tc>
        <w:tc>
          <w:tcPr>
            <w:tcW w:w="963" w:type="dxa"/>
          </w:tcPr>
          <w:p w14:paraId="117FFCE2" w14:textId="77777777" w:rsidR="00DA783E" w:rsidRPr="00DA783E" w:rsidRDefault="00DA783E" w:rsidP="00BC3986">
            <w:pPr>
              <w:pStyle w:val="TableCopy"/>
              <w:jc w:val="right"/>
            </w:pPr>
          </w:p>
        </w:tc>
        <w:tc>
          <w:tcPr>
            <w:tcW w:w="1025" w:type="dxa"/>
          </w:tcPr>
          <w:p w14:paraId="76151B1A" w14:textId="77777777" w:rsidR="00DA783E" w:rsidRPr="00DA783E" w:rsidRDefault="00DA783E" w:rsidP="00BC3986">
            <w:pPr>
              <w:pStyle w:val="TableCopy"/>
              <w:jc w:val="right"/>
            </w:pPr>
          </w:p>
        </w:tc>
        <w:tc>
          <w:tcPr>
            <w:tcW w:w="1428" w:type="dxa"/>
          </w:tcPr>
          <w:p w14:paraId="22BDACB5" w14:textId="77777777" w:rsidR="00DA783E" w:rsidRPr="00DA783E" w:rsidRDefault="00DA783E" w:rsidP="00BC3986">
            <w:pPr>
              <w:pStyle w:val="TableCopy"/>
              <w:jc w:val="right"/>
            </w:pPr>
          </w:p>
        </w:tc>
        <w:tc>
          <w:tcPr>
            <w:tcW w:w="776" w:type="dxa"/>
          </w:tcPr>
          <w:p w14:paraId="619763C2" w14:textId="77777777" w:rsidR="00DA783E" w:rsidRPr="00DA783E" w:rsidRDefault="00DA783E" w:rsidP="00BC3986">
            <w:pPr>
              <w:pStyle w:val="TableCopy"/>
              <w:jc w:val="right"/>
            </w:pPr>
          </w:p>
        </w:tc>
      </w:tr>
      <w:tr w:rsidR="00CA3C5B" w14:paraId="2DB15393" w14:textId="77777777" w:rsidTr="00BC3986">
        <w:trPr>
          <w:cantSplit/>
        </w:trPr>
        <w:tc>
          <w:tcPr>
            <w:tcW w:w="4815" w:type="dxa"/>
          </w:tcPr>
          <w:p w14:paraId="17BCC7C2" w14:textId="77777777" w:rsidR="00CA3C5B" w:rsidRDefault="00260033" w:rsidP="00DA783E">
            <w:pPr>
              <w:pStyle w:val="TableCopy"/>
            </w:pPr>
            <w:r>
              <w:t>Actual</w:t>
            </w:r>
            <w:r w:rsidR="00932420">
              <w:t xml:space="preserve"> </w:t>
            </w:r>
            <w:r>
              <w:t>export</w:t>
            </w:r>
            <w:r w:rsidR="00932420">
              <w:t xml:space="preserve"> </w:t>
            </w:r>
            <w:r>
              <w:t>sales</w:t>
            </w:r>
            <w:r w:rsidR="00932420">
              <w:t xml:space="preserve"> </w:t>
            </w:r>
            <w:r>
              <w:t>generated</w:t>
            </w:r>
            <w:r w:rsidR="00932420">
              <w:t xml:space="preserve"> </w:t>
            </w:r>
            <w:proofErr w:type="gramStart"/>
            <w:r>
              <w:t>as</w:t>
            </w:r>
            <w:r w:rsidR="00932420">
              <w:t xml:space="preserve"> </w:t>
            </w:r>
            <w:r>
              <w:t>a</w:t>
            </w:r>
            <w:r w:rsidR="00932420">
              <w:t xml:space="preserve"> </w:t>
            </w:r>
            <w:r>
              <w:t>result</w:t>
            </w:r>
            <w:r w:rsidR="00932420">
              <w:t xml:space="preserve"> </w:t>
            </w:r>
            <w:r>
              <w:t>of</w:t>
            </w:r>
            <w:proofErr w:type="gramEnd"/>
            <w:r w:rsidR="00932420">
              <w:t xml:space="preserve"> </w:t>
            </w:r>
            <w:r>
              <w:t>participation</w:t>
            </w:r>
            <w:r w:rsidR="00932420">
              <w:t xml:space="preserve"> </w:t>
            </w:r>
            <w:r>
              <w:t>in</w:t>
            </w:r>
            <w:r w:rsidR="00932420">
              <w:t xml:space="preserve"> </w:t>
            </w:r>
            <w:r>
              <w:t>government</w:t>
            </w:r>
            <w:r w:rsidR="00932420">
              <w:t xml:space="preserve"> </w:t>
            </w:r>
            <w:r>
              <w:t>programs</w:t>
            </w:r>
          </w:p>
          <w:p w14:paraId="78063DB8" w14:textId="7D37D800" w:rsidR="001E3D35" w:rsidRPr="001E3D35" w:rsidRDefault="001E3D35" w:rsidP="00DA783E">
            <w:pPr>
              <w:pStyle w:val="TableCopy"/>
              <w:rPr>
                <w:i/>
                <w:iCs/>
              </w:rPr>
            </w:pPr>
            <w:r w:rsidRPr="001E3D35">
              <w:rPr>
                <w:i/>
                <w:iCs/>
              </w:rPr>
              <w:t xml:space="preserve">Higher result due to </w:t>
            </w:r>
            <w:proofErr w:type="gramStart"/>
            <w:r w:rsidRPr="001E3D35">
              <w:rPr>
                <w:i/>
                <w:iCs/>
              </w:rPr>
              <w:t>a number of</w:t>
            </w:r>
            <w:proofErr w:type="gramEnd"/>
            <w:r w:rsidRPr="001E3D35">
              <w:rPr>
                <w:i/>
                <w:iCs/>
              </w:rPr>
              <w:t xml:space="preserve"> ongoing trade facilitation projects being realised in the financial year.</w:t>
            </w:r>
          </w:p>
        </w:tc>
        <w:tc>
          <w:tcPr>
            <w:tcW w:w="1134" w:type="dxa"/>
          </w:tcPr>
          <w:p w14:paraId="227ABC46" w14:textId="218F1F42" w:rsidR="00CA3C5B" w:rsidRDefault="00260033" w:rsidP="00BC3986">
            <w:pPr>
              <w:pStyle w:val="TableCopy"/>
              <w:jc w:val="right"/>
            </w:pPr>
            <w:r>
              <w:t>$</w:t>
            </w:r>
            <w:r w:rsidR="00932420">
              <w:t xml:space="preserve"> </w:t>
            </w:r>
            <w:r>
              <w:t>million</w:t>
            </w:r>
          </w:p>
        </w:tc>
        <w:tc>
          <w:tcPr>
            <w:tcW w:w="963" w:type="dxa"/>
          </w:tcPr>
          <w:p w14:paraId="599589CB" w14:textId="77777777" w:rsidR="00CA3C5B" w:rsidRDefault="00260033" w:rsidP="00BC3986">
            <w:pPr>
              <w:pStyle w:val="TableCopy"/>
              <w:jc w:val="right"/>
            </w:pPr>
            <w:r>
              <w:t>704</w:t>
            </w:r>
          </w:p>
        </w:tc>
        <w:tc>
          <w:tcPr>
            <w:tcW w:w="1025" w:type="dxa"/>
          </w:tcPr>
          <w:p w14:paraId="58D40BB5" w14:textId="77777777" w:rsidR="00CA3C5B" w:rsidRDefault="00260033" w:rsidP="00BC3986">
            <w:pPr>
              <w:pStyle w:val="TableCopy"/>
              <w:jc w:val="right"/>
            </w:pPr>
            <w:r>
              <w:t>550</w:t>
            </w:r>
          </w:p>
        </w:tc>
        <w:tc>
          <w:tcPr>
            <w:tcW w:w="1428" w:type="dxa"/>
          </w:tcPr>
          <w:p w14:paraId="59D20C39" w14:textId="77777777" w:rsidR="00CA3C5B" w:rsidRDefault="00260033" w:rsidP="00BC3986">
            <w:pPr>
              <w:pStyle w:val="TableCopy"/>
              <w:jc w:val="right"/>
            </w:pPr>
            <w:r>
              <w:t>28.0%</w:t>
            </w:r>
          </w:p>
        </w:tc>
        <w:tc>
          <w:tcPr>
            <w:tcW w:w="776" w:type="dxa"/>
          </w:tcPr>
          <w:p w14:paraId="6A2BCF01" w14:textId="4727CBE4" w:rsidR="00CA3C5B" w:rsidRPr="001E3D35" w:rsidRDefault="001E3D35" w:rsidP="00BC3986">
            <w:pPr>
              <w:pStyle w:val="TableCopy"/>
              <w:jc w:val="right"/>
            </w:pPr>
            <w:r w:rsidRPr="001E3D35">
              <w:t>1</w:t>
            </w:r>
          </w:p>
        </w:tc>
      </w:tr>
      <w:tr w:rsidR="00CA3C5B" w14:paraId="5376AC55" w14:textId="77777777" w:rsidTr="00BC3986">
        <w:trPr>
          <w:cantSplit/>
        </w:trPr>
        <w:tc>
          <w:tcPr>
            <w:tcW w:w="4815" w:type="dxa"/>
          </w:tcPr>
          <w:p w14:paraId="2AA4FB9F" w14:textId="77777777" w:rsidR="00CA3C5B" w:rsidRDefault="00260033" w:rsidP="00DA783E">
            <w:pPr>
              <w:pStyle w:val="TableCopy"/>
            </w:pPr>
            <w:r>
              <w:t>Clients</w:t>
            </w:r>
            <w:r w:rsidR="00932420">
              <w:t xml:space="preserve"> </w:t>
            </w:r>
            <w:r>
              <w:t>engaged</w:t>
            </w:r>
            <w:r w:rsidR="00932420">
              <w:t xml:space="preserve"> </w:t>
            </w:r>
            <w:r>
              <w:t>in</w:t>
            </w:r>
            <w:r w:rsidR="00932420">
              <w:t xml:space="preserve"> </w:t>
            </w:r>
            <w:r>
              <w:t>export</w:t>
            </w:r>
            <w:r w:rsidR="00932420">
              <w:t xml:space="preserve"> </w:t>
            </w:r>
            <w:r>
              <w:t>and</w:t>
            </w:r>
            <w:r w:rsidR="00932420">
              <w:t xml:space="preserve"> </w:t>
            </w:r>
            <w:r>
              <w:t>trade</w:t>
            </w:r>
            <w:r w:rsidR="00932420">
              <w:t xml:space="preserve"> </w:t>
            </w:r>
            <w:r>
              <w:t>programs</w:t>
            </w:r>
          </w:p>
          <w:p w14:paraId="5F473336" w14:textId="794D728F" w:rsidR="001E3D35" w:rsidRPr="001E3D35" w:rsidRDefault="001E3D35" w:rsidP="00DA783E">
            <w:pPr>
              <w:pStyle w:val="TableCopy"/>
              <w:rPr>
                <w:i/>
                <w:iCs/>
              </w:rPr>
            </w:pPr>
            <w:r w:rsidRPr="001E3D35">
              <w:rPr>
                <w:i/>
                <w:iCs/>
                <w:spacing w:val="-1"/>
              </w:rPr>
              <w:t xml:space="preserve">Higher result due to strong interest in government support initiatives for exporters, particularly market engagement initiatives for exporters </w:t>
            </w:r>
            <w:r w:rsidRPr="001E3D35">
              <w:rPr>
                <w:i/>
                <w:iCs/>
              </w:rPr>
              <w:t xml:space="preserve">re-engaging in export market opportunities. The result was also driven by investments provided under the Export Recovery Plan during </w:t>
            </w:r>
            <w:r w:rsidRPr="001E3D35">
              <w:rPr>
                <w:i/>
                <w:iCs/>
                <w:spacing w:val="-1"/>
              </w:rPr>
              <w:t>the COVID-19 pandemic.</w:t>
            </w:r>
          </w:p>
        </w:tc>
        <w:tc>
          <w:tcPr>
            <w:tcW w:w="1134" w:type="dxa"/>
          </w:tcPr>
          <w:p w14:paraId="4984778F" w14:textId="77777777" w:rsidR="00CA3C5B" w:rsidRDefault="00260033" w:rsidP="00BC3986">
            <w:pPr>
              <w:pStyle w:val="TableCopy"/>
              <w:jc w:val="right"/>
            </w:pPr>
            <w:r>
              <w:t>number</w:t>
            </w:r>
          </w:p>
        </w:tc>
        <w:tc>
          <w:tcPr>
            <w:tcW w:w="963" w:type="dxa"/>
          </w:tcPr>
          <w:p w14:paraId="79EB73B9" w14:textId="77777777" w:rsidR="00CA3C5B" w:rsidRDefault="00260033" w:rsidP="00BC3986">
            <w:pPr>
              <w:pStyle w:val="TableCopy"/>
              <w:jc w:val="right"/>
            </w:pPr>
            <w:r>
              <w:t>3,084</w:t>
            </w:r>
          </w:p>
        </w:tc>
        <w:tc>
          <w:tcPr>
            <w:tcW w:w="1025" w:type="dxa"/>
          </w:tcPr>
          <w:p w14:paraId="58C38B0C" w14:textId="77777777" w:rsidR="00CA3C5B" w:rsidRDefault="00260033" w:rsidP="00BC3986">
            <w:pPr>
              <w:pStyle w:val="TableCopy"/>
              <w:jc w:val="right"/>
            </w:pPr>
            <w:r>
              <w:t>2,000</w:t>
            </w:r>
          </w:p>
        </w:tc>
        <w:tc>
          <w:tcPr>
            <w:tcW w:w="1428" w:type="dxa"/>
          </w:tcPr>
          <w:p w14:paraId="60BA3B86" w14:textId="77777777" w:rsidR="00CA3C5B" w:rsidRDefault="00260033" w:rsidP="00BC3986">
            <w:pPr>
              <w:pStyle w:val="TableCopy"/>
              <w:jc w:val="right"/>
            </w:pPr>
            <w:r>
              <w:t>54.2%</w:t>
            </w:r>
          </w:p>
        </w:tc>
        <w:tc>
          <w:tcPr>
            <w:tcW w:w="776" w:type="dxa"/>
          </w:tcPr>
          <w:p w14:paraId="638A80A9" w14:textId="10935828" w:rsidR="00CA3C5B" w:rsidRDefault="001E3D35" w:rsidP="00BC3986">
            <w:pPr>
              <w:pStyle w:val="TableCopy"/>
              <w:jc w:val="right"/>
            </w:pPr>
            <w:r w:rsidRPr="001E3D35">
              <w:t>1</w:t>
            </w:r>
          </w:p>
        </w:tc>
      </w:tr>
      <w:tr w:rsidR="00CA3C5B" w14:paraId="7232F544" w14:textId="77777777" w:rsidTr="00BC3986">
        <w:trPr>
          <w:cantSplit/>
        </w:trPr>
        <w:tc>
          <w:tcPr>
            <w:tcW w:w="4815" w:type="dxa"/>
          </w:tcPr>
          <w:p w14:paraId="39590749" w14:textId="77777777" w:rsidR="00CA3C5B" w:rsidRDefault="00260033" w:rsidP="00DA783E">
            <w:pPr>
              <w:pStyle w:val="TableCopy"/>
            </w:pPr>
            <w:r>
              <w:t>Number</w:t>
            </w:r>
            <w:r w:rsidR="00932420">
              <w:t xml:space="preserve"> </w:t>
            </w:r>
            <w:r>
              <w:t>of</w:t>
            </w:r>
            <w:r w:rsidR="00932420">
              <w:t xml:space="preserve"> </w:t>
            </w:r>
            <w:r>
              <w:t>Victorian</w:t>
            </w:r>
            <w:r w:rsidR="00932420">
              <w:t xml:space="preserve"> </w:t>
            </w:r>
            <w:r>
              <w:t>companies</w:t>
            </w:r>
            <w:r w:rsidR="00932420">
              <w:t xml:space="preserve"> </w:t>
            </w:r>
            <w:r>
              <w:t>assisted</w:t>
            </w:r>
            <w:r w:rsidR="00932420">
              <w:t xml:space="preserve"> </w:t>
            </w:r>
            <w:r>
              <w:t>by</w:t>
            </w:r>
            <w:r w:rsidR="00932420">
              <w:t xml:space="preserve"> </w:t>
            </w:r>
            <w:r>
              <w:t>Wine</w:t>
            </w:r>
            <w:r w:rsidR="00932420">
              <w:t xml:space="preserve"> </w:t>
            </w:r>
            <w:r>
              <w:t>Industry</w:t>
            </w:r>
            <w:r w:rsidR="00932420">
              <w:t xml:space="preserve"> </w:t>
            </w:r>
            <w:r>
              <w:t>initiatives</w:t>
            </w:r>
          </w:p>
          <w:p w14:paraId="1FB5BB57" w14:textId="0B397221" w:rsidR="001E3D35" w:rsidRPr="001E3D35" w:rsidRDefault="001E3D35" w:rsidP="00DA783E">
            <w:pPr>
              <w:pStyle w:val="TableCopy"/>
              <w:rPr>
                <w:i/>
                <w:iCs/>
              </w:rPr>
            </w:pPr>
            <w:r w:rsidRPr="001E3D35">
              <w:rPr>
                <w:i/>
                <w:iCs/>
              </w:rPr>
              <w:t>Higher result due to the interest in new market engagement opportunities and initiatives for wineries.</w:t>
            </w:r>
          </w:p>
        </w:tc>
        <w:tc>
          <w:tcPr>
            <w:tcW w:w="1134" w:type="dxa"/>
          </w:tcPr>
          <w:p w14:paraId="19E0C842" w14:textId="77777777" w:rsidR="00CA3C5B" w:rsidRDefault="00260033" w:rsidP="00BC3986">
            <w:pPr>
              <w:pStyle w:val="TableCopy"/>
              <w:jc w:val="right"/>
            </w:pPr>
            <w:r>
              <w:t>number</w:t>
            </w:r>
          </w:p>
        </w:tc>
        <w:tc>
          <w:tcPr>
            <w:tcW w:w="963" w:type="dxa"/>
          </w:tcPr>
          <w:p w14:paraId="5F6F42AC" w14:textId="77777777" w:rsidR="00CA3C5B" w:rsidRDefault="00260033" w:rsidP="00BC3986">
            <w:pPr>
              <w:pStyle w:val="TableCopy"/>
              <w:jc w:val="right"/>
            </w:pPr>
            <w:r>
              <w:t>95</w:t>
            </w:r>
          </w:p>
        </w:tc>
        <w:tc>
          <w:tcPr>
            <w:tcW w:w="1025" w:type="dxa"/>
          </w:tcPr>
          <w:p w14:paraId="4A5DB140" w14:textId="77777777" w:rsidR="00CA3C5B" w:rsidRDefault="00260033" w:rsidP="00BC3986">
            <w:pPr>
              <w:pStyle w:val="TableCopy"/>
              <w:jc w:val="right"/>
            </w:pPr>
            <w:r>
              <w:t>60</w:t>
            </w:r>
          </w:p>
        </w:tc>
        <w:tc>
          <w:tcPr>
            <w:tcW w:w="1428" w:type="dxa"/>
          </w:tcPr>
          <w:p w14:paraId="0765CC41" w14:textId="77777777" w:rsidR="00CA3C5B" w:rsidRDefault="00260033" w:rsidP="00BC3986">
            <w:pPr>
              <w:pStyle w:val="TableCopy"/>
              <w:jc w:val="right"/>
            </w:pPr>
            <w:r>
              <w:t>58.3%</w:t>
            </w:r>
          </w:p>
        </w:tc>
        <w:tc>
          <w:tcPr>
            <w:tcW w:w="776" w:type="dxa"/>
          </w:tcPr>
          <w:p w14:paraId="67599195" w14:textId="2A33E8AD" w:rsidR="00CA3C5B" w:rsidRDefault="001E3D35" w:rsidP="00BC3986">
            <w:pPr>
              <w:pStyle w:val="TableCopy"/>
              <w:jc w:val="right"/>
            </w:pPr>
            <w:r w:rsidRPr="001E3D35">
              <w:t>1</w:t>
            </w:r>
          </w:p>
        </w:tc>
      </w:tr>
      <w:tr w:rsidR="00CA3C5B" w14:paraId="006B276F" w14:textId="77777777" w:rsidTr="00BC3986">
        <w:trPr>
          <w:cantSplit/>
        </w:trPr>
        <w:tc>
          <w:tcPr>
            <w:tcW w:w="4815" w:type="dxa"/>
          </w:tcPr>
          <w:p w14:paraId="4905AAA4" w14:textId="77777777" w:rsidR="00CA3C5B" w:rsidRDefault="00260033" w:rsidP="00DA783E">
            <w:pPr>
              <w:pStyle w:val="TableCopy"/>
            </w:pPr>
            <w:r>
              <w:t>Significant</w:t>
            </w:r>
            <w:r w:rsidR="00932420">
              <w:t xml:space="preserve"> </w:t>
            </w:r>
            <w:r>
              <w:t>interactions</w:t>
            </w:r>
            <w:r w:rsidR="00932420">
              <w:t xml:space="preserve"> </w:t>
            </w:r>
            <w:r>
              <w:t>with</w:t>
            </w:r>
            <w:r w:rsidR="00932420">
              <w:t xml:space="preserve"> </w:t>
            </w:r>
            <w:r>
              <w:t>Victorian</w:t>
            </w:r>
            <w:r w:rsidR="00932420">
              <w:t xml:space="preserve"> </w:t>
            </w:r>
            <w:r>
              <w:t>agri-food</w:t>
            </w:r>
            <w:r w:rsidR="00932420">
              <w:t xml:space="preserve"> </w:t>
            </w:r>
            <w:r>
              <w:t>companies</w:t>
            </w:r>
            <w:r w:rsidR="00932420">
              <w:t xml:space="preserve"> </w:t>
            </w:r>
            <w:r>
              <w:t>and</w:t>
            </w:r>
            <w:r w:rsidR="00932420">
              <w:t xml:space="preserve"> </w:t>
            </w:r>
            <w:r>
              <w:t>exporters,</w:t>
            </w:r>
            <w:r w:rsidR="00932420">
              <w:t xml:space="preserve"> </w:t>
            </w:r>
            <w:r>
              <w:t>international</w:t>
            </w:r>
            <w:r w:rsidR="00932420">
              <w:t xml:space="preserve"> </w:t>
            </w:r>
            <w:r>
              <w:t>customers</w:t>
            </w:r>
            <w:r w:rsidR="00932420">
              <w:t xml:space="preserve"> </w:t>
            </w:r>
            <w:r>
              <w:t>and</w:t>
            </w:r>
            <w:r w:rsidR="00932420">
              <w:t xml:space="preserve"> </w:t>
            </w:r>
            <w:r>
              <w:t>trading</w:t>
            </w:r>
            <w:r w:rsidR="00932420">
              <w:t xml:space="preserve"> </w:t>
            </w:r>
            <w:r>
              <w:t>partners</w:t>
            </w:r>
            <w:r w:rsidR="00932420">
              <w:t xml:space="preserve"> </w:t>
            </w:r>
            <w:r>
              <w:t>through</w:t>
            </w:r>
            <w:r w:rsidR="00932420">
              <w:t xml:space="preserve"> </w:t>
            </w:r>
            <w:r>
              <w:t>formal</w:t>
            </w:r>
            <w:r w:rsidR="00932420">
              <w:t xml:space="preserve"> </w:t>
            </w:r>
            <w:r>
              <w:t>meetings</w:t>
            </w:r>
            <w:r w:rsidR="00932420">
              <w:t xml:space="preserve"> </w:t>
            </w:r>
            <w:r>
              <w:t>or</w:t>
            </w:r>
            <w:r w:rsidR="00932420">
              <w:t xml:space="preserve"> </w:t>
            </w:r>
            <w:r>
              <w:t>involvement</w:t>
            </w:r>
            <w:r w:rsidR="00932420">
              <w:t xml:space="preserve"> </w:t>
            </w:r>
            <w:r>
              <w:t>in</w:t>
            </w:r>
            <w:r w:rsidR="00932420">
              <w:t xml:space="preserve"> </w:t>
            </w:r>
            <w:r>
              <w:t>trade</w:t>
            </w:r>
            <w:r w:rsidR="00932420">
              <w:t xml:space="preserve"> </w:t>
            </w:r>
            <w:r>
              <w:t>programs</w:t>
            </w:r>
            <w:r w:rsidR="00932420">
              <w:t xml:space="preserve"> </w:t>
            </w:r>
            <w:r>
              <w:t>that</w:t>
            </w:r>
            <w:r w:rsidR="00932420">
              <w:t xml:space="preserve"> </w:t>
            </w:r>
            <w:r>
              <w:t>facilitate</w:t>
            </w:r>
            <w:r w:rsidR="00932420">
              <w:t xml:space="preserve"> </w:t>
            </w:r>
            <w:r>
              <w:t>export</w:t>
            </w:r>
            <w:r w:rsidR="00932420">
              <w:t xml:space="preserve"> </w:t>
            </w:r>
            <w:r>
              <w:t>and</w:t>
            </w:r>
            <w:r w:rsidR="00932420">
              <w:t xml:space="preserve"> </w:t>
            </w:r>
            <w:r>
              <w:t>investment</w:t>
            </w:r>
            <w:r w:rsidR="00932420">
              <w:t xml:space="preserve"> </w:t>
            </w:r>
            <w:r>
              <w:t>outcomes</w:t>
            </w:r>
            <w:r w:rsidR="00932420">
              <w:t xml:space="preserve"> </w:t>
            </w:r>
            <w:r>
              <w:t>for</w:t>
            </w:r>
            <w:r w:rsidR="00932420">
              <w:t xml:space="preserve"> </w:t>
            </w:r>
            <w:r>
              <w:t>Victoria</w:t>
            </w:r>
          </w:p>
          <w:p w14:paraId="6C4A197C" w14:textId="49E4BA30" w:rsidR="001E3D35" w:rsidRPr="001E3D35" w:rsidRDefault="001E3D35" w:rsidP="00DA783E">
            <w:pPr>
              <w:pStyle w:val="TableCopy"/>
              <w:rPr>
                <w:i/>
                <w:iCs/>
              </w:rPr>
            </w:pPr>
            <w:r w:rsidRPr="001E3D35">
              <w:rPr>
                <w:i/>
                <w:iCs/>
              </w:rPr>
              <w:t>Higher result due to the level of interest in market engagement activities from agribusiness companies.</w:t>
            </w:r>
          </w:p>
        </w:tc>
        <w:tc>
          <w:tcPr>
            <w:tcW w:w="1134" w:type="dxa"/>
          </w:tcPr>
          <w:p w14:paraId="71C08F92" w14:textId="77777777" w:rsidR="00CA3C5B" w:rsidRDefault="00260033" w:rsidP="00BC3986">
            <w:pPr>
              <w:pStyle w:val="TableCopy"/>
              <w:jc w:val="right"/>
            </w:pPr>
            <w:r>
              <w:t>number</w:t>
            </w:r>
          </w:p>
        </w:tc>
        <w:tc>
          <w:tcPr>
            <w:tcW w:w="963" w:type="dxa"/>
          </w:tcPr>
          <w:p w14:paraId="0350D90A" w14:textId="77777777" w:rsidR="00CA3C5B" w:rsidRDefault="00260033" w:rsidP="00BC3986">
            <w:pPr>
              <w:pStyle w:val="TableCopy"/>
              <w:jc w:val="right"/>
            </w:pPr>
            <w:r>
              <w:t>333</w:t>
            </w:r>
          </w:p>
        </w:tc>
        <w:tc>
          <w:tcPr>
            <w:tcW w:w="1025" w:type="dxa"/>
          </w:tcPr>
          <w:p w14:paraId="4FA317FE" w14:textId="77777777" w:rsidR="00CA3C5B" w:rsidRDefault="00260033" w:rsidP="00BC3986">
            <w:pPr>
              <w:pStyle w:val="TableCopy"/>
              <w:jc w:val="right"/>
            </w:pPr>
            <w:r>
              <w:t>250</w:t>
            </w:r>
          </w:p>
        </w:tc>
        <w:tc>
          <w:tcPr>
            <w:tcW w:w="1428" w:type="dxa"/>
          </w:tcPr>
          <w:p w14:paraId="3EDC506E" w14:textId="77777777" w:rsidR="00CA3C5B" w:rsidRDefault="00260033" w:rsidP="00BC3986">
            <w:pPr>
              <w:pStyle w:val="TableCopy"/>
              <w:jc w:val="right"/>
            </w:pPr>
            <w:r>
              <w:t>33.2%</w:t>
            </w:r>
          </w:p>
        </w:tc>
        <w:tc>
          <w:tcPr>
            <w:tcW w:w="776" w:type="dxa"/>
          </w:tcPr>
          <w:p w14:paraId="25065EAF" w14:textId="45E6D067" w:rsidR="00CA3C5B" w:rsidRDefault="001E3D35" w:rsidP="00BC3986">
            <w:pPr>
              <w:pStyle w:val="TableCopy"/>
              <w:jc w:val="right"/>
            </w:pPr>
            <w:r w:rsidRPr="001E3D35">
              <w:t>1</w:t>
            </w:r>
          </w:p>
        </w:tc>
      </w:tr>
      <w:tr w:rsidR="00CA3C5B" w14:paraId="384CB198" w14:textId="77777777" w:rsidTr="00BC3986">
        <w:trPr>
          <w:cantSplit/>
        </w:trPr>
        <w:tc>
          <w:tcPr>
            <w:tcW w:w="4815" w:type="dxa"/>
          </w:tcPr>
          <w:p w14:paraId="4FF30582" w14:textId="15F9FC3D" w:rsidR="00CA3C5B" w:rsidRDefault="00260033" w:rsidP="00DA783E">
            <w:pPr>
              <w:pStyle w:val="TableCopy"/>
            </w:pPr>
            <w:r>
              <w:lastRenderedPageBreak/>
              <w:t>Victoria’s</w:t>
            </w:r>
            <w:r w:rsidR="00932420">
              <w:t xml:space="preserve"> </w:t>
            </w:r>
            <w:r>
              <w:t>proportion</w:t>
            </w:r>
            <w:r w:rsidR="00932420">
              <w:t xml:space="preserve"> </w:t>
            </w:r>
            <w:r>
              <w:t>of</w:t>
            </w:r>
            <w:r w:rsidR="00932420">
              <w:t xml:space="preserve"> </w:t>
            </w:r>
            <w:r>
              <w:t>all</w:t>
            </w:r>
            <w:r w:rsidR="00932420">
              <w:t xml:space="preserve"> </w:t>
            </w:r>
            <w:r>
              <w:t>international</w:t>
            </w:r>
            <w:r w:rsidR="00932420">
              <w:t xml:space="preserve"> </w:t>
            </w:r>
            <w:r>
              <w:t>student</w:t>
            </w:r>
            <w:r w:rsidR="00932420">
              <w:t xml:space="preserve"> </w:t>
            </w:r>
            <w:r>
              <w:t>enrolments</w:t>
            </w:r>
            <w:r w:rsidR="00932420">
              <w:t xml:space="preserve"> </w:t>
            </w:r>
            <w:r>
              <w:t>in</w:t>
            </w:r>
            <w:r w:rsidR="00932420">
              <w:t xml:space="preserve"> </w:t>
            </w:r>
            <w:r>
              <w:t>Australia</w:t>
            </w:r>
          </w:p>
        </w:tc>
        <w:tc>
          <w:tcPr>
            <w:tcW w:w="1134" w:type="dxa"/>
          </w:tcPr>
          <w:p w14:paraId="392727CA" w14:textId="0681BCAC" w:rsidR="00CA3C5B" w:rsidRDefault="00260033" w:rsidP="00BC3986">
            <w:pPr>
              <w:pStyle w:val="TableCopy"/>
              <w:jc w:val="right"/>
            </w:pPr>
            <w:r>
              <w:t>per</w:t>
            </w:r>
            <w:r w:rsidR="00932420">
              <w:t xml:space="preserve"> </w:t>
            </w:r>
            <w:r>
              <w:t>cent</w:t>
            </w:r>
          </w:p>
        </w:tc>
        <w:tc>
          <w:tcPr>
            <w:tcW w:w="963" w:type="dxa"/>
          </w:tcPr>
          <w:p w14:paraId="2E2E48E0" w14:textId="77777777" w:rsidR="00CA3C5B" w:rsidRDefault="00260033" w:rsidP="00BC3986">
            <w:pPr>
              <w:pStyle w:val="TableCopy"/>
              <w:jc w:val="right"/>
            </w:pPr>
            <w:r>
              <w:t>29.9</w:t>
            </w:r>
          </w:p>
        </w:tc>
        <w:tc>
          <w:tcPr>
            <w:tcW w:w="1025" w:type="dxa"/>
          </w:tcPr>
          <w:p w14:paraId="40AE80B5" w14:textId="77777777" w:rsidR="00CA3C5B" w:rsidRDefault="00260033" w:rsidP="00BC3986">
            <w:pPr>
              <w:pStyle w:val="TableCopy"/>
              <w:jc w:val="right"/>
            </w:pPr>
            <w:r>
              <w:t>31</w:t>
            </w:r>
          </w:p>
        </w:tc>
        <w:tc>
          <w:tcPr>
            <w:tcW w:w="1428" w:type="dxa"/>
          </w:tcPr>
          <w:p w14:paraId="018C769A" w14:textId="77777777" w:rsidR="00CA3C5B" w:rsidRDefault="00260033" w:rsidP="00BC3986">
            <w:pPr>
              <w:pStyle w:val="TableCopy"/>
              <w:jc w:val="right"/>
            </w:pPr>
            <w:r>
              <w:t>-3.5%</w:t>
            </w:r>
          </w:p>
        </w:tc>
        <w:tc>
          <w:tcPr>
            <w:tcW w:w="776" w:type="dxa"/>
          </w:tcPr>
          <w:p w14:paraId="04AE9311" w14:textId="21A9C313" w:rsidR="00CA3C5B" w:rsidRPr="001E3D35" w:rsidRDefault="001E3D35" w:rsidP="00BC3986">
            <w:pPr>
              <w:pStyle w:val="TableCopy"/>
              <w:jc w:val="right"/>
            </w:pPr>
            <w:r w:rsidRPr="001E3D35">
              <w:t>2</w:t>
            </w:r>
          </w:p>
        </w:tc>
      </w:tr>
      <w:tr w:rsidR="00CA3C5B" w14:paraId="539B98CD" w14:textId="77777777" w:rsidTr="00BC3986">
        <w:trPr>
          <w:cantSplit/>
        </w:trPr>
        <w:tc>
          <w:tcPr>
            <w:tcW w:w="4815" w:type="dxa"/>
          </w:tcPr>
          <w:p w14:paraId="44F4C44C" w14:textId="77777777" w:rsidR="00CA3C5B" w:rsidRDefault="00260033" w:rsidP="00DA783E">
            <w:pPr>
              <w:pStyle w:val="TableCopy"/>
            </w:pPr>
            <w:r>
              <w:t>Visits</w:t>
            </w:r>
            <w:r w:rsidR="00932420">
              <w:t xml:space="preserve"> </w:t>
            </w:r>
            <w:r>
              <w:t>to</w:t>
            </w:r>
            <w:r w:rsidR="00932420">
              <w:t xml:space="preserve"> </w:t>
            </w:r>
            <w:r>
              <w:t>the</w:t>
            </w:r>
            <w:r w:rsidR="00932420">
              <w:t xml:space="preserve"> </w:t>
            </w:r>
            <w:r>
              <w:t>Global</w:t>
            </w:r>
            <w:r w:rsidR="00932420">
              <w:t xml:space="preserve"> </w:t>
            </w:r>
            <w:r>
              <w:t>Victoria</w:t>
            </w:r>
            <w:r w:rsidR="00932420">
              <w:t xml:space="preserve"> </w:t>
            </w:r>
            <w:r>
              <w:t>website</w:t>
            </w:r>
          </w:p>
          <w:p w14:paraId="7145DEF4" w14:textId="09B67370" w:rsidR="001E3D35" w:rsidRPr="001E3D35" w:rsidRDefault="001E3D35" w:rsidP="00DA783E">
            <w:pPr>
              <w:pStyle w:val="TableCopy"/>
              <w:rPr>
                <w:i/>
                <w:iCs/>
              </w:rPr>
            </w:pPr>
            <w:r w:rsidRPr="001E3D35">
              <w:rPr>
                <w:i/>
                <w:iCs/>
              </w:rPr>
              <w:t>Lower result despite the continued interest and demand for trade facilitation services. Realigning website content predominantly for exporters has impacted site visitation numbers.</w:t>
            </w:r>
          </w:p>
        </w:tc>
        <w:tc>
          <w:tcPr>
            <w:tcW w:w="1134" w:type="dxa"/>
          </w:tcPr>
          <w:p w14:paraId="20872337" w14:textId="77777777" w:rsidR="00CA3C5B" w:rsidRDefault="00260033" w:rsidP="00BC3986">
            <w:pPr>
              <w:pStyle w:val="TableCopy"/>
              <w:jc w:val="right"/>
            </w:pPr>
            <w:r>
              <w:t>number</w:t>
            </w:r>
          </w:p>
        </w:tc>
        <w:tc>
          <w:tcPr>
            <w:tcW w:w="963" w:type="dxa"/>
          </w:tcPr>
          <w:p w14:paraId="7B5EB018" w14:textId="77777777" w:rsidR="00CA3C5B" w:rsidRDefault="00260033" w:rsidP="00BC3986">
            <w:pPr>
              <w:pStyle w:val="TableCopy"/>
              <w:jc w:val="right"/>
            </w:pPr>
            <w:r>
              <w:t>90,716</w:t>
            </w:r>
          </w:p>
        </w:tc>
        <w:tc>
          <w:tcPr>
            <w:tcW w:w="1025" w:type="dxa"/>
          </w:tcPr>
          <w:p w14:paraId="7A9694FB" w14:textId="77777777" w:rsidR="00CA3C5B" w:rsidRDefault="00260033" w:rsidP="00BC3986">
            <w:pPr>
              <w:pStyle w:val="TableCopy"/>
              <w:jc w:val="right"/>
            </w:pPr>
            <w:r>
              <w:t>100,000</w:t>
            </w:r>
          </w:p>
        </w:tc>
        <w:tc>
          <w:tcPr>
            <w:tcW w:w="1428" w:type="dxa"/>
          </w:tcPr>
          <w:p w14:paraId="7DDE6295" w14:textId="77777777" w:rsidR="00CA3C5B" w:rsidRDefault="00260033" w:rsidP="00BC3986">
            <w:pPr>
              <w:pStyle w:val="TableCopy"/>
              <w:jc w:val="right"/>
            </w:pPr>
            <w:r>
              <w:t>-9.3%</w:t>
            </w:r>
          </w:p>
        </w:tc>
        <w:tc>
          <w:tcPr>
            <w:tcW w:w="776" w:type="dxa"/>
          </w:tcPr>
          <w:p w14:paraId="5778E2A4" w14:textId="01B5B04A" w:rsidR="00CA3C5B" w:rsidRPr="001E3D35" w:rsidRDefault="001E3D35" w:rsidP="00BC3986">
            <w:pPr>
              <w:pStyle w:val="TableCopy"/>
              <w:jc w:val="right"/>
            </w:pPr>
            <w:r w:rsidRPr="001E3D35">
              <w:t>3</w:t>
            </w:r>
          </w:p>
        </w:tc>
      </w:tr>
      <w:tr w:rsidR="001E3D35" w14:paraId="17D9DD53" w14:textId="77777777" w:rsidTr="00BC3986">
        <w:trPr>
          <w:cantSplit/>
        </w:trPr>
        <w:tc>
          <w:tcPr>
            <w:tcW w:w="4815" w:type="dxa"/>
          </w:tcPr>
          <w:p w14:paraId="7841A988" w14:textId="1DB5B3D9" w:rsidR="001E3D35" w:rsidRDefault="001E3D35" w:rsidP="001E3D35">
            <w:pPr>
              <w:pStyle w:val="TableHeading"/>
            </w:pPr>
            <w:r>
              <w:t>Quality</w:t>
            </w:r>
          </w:p>
        </w:tc>
        <w:tc>
          <w:tcPr>
            <w:tcW w:w="1134" w:type="dxa"/>
          </w:tcPr>
          <w:p w14:paraId="0A11D167" w14:textId="77777777" w:rsidR="001E3D35" w:rsidRPr="001E3D35" w:rsidRDefault="001E3D35" w:rsidP="00BC3986">
            <w:pPr>
              <w:pStyle w:val="TableCopy"/>
              <w:jc w:val="right"/>
            </w:pPr>
          </w:p>
        </w:tc>
        <w:tc>
          <w:tcPr>
            <w:tcW w:w="963" w:type="dxa"/>
          </w:tcPr>
          <w:p w14:paraId="689B0DCB" w14:textId="77777777" w:rsidR="001E3D35" w:rsidRPr="001E3D35" w:rsidRDefault="001E3D35" w:rsidP="00BC3986">
            <w:pPr>
              <w:pStyle w:val="TableCopy"/>
              <w:jc w:val="right"/>
            </w:pPr>
          </w:p>
        </w:tc>
        <w:tc>
          <w:tcPr>
            <w:tcW w:w="1025" w:type="dxa"/>
          </w:tcPr>
          <w:p w14:paraId="1F6D197D" w14:textId="77777777" w:rsidR="001E3D35" w:rsidRPr="001E3D35" w:rsidRDefault="001E3D35" w:rsidP="00BC3986">
            <w:pPr>
              <w:pStyle w:val="TableCopy"/>
              <w:jc w:val="right"/>
            </w:pPr>
          </w:p>
        </w:tc>
        <w:tc>
          <w:tcPr>
            <w:tcW w:w="1428" w:type="dxa"/>
          </w:tcPr>
          <w:p w14:paraId="377783BD" w14:textId="77777777" w:rsidR="001E3D35" w:rsidRPr="001E3D35" w:rsidRDefault="001E3D35" w:rsidP="00BC3986">
            <w:pPr>
              <w:pStyle w:val="TableCopy"/>
              <w:jc w:val="right"/>
            </w:pPr>
          </w:p>
        </w:tc>
        <w:tc>
          <w:tcPr>
            <w:tcW w:w="776" w:type="dxa"/>
          </w:tcPr>
          <w:p w14:paraId="7F05AD64" w14:textId="77777777" w:rsidR="001E3D35" w:rsidRPr="001E3D35" w:rsidRDefault="001E3D35" w:rsidP="00BC3986">
            <w:pPr>
              <w:pStyle w:val="TableCopy"/>
              <w:jc w:val="right"/>
            </w:pPr>
          </w:p>
        </w:tc>
      </w:tr>
      <w:tr w:rsidR="00CA3C5B" w14:paraId="5ABD586C" w14:textId="77777777" w:rsidTr="00BC3986">
        <w:trPr>
          <w:cantSplit/>
        </w:trPr>
        <w:tc>
          <w:tcPr>
            <w:tcW w:w="4815" w:type="dxa"/>
          </w:tcPr>
          <w:p w14:paraId="7EE68009" w14:textId="77777777" w:rsidR="00CA3C5B" w:rsidRDefault="00260033" w:rsidP="00DA783E">
            <w:pPr>
              <w:pStyle w:val="TableCopy"/>
            </w:pPr>
            <w:r>
              <w:t>Client</w:t>
            </w:r>
            <w:r w:rsidR="00932420">
              <w:t xml:space="preserve"> </w:t>
            </w:r>
            <w:r>
              <w:t>satisfaction</w:t>
            </w:r>
            <w:r w:rsidR="00932420">
              <w:t xml:space="preserve"> </w:t>
            </w:r>
            <w:r>
              <w:t>with</w:t>
            </w:r>
            <w:r w:rsidR="00932420">
              <w:t xml:space="preserve"> </w:t>
            </w:r>
            <w:r>
              <w:t>export</w:t>
            </w:r>
            <w:r w:rsidR="00932420">
              <w:t xml:space="preserve"> </w:t>
            </w:r>
            <w:r>
              <w:t>assistance</w:t>
            </w:r>
            <w:r w:rsidR="00932420">
              <w:t xml:space="preserve"> </w:t>
            </w:r>
            <w:r>
              <w:t>offered</w:t>
            </w:r>
          </w:p>
          <w:p w14:paraId="4E31895B" w14:textId="4DA7904E" w:rsidR="001E3D35" w:rsidRPr="001E3D35" w:rsidRDefault="001E3D35" w:rsidP="00DA783E">
            <w:pPr>
              <w:pStyle w:val="TableCopy"/>
              <w:rPr>
                <w:i/>
                <w:iCs/>
              </w:rPr>
            </w:pPr>
            <w:r w:rsidRPr="001E3D35">
              <w:rPr>
                <w:i/>
                <w:iCs/>
              </w:rPr>
              <w:t>Higher result reflecting positive program survey results due to the level of interest and increased volume of market engagement activities.</w:t>
            </w:r>
          </w:p>
        </w:tc>
        <w:tc>
          <w:tcPr>
            <w:tcW w:w="1134" w:type="dxa"/>
          </w:tcPr>
          <w:p w14:paraId="5D6F5587" w14:textId="5EB77BB9" w:rsidR="00CA3C5B" w:rsidRDefault="00260033" w:rsidP="00BC3986">
            <w:pPr>
              <w:pStyle w:val="TableCopy"/>
              <w:jc w:val="right"/>
            </w:pPr>
            <w:r>
              <w:t>per</w:t>
            </w:r>
            <w:r w:rsidR="00932420">
              <w:t xml:space="preserve"> </w:t>
            </w:r>
            <w:r>
              <w:t>cent</w:t>
            </w:r>
          </w:p>
        </w:tc>
        <w:tc>
          <w:tcPr>
            <w:tcW w:w="963" w:type="dxa"/>
          </w:tcPr>
          <w:p w14:paraId="13310459" w14:textId="77777777" w:rsidR="00CA3C5B" w:rsidRDefault="00260033" w:rsidP="00BC3986">
            <w:pPr>
              <w:pStyle w:val="TableCopy"/>
              <w:jc w:val="right"/>
            </w:pPr>
            <w:r>
              <w:t>95</w:t>
            </w:r>
          </w:p>
        </w:tc>
        <w:tc>
          <w:tcPr>
            <w:tcW w:w="1025" w:type="dxa"/>
          </w:tcPr>
          <w:p w14:paraId="5A8077D0" w14:textId="77777777" w:rsidR="00CA3C5B" w:rsidRDefault="00260033" w:rsidP="00BC3986">
            <w:pPr>
              <w:pStyle w:val="TableCopy"/>
              <w:jc w:val="right"/>
            </w:pPr>
            <w:r>
              <w:t>90</w:t>
            </w:r>
          </w:p>
        </w:tc>
        <w:tc>
          <w:tcPr>
            <w:tcW w:w="1428" w:type="dxa"/>
          </w:tcPr>
          <w:p w14:paraId="0D814A38" w14:textId="77777777" w:rsidR="00CA3C5B" w:rsidRDefault="00260033" w:rsidP="00BC3986">
            <w:pPr>
              <w:pStyle w:val="TableCopy"/>
              <w:jc w:val="right"/>
            </w:pPr>
            <w:r>
              <w:t>5.6%</w:t>
            </w:r>
          </w:p>
        </w:tc>
        <w:tc>
          <w:tcPr>
            <w:tcW w:w="776" w:type="dxa"/>
          </w:tcPr>
          <w:p w14:paraId="34091026" w14:textId="22ABB740" w:rsidR="00CA3C5B" w:rsidRDefault="001E3D35" w:rsidP="00BC3986">
            <w:pPr>
              <w:pStyle w:val="TableCopy"/>
              <w:jc w:val="right"/>
            </w:pPr>
            <w:r w:rsidRPr="001E3D35">
              <w:t>1</w:t>
            </w:r>
          </w:p>
        </w:tc>
      </w:tr>
      <w:tr w:rsidR="00CA3C5B" w14:paraId="0496609A" w14:textId="77777777" w:rsidTr="00BC3986">
        <w:trPr>
          <w:cantSplit/>
        </w:trPr>
        <w:tc>
          <w:tcPr>
            <w:tcW w:w="4815" w:type="dxa"/>
          </w:tcPr>
          <w:p w14:paraId="642C7163" w14:textId="77777777" w:rsidR="00CA3C5B" w:rsidRDefault="00260033" w:rsidP="00DA783E">
            <w:pPr>
              <w:pStyle w:val="TableCopy"/>
            </w:pPr>
            <w:r>
              <w:t>International</w:t>
            </w:r>
            <w:r w:rsidR="00932420">
              <w:t xml:space="preserve"> </w:t>
            </w:r>
            <w:r>
              <w:t>student</w:t>
            </w:r>
            <w:r w:rsidR="00932420">
              <w:t xml:space="preserve"> </w:t>
            </w:r>
            <w:r>
              <w:t>satisfaction</w:t>
            </w:r>
            <w:r w:rsidR="00932420">
              <w:t xml:space="preserve"> </w:t>
            </w:r>
            <w:r>
              <w:t>with</w:t>
            </w:r>
            <w:r w:rsidR="00932420">
              <w:t xml:space="preserve"> </w:t>
            </w:r>
            <w:r>
              <w:t>Study</w:t>
            </w:r>
            <w:r w:rsidR="00932420">
              <w:t xml:space="preserve"> </w:t>
            </w:r>
            <w:r>
              <w:t>Melbourne</w:t>
            </w:r>
            <w:r w:rsidR="00932420">
              <w:t xml:space="preserve"> </w:t>
            </w:r>
            <w:r>
              <w:t>student</w:t>
            </w:r>
            <w:r w:rsidR="00932420">
              <w:t xml:space="preserve"> </w:t>
            </w:r>
            <w:r>
              <w:t>programs</w:t>
            </w:r>
          </w:p>
          <w:p w14:paraId="42A6751B" w14:textId="755517FB" w:rsidR="001E3D35" w:rsidRPr="001E3D35" w:rsidRDefault="001E3D35" w:rsidP="00DA783E">
            <w:pPr>
              <w:pStyle w:val="TableCopy"/>
              <w:rPr>
                <w:i/>
                <w:iCs/>
              </w:rPr>
            </w:pPr>
            <w:r w:rsidRPr="001E3D35">
              <w:rPr>
                <w:i/>
                <w:iCs/>
              </w:rPr>
              <w:t>Higher result due to the services provided and refreshed programs with a focus on inclusion, employability, career development and leadership being well-received by international students.</w:t>
            </w:r>
          </w:p>
        </w:tc>
        <w:tc>
          <w:tcPr>
            <w:tcW w:w="1134" w:type="dxa"/>
          </w:tcPr>
          <w:p w14:paraId="06E7569E" w14:textId="4F5DE4F4" w:rsidR="00CA3C5B" w:rsidRDefault="00260033" w:rsidP="00BC3986">
            <w:pPr>
              <w:pStyle w:val="TableCopy"/>
              <w:jc w:val="right"/>
            </w:pPr>
            <w:r>
              <w:t>per</w:t>
            </w:r>
            <w:r w:rsidR="00932420">
              <w:t xml:space="preserve"> </w:t>
            </w:r>
            <w:r>
              <w:t>cent</w:t>
            </w:r>
          </w:p>
        </w:tc>
        <w:tc>
          <w:tcPr>
            <w:tcW w:w="963" w:type="dxa"/>
          </w:tcPr>
          <w:p w14:paraId="73F29BA6" w14:textId="77777777" w:rsidR="00CA3C5B" w:rsidRDefault="00260033" w:rsidP="00BC3986">
            <w:pPr>
              <w:pStyle w:val="TableCopy"/>
              <w:jc w:val="right"/>
            </w:pPr>
            <w:r>
              <w:t>96</w:t>
            </w:r>
          </w:p>
        </w:tc>
        <w:tc>
          <w:tcPr>
            <w:tcW w:w="1025" w:type="dxa"/>
          </w:tcPr>
          <w:p w14:paraId="3D4A2E9C" w14:textId="77777777" w:rsidR="00CA3C5B" w:rsidRDefault="00260033" w:rsidP="00BC3986">
            <w:pPr>
              <w:pStyle w:val="TableCopy"/>
              <w:jc w:val="right"/>
            </w:pPr>
            <w:r>
              <w:t>80</w:t>
            </w:r>
          </w:p>
        </w:tc>
        <w:tc>
          <w:tcPr>
            <w:tcW w:w="1428" w:type="dxa"/>
          </w:tcPr>
          <w:p w14:paraId="61EAE186" w14:textId="77777777" w:rsidR="00CA3C5B" w:rsidRDefault="00260033" w:rsidP="00BC3986">
            <w:pPr>
              <w:pStyle w:val="TableCopy"/>
              <w:jc w:val="right"/>
            </w:pPr>
            <w:r>
              <w:t>20.0%</w:t>
            </w:r>
          </w:p>
        </w:tc>
        <w:tc>
          <w:tcPr>
            <w:tcW w:w="776" w:type="dxa"/>
          </w:tcPr>
          <w:p w14:paraId="0ADABD21" w14:textId="4E33084E" w:rsidR="00CA3C5B" w:rsidRDefault="001E3D35" w:rsidP="00BC3986">
            <w:pPr>
              <w:pStyle w:val="TableCopy"/>
              <w:jc w:val="right"/>
            </w:pPr>
            <w:r w:rsidRPr="001E3D35">
              <w:t>1</w:t>
            </w:r>
          </w:p>
        </w:tc>
      </w:tr>
      <w:tr w:rsidR="001E3D35" w14:paraId="58FFDC8A" w14:textId="77777777" w:rsidTr="00BC3986">
        <w:trPr>
          <w:cantSplit/>
        </w:trPr>
        <w:tc>
          <w:tcPr>
            <w:tcW w:w="4815" w:type="dxa"/>
          </w:tcPr>
          <w:p w14:paraId="575DE92B" w14:textId="3FB35D19" w:rsidR="001E3D35" w:rsidRDefault="001E3D35" w:rsidP="001E3D35">
            <w:pPr>
              <w:pStyle w:val="TableHeading"/>
            </w:pPr>
            <w:r>
              <w:t>Cost</w:t>
            </w:r>
          </w:p>
        </w:tc>
        <w:tc>
          <w:tcPr>
            <w:tcW w:w="1134" w:type="dxa"/>
          </w:tcPr>
          <w:p w14:paraId="48C701D8" w14:textId="77777777" w:rsidR="001E3D35" w:rsidRPr="001E3D35" w:rsidRDefault="001E3D35" w:rsidP="00BC3986">
            <w:pPr>
              <w:pStyle w:val="TableCopy"/>
              <w:jc w:val="right"/>
            </w:pPr>
          </w:p>
        </w:tc>
        <w:tc>
          <w:tcPr>
            <w:tcW w:w="963" w:type="dxa"/>
          </w:tcPr>
          <w:p w14:paraId="159E928A" w14:textId="77777777" w:rsidR="001E3D35" w:rsidRPr="001E3D35" w:rsidRDefault="001E3D35" w:rsidP="00BC3986">
            <w:pPr>
              <w:pStyle w:val="TableCopy"/>
              <w:jc w:val="right"/>
            </w:pPr>
          </w:p>
        </w:tc>
        <w:tc>
          <w:tcPr>
            <w:tcW w:w="1025" w:type="dxa"/>
          </w:tcPr>
          <w:p w14:paraId="7F686E27" w14:textId="77777777" w:rsidR="001E3D35" w:rsidRPr="001E3D35" w:rsidRDefault="001E3D35" w:rsidP="00BC3986">
            <w:pPr>
              <w:pStyle w:val="TableCopy"/>
              <w:jc w:val="right"/>
            </w:pPr>
          </w:p>
        </w:tc>
        <w:tc>
          <w:tcPr>
            <w:tcW w:w="1428" w:type="dxa"/>
          </w:tcPr>
          <w:p w14:paraId="6456CCF2" w14:textId="77777777" w:rsidR="001E3D35" w:rsidRPr="001E3D35" w:rsidRDefault="001E3D35" w:rsidP="00BC3986">
            <w:pPr>
              <w:pStyle w:val="TableCopy"/>
              <w:jc w:val="right"/>
            </w:pPr>
          </w:p>
        </w:tc>
        <w:tc>
          <w:tcPr>
            <w:tcW w:w="776" w:type="dxa"/>
          </w:tcPr>
          <w:p w14:paraId="710146A3" w14:textId="77777777" w:rsidR="001E3D35" w:rsidRPr="001E3D35" w:rsidRDefault="001E3D35" w:rsidP="00BC3986">
            <w:pPr>
              <w:pStyle w:val="TableCopy"/>
              <w:jc w:val="right"/>
            </w:pPr>
          </w:p>
        </w:tc>
      </w:tr>
      <w:tr w:rsidR="00CA3C5B" w:rsidRPr="001E3D35" w14:paraId="34F1C5B3" w14:textId="77777777" w:rsidTr="00BC3986">
        <w:trPr>
          <w:cantSplit/>
        </w:trPr>
        <w:tc>
          <w:tcPr>
            <w:tcW w:w="4815" w:type="dxa"/>
          </w:tcPr>
          <w:p w14:paraId="7AAF3C87" w14:textId="6C2146E2" w:rsidR="00CA3C5B" w:rsidRPr="001E3D35" w:rsidRDefault="00260033" w:rsidP="00DA783E">
            <w:pPr>
              <w:pStyle w:val="TableCopy"/>
              <w:rPr>
                <w:b/>
                <w:bCs/>
              </w:rPr>
            </w:pPr>
            <w:r w:rsidRPr="001E3D35">
              <w:rPr>
                <w:b/>
                <w:bCs/>
              </w:rPr>
              <w:t>Total</w:t>
            </w:r>
            <w:r w:rsidR="00932420" w:rsidRPr="001E3D35">
              <w:rPr>
                <w:b/>
                <w:bCs/>
              </w:rPr>
              <w:t xml:space="preserve"> </w:t>
            </w:r>
            <w:r w:rsidRPr="001E3D35">
              <w:rPr>
                <w:b/>
                <w:bCs/>
              </w:rPr>
              <w:t>output</w:t>
            </w:r>
            <w:r w:rsidR="00932420" w:rsidRPr="001E3D35">
              <w:rPr>
                <w:b/>
                <w:bCs/>
              </w:rPr>
              <w:t xml:space="preserve"> </w:t>
            </w:r>
            <w:r w:rsidRPr="001E3D35">
              <w:rPr>
                <w:b/>
                <w:bCs/>
              </w:rPr>
              <w:t>cost</w:t>
            </w:r>
          </w:p>
        </w:tc>
        <w:tc>
          <w:tcPr>
            <w:tcW w:w="1134" w:type="dxa"/>
          </w:tcPr>
          <w:p w14:paraId="2FB2073F" w14:textId="216B17E1" w:rsidR="00CA3C5B" w:rsidRPr="001E3D35" w:rsidRDefault="00260033" w:rsidP="00BC3986">
            <w:pPr>
              <w:pStyle w:val="TableCopy"/>
              <w:jc w:val="right"/>
              <w:rPr>
                <w:b/>
                <w:bCs/>
              </w:rPr>
            </w:pPr>
            <w:r w:rsidRPr="001E3D35">
              <w:rPr>
                <w:b/>
                <w:bCs/>
              </w:rPr>
              <w:t>$</w:t>
            </w:r>
            <w:r w:rsidR="00932420" w:rsidRPr="001E3D35">
              <w:rPr>
                <w:b/>
                <w:bCs/>
              </w:rPr>
              <w:t xml:space="preserve"> </w:t>
            </w:r>
            <w:r w:rsidRPr="001E3D35">
              <w:rPr>
                <w:b/>
                <w:bCs/>
              </w:rPr>
              <w:t>million</w:t>
            </w:r>
          </w:p>
        </w:tc>
        <w:tc>
          <w:tcPr>
            <w:tcW w:w="963" w:type="dxa"/>
          </w:tcPr>
          <w:p w14:paraId="5BCCCDA2" w14:textId="77777777" w:rsidR="00CA3C5B" w:rsidRPr="001E3D35" w:rsidRDefault="00260033" w:rsidP="00BC3986">
            <w:pPr>
              <w:pStyle w:val="TableCopy"/>
              <w:jc w:val="right"/>
              <w:rPr>
                <w:b/>
                <w:bCs/>
              </w:rPr>
            </w:pPr>
            <w:r w:rsidRPr="001E3D35">
              <w:rPr>
                <w:b/>
                <w:bCs/>
              </w:rPr>
              <w:t>54.7</w:t>
            </w:r>
          </w:p>
        </w:tc>
        <w:tc>
          <w:tcPr>
            <w:tcW w:w="1025" w:type="dxa"/>
          </w:tcPr>
          <w:p w14:paraId="5AF9A035" w14:textId="77777777" w:rsidR="00CA3C5B" w:rsidRPr="001E3D35" w:rsidRDefault="00260033" w:rsidP="00BC3986">
            <w:pPr>
              <w:pStyle w:val="TableCopy"/>
              <w:jc w:val="right"/>
              <w:rPr>
                <w:b/>
                <w:bCs/>
              </w:rPr>
            </w:pPr>
            <w:r w:rsidRPr="001E3D35">
              <w:rPr>
                <w:b/>
                <w:bCs/>
              </w:rPr>
              <w:t>46.4</w:t>
            </w:r>
          </w:p>
        </w:tc>
        <w:tc>
          <w:tcPr>
            <w:tcW w:w="1428" w:type="dxa"/>
          </w:tcPr>
          <w:p w14:paraId="358401B9" w14:textId="77777777" w:rsidR="00CA3C5B" w:rsidRPr="001E3D35" w:rsidRDefault="00260033" w:rsidP="00BC3986">
            <w:pPr>
              <w:pStyle w:val="TableCopy"/>
              <w:jc w:val="right"/>
              <w:rPr>
                <w:b/>
                <w:bCs/>
              </w:rPr>
            </w:pPr>
            <w:r w:rsidRPr="001E3D35">
              <w:rPr>
                <w:b/>
                <w:bCs/>
              </w:rPr>
              <w:t>17.9%</w:t>
            </w:r>
          </w:p>
        </w:tc>
        <w:tc>
          <w:tcPr>
            <w:tcW w:w="776" w:type="dxa"/>
          </w:tcPr>
          <w:p w14:paraId="2442E256" w14:textId="73189DC6" w:rsidR="00CA3C5B" w:rsidRPr="001E3D35" w:rsidRDefault="001E3D35" w:rsidP="00BC3986">
            <w:pPr>
              <w:pStyle w:val="TableCopy"/>
              <w:jc w:val="right"/>
              <w:rPr>
                <w:b/>
                <w:bCs/>
              </w:rPr>
            </w:pPr>
            <w:r w:rsidRPr="001E3D35">
              <w:rPr>
                <w:b/>
                <w:bCs/>
              </w:rPr>
              <w:t>3</w:t>
            </w:r>
          </w:p>
        </w:tc>
      </w:tr>
      <w:tr w:rsidR="001E3D35" w:rsidRPr="001E3D35" w14:paraId="24B9EFFA" w14:textId="77777777" w:rsidTr="00BC3986">
        <w:trPr>
          <w:cantSplit/>
        </w:trPr>
        <w:tc>
          <w:tcPr>
            <w:tcW w:w="4815" w:type="dxa"/>
          </w:tcPr>
          <w:p w14:paraId="0B4E96E9" w14:textId="04817D71" w:rsidR="001E3D35" w:rsidRPr="001E3D35" w:rsidRDefault="001E3D35" w:rsidP="001E3D35">
            <w:pPr>
              <w:pStyle w:val="TableCopy"/>
              <w:rPr>
                <w:i/>
                <w:iCs/>
              </w:rPr>
            </w:pPr>
            <w:r w:rsidRPr="001E3D35">
              <w:rPr>
                <w:i/>
                <w:iCs/>
              </w:rPr>
              <w:t>The 2022–23 result is higher than the 2022–23 budget mainly due to additional expenditure on trade fairs and missions.</w:t>
            </w:r>
          </w:p>
        </w:tc>
        <w:tc>
          <w:tcPr>
            <w:tcW w:w="1134" w:type="dxa"/>
          </w:tcPr>
          <w:p w14:paraId="610023E9" w14:textId="77777777" w:rsidR="001E3D35" w:rsidRPr="001E3D35" w:rsidRDefault="001E3D35" w:rsidP="00BC3986">
            <w:pPr>
              <w:pStyle w:val="TableCopy"/>
              <w:jc w:val="right"/>
            </w:pPr>
          </w:p>
        </w:tc>
        <w:tc>
          <w:tcPr>
            <w:tcW w:w="963" w:type="dxa"/>
          </w:tcPr>
          <w:p w14:paraId="5D6E957B" w14:textId="77777777" w:rsidR="001E3D35" w:rsidRPr="001E3D35" w:rsidRDefault="001E3D35" w:rsidP="00BC3986">
            <w:pPr>
              <w:pStyle w:val="TableCopy"/>
              <w:jc w:val="right"/>
            </w:pPr>
          </w:p>
        </w:tc>
        <w:tc>
          <w:tcPr>
            <w:tcW w:w="1025" w:type="dxa"/>
          </w:tcPr>
          <w:p w14:paraId="766988D7" w14:textId="77777777" w:rsidR="001E3D35" w:rsidRPr="001E3D35" w:rsidRDefault="001E3D35" w:rsidP="00BC3986">
            <w:pPr>
              <w:pStyle w:val="TableCopy"/>
              <w:jc w:val="right"/>
            </w:pPr>
          </w:p>
        </w:tc>
        <w:tc>
          <w:tcPr>
            <w:tcW w:w="1428" w:type="dxa"/>
          </w:tcPr>
          <w:p w14:paraId="49B3954B" w14:textId="77777777" w:rsidR="001E3D35" w:rsidRPr="001E3D35" w:rsidRDefault="001E3D35" w:rsidP="00BC3986">
            <w:pPr>
              <w:pStyle w:val="TableCopy"/>
              <w:jc w:val="right"/>
            </w:pPr>
          </w:p>
        </w:tc>
        <w:tc>
          <w:tcPr>
            <w:tcW w:w="776" w:type="dxa"/>
          </w:tcPr>
          <w:p w14:paraId="09733B63" w14:textId="77777777" w:rsidR="001E3D35" w:rsidRPr="001E3D35" w:rsidRDefault="001E3D35" w:rsidP="00BC3986">
            <w:pPr>
              <w:pStyle w:val="TableCopy"/>
              <w:jc w:val="right"/>
            </w:pPr>
          </w:p>
        </w:tc>
      </w:tr>
    </w:tbl>
    <w:p w14:paraId="725CB202" w14:textId="6925DEF3" w:rsidR="001E3D35" w:rsidRDefault="001E3D35" w:rsidP="001E3D35">
      <w:pPr>
        <w:pStyle w:val="FootnoteText"/>
        <w:spacing w:before="120"/>
      </w:pPr>
      <w:r>
        <w:t>Note:</w:t>
      </w:r>
    </w:p>
    <w:p w14:paraId="09E12768" w14:textId="1B163B27" w:rsidR="001E3D35" w:rsidRDefault="00BC3986" w:rsidP="001E3D35">
      <w:pPr>
        <w:pStyle w:val="FootnoteText"/>
      </w:pPr>
      <w:r>
        <w:t>1</w:t>
      </w:r>
      <w:r w:rsidR="001E3D35" w:rsidRPr="00BC3986">
        <w:t xml:space="preserve"> </w:t>
      </w:r>
      <w:r w:rsidR="001E3D35">
        <w:t>Performance target achieved or exceeded</w:t>
      </w:r>
    </w:p>
    <w:p w14:paraId="1E24A144" w14:textId="6921E896" w:rsidR="001E3D35" w:rsidRDefault="00BC3986" w:rsidP="001E3D35">
      <w:pPr>
        <w:pStyle w:val="FootnoteText"/>
      </w:pPr>
      <w:r>
        <w:t>2</w:t>
      </w:r>
      <w:r w:rsidR="001E3D35" w:rsidRPr="00BC3986">
        <w:t xml:space="preserve"> </w:t>
      </w:r>
      <w:r w:rsidR="001E3D35">
        <w:t>Performance target not achieved – but within 5% variance</w:t>
      </w:r>
    </w:p>
    <w:p w14:paraId="63CCDD26" w14:textId="66BD7BF4" w:rsidR="00CA3C5B" w:rsidRDefault="00BC3986" w:rsidP="001E3D35">
      <w:pPr>
        <w:pStyle w:val="FootnoteText"/>
        <w:spacing w:after="280"/>
      </w:pPr>
      <w:r>
        <w:t>3</w:t>
      </w:r>
      <w:r w:rsidR="001E3D35" w:rsidRPr="00BC3986">
        <w:t xml:space="preserve"> </w:t>
      </w:r>
      <w:r w:rsidR="001E3D35">
        <w:t>Performance target not achieved – exceeds 5% variance</w:t>
      </w:r>
    </w:p>
    <w:p w14:paraId="347196F8" w14:textId="7E63B699" w:rsidR="00CA3C5B" w:rsidRDefault="00260033" w:rsidP="001E3D35">
      <w:pPr>
        <w:pStyle w:val="Heading2"/>
      </w:pPr>
      <w:bookmarkStart w:id="23" w:name="_Toc152067221"/>
      <w:r>
        <w:lastRenderedPageBreak/>
        <w:t>Objective</w:t>
      </w:r>
      <w:r w:rsidR="00932420">
        <w:t xml:space="preserve"> </w:t>
      </w:r>
      <w:r>
        <w:t>4:</w:t>
      </w:r>
      <w:r w:rsidR="00932420">
        <w:t xml:space="preserve"> </w:t>
      </w:r>
      <w:r>
        <w:t>Build</w:t>
      </w:r>
      <w:r w:rsidR="00932420">
        <w:t xml:space="preserve"> </w:t>
      </w:r>
      <w:r>
        <w:t>prosperous</w:t>
      </w:r>
      <w:r w:rsidR="00932420">
        <w:t xml:space="preserve"> </w:t>
      </w:r>
      <w:r>
        <w:t>and</w:t>
      </w:r>
      <w:r w:rsidR="00932420">
        <w:t xml:space="preserve"> </w:t>
      </w:r>
      <w:r>
        <w:t>liveable</w:t>
      </w:r>
      <w:r w:rsidR="00932420">
        <w:t xml:space="preserve"> </w:t>
      </w:r>
      <w:r>
        <w:t>suburbs</w:t>
      </w:r>
      <w:r w:rsidR="00932420">
        <w:t xml:space="preserve"> </w:t>
      </w:r>
      <w:r>
        <w:t>and</w:t>
      </w:r>
      <w:r w:rsidR="00932420">
        <w:t xml:space="preserve"> </w:t>
      </w:r>
      <w:r>
        <w:t>regions,</w:t>
      </w:r>
      <w:r w:rsidR="00932420">
        <w:t xml:space="preserve"> </w:t>
      </w:r>
      <w:r>
        <w:t>and</w:t>
      </w:r>
      <w:r w:rsidR="00932420">
        <w:t xml:space="preserve"> </w:t>
      </w:r>
      <w:r>
        <w:t>promote</w:t>
      </w:r>
      <w:r w:rsidR="00932420">
        <w:t xml:space="preserve"> </w:t>
      </w:r>
      <w:r>
        <w:t>outdoor</w:t>
      </w:r>
      <w:r w:rsidR="00932420">
        <w:t xml:space="preserve"> </w:t>
      </w:r>
      <w:r>
        <w:t>recreation</w:t>
      </w:r>
      <w:bookmarkEnd w:id="23"/>
    </w:p>
    <w:p w14:paraId="04B97F8A" w14:textId="19F07A21" w:rsidR="00CA3C5B" w:rsidRDefault="00260033" w:rsidP="00BC3986">
      <w:r>
        <w:t>This</w:t>
      </w:r>
      <w:r w:rsidR="00932420">
        <w:t xml:space="preserve"> </w:t>
      </w:r>
      <w:r>
        <w:t>objective</w:t>
      </w:r>
      <w:r w:rsidR="00932420">
        <w:t xml:space="preserve"> </w:t>
      </w:r>
      <w:r>
        <w:t>seeks</w:t>
      </w:r>
      <w:r w:rsidR="00932420">
        <w:t xml:space="preserve"> </w:t>
      </w:r>
      <w:r>
        <w:t>to</w:t>
      </w:r>
      <w:r w:rsidR="00932420">
        <w:t xml:space="preserve"> </w:t>
      </w:r>
      <w:r>
        <w:t>ensure</w:t>
      </w:r>
      <w:r w:rsidR="00932420">
        <w:t xml:space="preserve"> </w:t>
      </w:r>
      <w:r>
        <w:t>that</w:t>
      </w:r>
      <w:r w:rsidR="00932420">
        <w:t xml:space="preserve"> </w:t>
      </w:r>
      <w:r>
        <w:t>Victoria’s</w:t>
      </w:r>
      <w:r w:rsidR="00932420">
        <w:t xml:space="preserve"> </w:t>
      </w:r>
      <w:r>
        <w:t>suburbs</w:t>
      </w:r>
      <w:r w:rsidR="00932420">
        <w:t xml:space="preserve"> </w:t>
      </w:r>
      <w:r>
        <w:t>and</w:t>
      </w:r>
      <w:r w:rsidR="00932420">
        <w:t xml:space="preserve"> </w:t>
      </w:r>
      <w:r>
        <w:t>regions</w:t>
      </w:r>
      <w:r w:rsidR="00932420">
        <w:t xml:space="preserve"> </w:t>
      </w:r>
      <w:r>
        <w:t>are</w:t>
      </w:r>
      <w:r w:rsidR="00932420">
        <w:t xml:space="preserve"> </w:t>
      </w:r>
      <w:r>
        <w:t>developed</w:t>
      </w:r>
      <w:r w:rsidR="00932420">
        <w:t xml:space="preserve"> </w:t>
      </w:r>
      <w:r>
        <w:t>to</w:t>
      </w:r>
      <w:r w:rsidR="00932420">
        <w:t xml:space="preserve"> </w:t>
      </w:r>
      <w:r>
        <w:t>create</w:t>
      </w:r>
      <w:r w:rsidR="00932420">
        <w:t xml:space="preserve"> </w:t>
      </w:r>
      <w:r>
        <w:rPr>
          <w:spacing w:val="-1"/>
        </w:rPr>
        <w:t>places</w:t>
      </w:r>
      <w:r w:rsidR="00932420">
        <w:rPr>
          <w:spacing w:val="-1"/>
        </w:rPr>
        <w:t xml:space="preserve"> </w:t>
      </w:r>
      <w:r>
        <w:rPr>
          <w:spacing w:val="-1"/>
        </w:rPr>
        <w:t>where</w:t>
      </w:r>
      <w:r w:rsidR="00932420">
        <w:rPr>
          <w:spacing w:val="-1"/>
        </w:rPr>
        <w:t xml:space="preserve"> </w:t>
      </w:r>
      <w:r>
        <w:rPr>
          <w:spacing w:val="-1"/>
        </w:rPr>
        <w:t>all</w:t>
      </w:r>
      <w:r w:rsidR="00932420">
        <w:rPr>
          <w:spacing w:val="-1"/>
        </w:rPr>
        <w:t xml:space="preserve"> </w:t>
      </w:r>
      <w:r>
        <w:rPr>
          <w:spacing w:val="-1"/>
        </w:rPr>
        <w:t>Victorians</w:t>
      </w:r>
      <w:r w:rsidR="00932420">
        <w:rPr>
          <w:spacing w:val="-1"/>
        </w:rPr>
        <w:t xml:space="preserve"> </w:t>
      </w:r>
      <w:r>
        <w:rPr>
          <w:spacing w:val="-1"/>
        </w:rPr>
        <w:t>have</w:t>
      </w:r>
      <w:r w:rsidR="00932420">
        <w:rPr>
          <w:spacing w:val="-1"/>
        </w:rPr>
        <w:t xml:space="preserve"> </w:t>
      </w:r>
      <w:r>
        <w:rPr>
          <w:spacing w:val="-1"/>
        </w:rPr>
        <w:t>an</w:t>
      </w:r>
      <w:r w:rsidR="00932420">
        <w:rPr>
          <w:spacing w:val="-1"/>
        </w:rPr>
        <w:t xml:space="preserve"> </w:t>
      </w:r>
      <w:r>
        <w:rPr>
          <w:spacing w:val="-1"/>
        </w:rPr>
        <w:t>opportunity</w:t>
      </w:r>
      <w:r w:rsidR="00932420">
        <w:rPr>
          <w:spacing w:val="-1"/>
        </w:rPr>
        <w:t xml:space="preserve"> </w:t>
      </w:r>
      <w:r>
        <w:rPr>
          <w:spacing w:val="-1"/>
        </w:rPr>
        <w:t>to</w:t>
      </w:r>
      <w:r w:rsidR="00932420">
        <w:rPr>
          <w:spacing w:val="-1"/>
        </w:rPr>
        <w:t xml:space="preserve"> </w:t>
      </w:r>
      <w:r>
        <w:t>participate</w:t>
      </w:r>
      <w:r w:rsidR="00932420">
        <w:t xml:space="preserve"> </w:t>
      </w:r>
      <w:r>
        <w:t>in</w:t>
      </w:r>
      <w:r w:rsidR="00932420">
        <w:t xml:space="preserve"> </w:t>
      </w:r>
      <w:r>
        <w:t>communities</w:t>
      </w:r>
      <w:r w:rsidR="00932420">
        <w:t xml:space="preserve"> </w:t>
      </w:r>
      <w:r>
        <w:t>that</w:t>
      </w:r>
      <w:r w:rsidR="00932420">
        <w:t xml:space="preserve"> </w:t>
      </w:r>
      <w:r>
        <w:t>are</w:t>
      </w:r>
      <w:r w:rsidR="00932420">
        <w:t xml:space="preserve"> </w:t>
      </w:r>
      <w:r>
        <w:t>well-connected,</w:t>
      </w:r>
      <w:r w:rsidR="00932420">
        <w:t xml:space="preserve"> </w:t>
      </w:r>
      <w:r>
        <w:t>prosperous,</w:t>
      </w:r>
      <w:r w:rsidR="00932420">
        <w:t xml:space="preserve"> </w:t>
      </w:r>
      <w:proofErr w:type="gramStart"/>
      <w:r>
        <w:t>vibrant</w:t>
      </w:r>
      <w:proofErr w:type="gramEnd"/>
      <w:r w:rsidR="00932420">
        <w:t xml:space="preserve"> </w:t>
      </w:r>
      <w:r>
        <w:t>and</w:t>
      </w:r>
      <w:r w:rsidR="00932420">
        <w:t xml:space="preserve"> </w:t>
      </w:r>
      <w:r>
        <w:t>diverse.</w:t>
      </w:r>
      <w:r w:rsidR="00932420">
        <w:t xml:space="preserve"> </w:t>
      </w:r>
      <w:r>
        <w:t>This</w:t>
      </w:r>
      <w:r w:rsidR="00932420">
        <w:t xml:space="preserve"> </w:t>
      </w:r>
      <w:r>
        <w:t>objective</w:t>
      </w:r>
      <w:r w:rsidR="00932420">
        <w:t xml:space="preserve"> </w:t>
      </w:r>
      <w:r>
        <w:t>also</w:t>
      </w:r>
      <w:r w:rsidR="00932420">
        <w:t xml:space="preserve"> </w:t>
      </w:r>
      <w:r>
        <w:t>supports</w:t>
      </w:r>
      <w:r w:rsidR="00932420">
        <w:t xml:space="preserve"> </w:t>
      </w:r>
      <w:r>
        <w:t>the</w:t>
      </w:r>
      <w:r w:rsidR="00932420">
        <w:t xml:space="preserve"> </w:t>
      </w:r>
      <w:r>
        <w:t>development</w:t>
      </w:r>
      <w:r w:rsidR="00932420">
        <w:t xml:space="preserve"> </w:t>
      </w:r>
      <w:r>
        <w:t>of</w:t>
      </w:r>
      <w:r w:rsidR="00932420">
        <w:t xml:space="preserve"> </w:t>
      </w:r>
      <w:r>
        <w:t>sustainable</w:t>
      </w:r>
      <w:r w:rsidR="00932420">
        <w:t xml:space="preserve"> </w:t>
      </w:r>
      <w:r>
        <w:t>game</w:t>
      </w:r>
      <w:r w:rsidR="00932420">
        <w:t xml:space="preserve"> </w:t>
      </w:r>
      <w:r>
        <w:t>hunting,</w:t>
      </w:r>
      <w:r w:rsidR="00932420">
        <w:t xml:space="preserve"> </w:t>
      </w:r>
      <w:r>
        <w:t>fishing</w:t>
      </w:r>
      <w:r w:rsidR="00932420">
        <w:t xml:space="preserve"> </w:t>
      </w:r>
      <w:r>
        <w:t>and</w:t>
      </w:r>
      <w:r w:rsidR="00932420">
        <w:t xml:space="preserve"> </w:t>
      </w:r>
      <w:r>
        <w:t>aquaculture</w:t>
      </w:r>
      <w:r w:rsidR="00932420">
        <w:t xml:space="preserve"> </w:t>
      </w:r>
      <w:r>
        <w:t>activities</w:t>
      </w:r>
      <w:r w:rsidR="00932420">
        <w:t xml:space="preserve"> </w:t>
      </w:r>
      <w:r>
        <w:t>in</w:t>
      </w:r>
      <w:r w:rsidR="00932420">
        <w:t xml:space="preserve"> </w:t>
      </w:r>
      <w:r>
        <w:t>Victoria</w:t>
      </w:r>
      <w:r w:rsidR="00932420">
        <w:t xml:space="preserve"> </w:t>
      </w:r>
      <w:r>
        <w:t>and</w:t>
      </w:r>
      <w:r w:rsidR="00932420">
        <w:t xml:space="preserve"> </w:t>
      </w:r>
      <w:r>
        <w:t>the</w:t>
      </w:r>
      <w:r w:rsidR="00932420">
        <w:t xml:space="preserve"> </w:t>
      </w:r>
      <w:r>
        <w:t>delivery</w:t>
      </w:r>
      <w:r w:rsidR="00932420">
        <w:t xml:space="preserve"> </w:t>
      </w:r>
      <w:r>
        <w:t>of</w:t>
      </w:r>
      <w:r w:rsidR="00932420">
        <w:t xml:space="preserve"> </w:t>
      </w:r>
      <w:r>
        <w:t>improved</w:t>
      </w:r>
      <w:r w:rsidR="00932420">
        <w:t xml:space="preserve"> </w:t>
      </w: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p>
    <w:p w14:paraId="5B5E83A2" w14:textId="0E6F71CC" w:rsidR="00CA3C5B" w:rsidRDefault="00260033" w:rsidP="00BC3986">
      <w:pPr>
        <w:pStyle w:val="Heading3"/>
      </w:pPr>
      <w:r>
        <w:t>Progress</w:t>
      </w:r>
      <w:r w:rsidR="00932420">
        <w:t xml:space="preserve"> </w:t>
      </w:r>
      <w:r>
        <w:t>towards</w:t>
      </w:r>
      <w:r w:rsidR="00932420">
        <w:t xml:space="preserve"> </w:t>
      </w:r>
      <w:r>
        <w:t>achieving</w:t>
      </w:r>
      <w:r w:rsidR="00932420">
        <w:t xml:space="preserve"> </w:t>
      </w:r>
      <w:r>
        <w:t>this</w:t>
      </w:r>
      <w:r w:rsidR="00932420">
        <w:t xml:space="preserve"> </w:t>
      </w:r>
      <w:r>
        <w:t>objective</w:t>
      </w:r>
    </w:p>
    <w:p w14:paraId="53ECC806" w14:textId="476495C3" w:rsidR="00CA3C5B" w:rsidRDefault="00260033" w:rsidP="00BC3986">
      <w:pPr>
        <w:pStyle w:val="Normalbeforebullets"/>
      </w:pPr>
      <w:r>
        <w:t>In</w:t>
      </w:r>
      <w:r w:rsidR="00932420">
        <w:t xml:space="preserve"> </w:t>
      </w:r>
      <w:r>
        <w:t>2022–23,</w:t>
      </w:r>
      <w:r w:rsidR="00932420">
        <w:t xml:space="preserve"> </w:t>
      </w:r>
      <w:r>
        <w:t>the</w:t>
      </w:r>
      <w:r w:rsidR="00932420">
        <w:t xml:space="preserve"> </w:t>
      </w:r>
      <w:r>
        <w:t>department</w:t>
      </w:r>
      <w:r w:rsidR="00932420">
        <w:t xml:space="preserve"> </w:t>
      </w:r>
      <w:r>
        <w:t>reported</w:t>
      </w:r>
      <w:r w:rsidR="00932420">
        <w:t xml:space="preserve"> </w:t>
      </w:r>
      <w:r>
        <w:t>progress</w:t>
      </w:r>
      <w:r w:rsidR="00932420">
        <w:t xml:space="preserve"> </w:t>
      </w:r>
      <w:r>
        <w:t>against</w:t>
      </w:r>
      <w:r w:rsidR="00932420">
        <w:t xml:space="preserve"> </w:t>
      </w:r>
      <w:r>
        <w:t>this</w:t>
      </w:r>
      <w:r w:rsidR="00932420">
        <w:t xml:space="preserve"> </w:t>
      </w:r>
      <w:r>
        <w:t>objective</w:t>
      </w:r>
      <w:r w:rsidR="00932420">
        <w:t xml:space="preserve"> </w:t>
      </w:r>
      <w:r>
        <w:t>using</w:t>
      </w:r>
      <w:r w:rsidR="00932420">
        <w:t xml:space="preserve"> </w:t>
      </w:r>
      <w:r>
        <w:t>the</w:t>
      </w:r>
      <w:r w:rsidR="00932420">
        <w:t xml:space="preserve"> </w:t>
      </w:r>
      <w:r>
        <w:t>following</w:t>
      </w:r>
      <w:r w:rsidR="00932420">
        <w:t xml:space="preserve"> </w:t>
      </w:r>
      <w:r>
        <w:t>objective</w:t>
      </w:r>
      <w:r w:rsidR="00932420">
        <w:t xml:space="preserve"> </w:t>
      </w:r>
      <w:r>
        <w:t>indicators</w:t>
      </w:r>
      <w:r w:rsidR="00932420">
        <w:t xml:space="preserve"> </w:t>
      </w:r>
      <w:r>
        <w:t>and</w:t>
      </w:r>
      <w:r w:rsidR="00932420">
        <w:t xml:space="preserve"> </w:t>
      </w:r>
      <w:r>
        <w:t>outputs:</w:t>
      </w:r>
    </w:p>
    <w:p w14:paraId="3DC276C8" w14:textId="31777E82" w:rsidR="00CA3C5B" w:rsidRPr="00BC3986" w:rsidRDefault="00260033" w:rsidP="00BC3986">
      <w:pPr>
        <w:pStyle w:val="Normalbeforebullets"/>
        <w:rPr>
          <w:b/>
          <w:bCs/>
        </w:rPr>
      </w:pPr>
      <w:r w:rsidRPr="00BC3986">
        <w:rPr>
          <w:b/>
          <w:bCs/>
        </w:rPr>
        <w:t>Objective</w:t>
      </w:r>
      <w:r w:rsidR="00932420" w:rsidRPr="00BC3986">
        <w:rPr>
          <w:b/>
          <w:bCs/>
        </w:rPr>
        <w:t xml:space="preserve"> </w:t>
      </w:r>
      <w:r w:rsidRPr="00BC3986">
        <w:rPr>
          <w:b/>
          <w:bCs/>
        </w:rPr>
        <w:t>Indicators</w:t>
      </w:r>
    </w:p>
    <w:p w14:paraId="6853A002" w14:textId="5AD227BA" w:rsidR="00CA3C5B" w:rsidRDefault="00260033" w:rsidP="00BC3986">
      <w:pPr>
        <w:pStyle w:val="Bullet"/>
      </w:pPr>
      <w:r>
        <w:t>Jobs</w:t>
      </w:r>
      <w:r w:rsidR="00932420">
        <w:t xml:space="preserve"> </w:t>
      </w:r>
      <w:r>
        <w:t>and</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6B2E6642" w14:textId="4AC447EC" w:rsidR="00CA3C5B" w:rsidRDefault="00260033" w:rsidP="00BC3986">
      <w:pPr>
        <w:pStyle w:val="Bullet"/>
      </w:pPr>
      <w:r>
        <w:t>Projects</w:t>
      </w:r>
      <w:r w:rsidR="00932420">
        <w:t xml:space="preserve"> </w:t>
      </w:r>
      <w:r>
        <w:t>and</w:t>
      </w:r>
      <w:r w:rsidR="00932420">
        <w:t xml:space="preserve"> </w:t>
      </w:r>
      <w:r>
        <w:t>activities</w:t>
      </w:r>
      <w:r w:rsidR="00932420">
        <w:t xml:space="preserve"> </w:t>
      </w:r>
      <w:r>
        <w:t>delivered</w:t>
      </w:r>
      <w:r w:rsidR="00932420">
        <w:t xml:space="preserve"> </w:t>
      </w:r>
      <w:r>
        <w:t>to</w:t>
      </w:r>
      <w:r w:rsidR="00932420">
        <w:t xml:space="preserve"> </w:t>
      </w:r>
      <w:r>
        <w:t>support</w:t>
      </w:r>
      <w:r w:rsidR="00932420">
        <w:t xml:space="preserve"> </w:t>
      </w:r>
      <w:r>
        <w:t>economic</w:t>
      </w:r>
      <w:r w:rsidR="00932420">
        <w:t xml:space="preserve"> </w:t>
      </w:r>
      <w:r>
        <w:t>and</w:t>
      </w:r>
      <w:r w:rsidR="00932420">
        <w:t xml:space="preserve"> </w:t>
      </w:r>
      <w:r>
        <w:t>community</w:t>
      </w:r>
      <w:r w:rsidR="00932420">
        <w:t xml:space="preserve"> </w:t>
      </w:r>
      <w:r>
        <w:t>outcomes</w:t>
      </w:r>
    </w:p>
    <w:p w14:paraId="6E15E3A4" w14:textId="22C8B358" w:rsidR="00CA3C5B" w:rsidRDefault="00260033" w:rsidP="00BC3986">
      <w:pPr>
        <w:pStyle w:val="Bullet"/>
      </w:pPr>
      <w:r>
        <w:t>Compliance</w:t>
      </w:r>
      <w:r w:rsidR="00932420">
        <w:t xml:space="preserve"> </w:t>
      </w:r>
      <w:r>
        <w:t>activities</w:t>
      </w:r>
      <w:r w:rsidR="00932420">
        <w:t xml:space="preserve"> </w:t>
      </w:r>
      <w:r>
        <w:t>to</w:t>
      </w:r>
      <w:r w:rsidR="00932420">
        <w:t xml:space="preserve"> </w:t>
      </w:r>
      <w:r>
        <w:t>protect</w:t>
      </w:r>
      <w:r w:rsidR="00932420">
        <w:t xml:space="preserve"> </w:t>
      </w:r>
      <w:r>
        <w:t>fish</w:t>
      </w:r>
      <w:r w:rsidR="00932420">
        <w:t xml:space="preserve"> </w:t>
      </w:r>
      <w:r>
        <w:t>and</w:t>
      </w:r>
      <w:r w:rsidR="00932420">
        <w:t xml:space="preserve"> </w:t>
      </w:r>
      <w:r>
        <w:t>game</w:t>
      </w:r>
      <w:r w:rsidR="00932420">
        <w:t xml:space="preserve"> </w:t>
      </w:r>
      <w:r>
        <w:t>resources</w:t>
      </w:r>
    </w:p>
    <w:p w14:paraId="58CAF98C" w14:textId="4FE1843F" w:rsidR="00CA3C5B" w:rsidRDefault="00260033" w:rsidP="00BC3986">
      <w:pPr>
        <w:pStyle w:val="Bulletlast"/>
      </w:pPr>
      <w:r>
        <w:t>Improved</w:t>
      </w:r>
      <w:r w:rsidR="00932420">
        <w:t xml:space="preserve"> </w:t>
      </w: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p>
    <w:p w14:paraId="7DD44A25" w14:textId="77777777" w:rsidR="00CA3C5B" w:rsidRPr="00BC3986" w:rsidRDefault="00260033" w:rsidP="00BC3986">
      <w:pPr>
        <w:pStyle w:val="Normalbeforebullets"/>
        <w:rPr>
          <w:b/>
          <w:bCs/>
        </w:rPr>
      </w:pPr>
      <w:r w:rsidRPr="00BC3986">
        <w:rPr>
          <w:b/>
          <w:bCs/>
        </w:rPr>
        <w:t>Outputs</w:t>
      </w:r>
    </w:p>
    <w:p w14:paraId="542D68EC" w14:textId="7726502F" w:rsidR="00CA3C5B" w:rsidRDefault="00260033" w:rsidP="00BC3986">
      <w:pPr>
        <w:pStyle w:val="Bullet"/>
      </w:pPr>
      <w:r>
        <w:t>Regional</w:t>
      </w:r>
      <w:r w:rsidR="00932420">
        <w:t xml:space="preserve"> </w:t>
      </w:r>
      <w:r>
        <w:t>Development</w:t>
      </w:r>
    </w:p>
    <w:p w14:paraId="6D1F0CC2" w14:textId="6E8B628A" w:rsidR="00CA3C5B" w:rsidRDefault="00260033" w:rsidP="00BC3986">
      <w:pPr>
        <w:pStyle w:val="Bullet"/>
      </w:pPr>
      <w:r>
        <w:t>Suburban</w:t>
      </w:r>
      <w:r w:rsidR="00932420">
        <w:t xml:space="preserve"> </w:t>
      </w:r>
      <w:r>
        <w:t>Development</w:t>
      </w:r>
    </w:p>
    <w:p w14:paraId="5B396550" w14:textId="3E3B90E7" w:rsidR="00CA3C5B" w:rsidRDefault="00260033" w:rsidP="00BC3986">
      <w:pPr>
        <w:pStyle w:val="Bulletlast"/>
      </w:pPr>
      <w:r>
        <w:t>Sustainably</w:t>
      </w:r>
      <w:r w:rsidR="00932420">
        <w:t xml:space="preserve"> </w:t>
      </w:r>
      <w:r>
        <w:t>Managed</w:t>
      </w:r>
      <w:r w:rsidR="00932420">
        <w:t xml:space="preserve"> </w:t>
      </w:r>
      <w:r>
        <w:t>Fish</w:t>
      </w:r>
      <w:r w:rsidR="00932420">
        <w:t xml:space="preserve"> </w:t>
      </w:r>
      <w:r>
        <w:t>and</w:t>
      </w:r>
      <w:r w:rsidR="00932420">
        <w:t xml:space="preserve"> </w:t>
      </w:r>
      <w:r>
        <w:t>Boating</w:t>
      </w:r>
      <w:r w:rsidR="00932420">
        <w:t xml:space="preserve"> </w:t>
      </w:r>
      <w:r>
        <w:t>Resources</w:t>
      </w:r>
    </w:p>
    <w:p w14:paraId="7E18F4E5" w14:textId="0AF2EBD1" w:rsidR="00CA3C5B" w:rsidRDefault="00260033" w:rsidP="00BC3986">
      <w:pPr>
        <w:pStyle w:val="Heading2"/>
      </w:pPr>
      <w:bookmarkStart w:id="24" w:name="_Toc152067222"/>
      <w:r>
        <w:t>Indicator:</w:t>
      </w:r>
      <w:r w:rsidR="00932420">
        <w:t xml:space="preserve"> </w:t>
      </w:r>
      <w:r>
        <w:t>Jobs</w:t>
      </w:r>
      <w:r w:rsidR="00932420">
        <w:t xml:space="preserve"> </w:t>
      </w:r>
      <w:r>
        <w:t>and</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bookmarkEnd w:id="24"/>
    </w:p>
    <w:p w14:paraId="1E77FF70" w14:textId="2326EE98" w:rsidR="00CA3C5B" w:rsidRDefault="00260033" w:rsidP="00BC3986">
      <w:pPr>
        <w:pStyle w:val="TableHeading"/>
      </w:pPr>
      <w:r>
        <w:t>Table</w:t>
      </w:r>
      <w:r w:rsidR="00932420">
        <w:t xml:space="preserve"> </w:t>
      </w:r>
      <w:r>
        <w:t>10:</w:t>
      </w:r>
      <w:r w:rsidR="00932420">
        <w:t xml:space="preserve"> </w:t>
      </w:r>
      <w:r>
        <w:t>Jobs</w:t>
      </w:r>
      <w:r w:rsidR="00932420">
        <w:t xml:space="preserve"> </w:t>
      </w:r>
      <w:r>
        <w:t>and</w:t>
      </w:r>
      <w:r w:rsidR="00932420">
        <w:t xml:space="preserve"> </w:t>
      </w:r>
      <w:r>
        <w:t>investment</w:t>
      </w:r>
      <w:r w:rsidR="00932420">
        <w:t xml:space="preserve"> </w:t>
      </w:r>
      <w:r>
        <w:t>secured</w:t>
      </w:r>
      <w:r w:rsidR="00932420">
        <w:t xml:space="preserve"> </w:t>
      </w:r>
      <w:r>
        <w:t>through</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4BA7E6B6" w14:textId="77777777" w:rsidTr="00BC3986">
        <w:trPr>
          <w:cantSplit/>
        </w:trPr>
        <w:tc>
          <w:tcPr>
            <w:tcW w:w="5102" w:type="dxa"/>
          </w:tcPr>
          <w:p w14:paraId="7C8F241B" w14:textId="651480DC" w:rsidR="00CA3C5B" w:rsidRDefault="00260033" w:rsidP="00BC3986">
            <w:pPr>
              <w:pStyle w:val="TableColumnHeading"/>
            </w:pPr>
            <w:bookmarkStart w:id="25" w:name="ColumnTitle_11"/>
            <w:bookmarkEnd w:id="25"/>
            <w:r>
              <w:t>Measure</w:t>
            </w:r>
            <w:r w:rsidR="00932420">
              <w:t xml:space="preserve"> </w:t>
            </w:r>
            <w:r>
              <w:t>(unit</w:t>
            </w:r>
            <w:r w:rsidR="00932420">
              <w:t xml:space="preserve"> </w:t>
            </w:r>
            <w:r>
              <w:t>of</w:t>
            </w:r>
            <w:r w:rsidR="00932420">
              <w:t xml:space="preserve"> </w:t>
            </w:r>
            <w:r>
              <w:t>measure)</w:t>
            </w:r>
          </w:p>
        </w:tc>
        <w:tc>
          <w:tcPr>
            <w:tcW w:w="1134" w:type="dxa"/>
          </w:tcPr>
          <w:p w14:paraId="1A691766" w14:textId="77777777" w:rsidR="00CA3C5B" w:rsidRDefault="00260033" w:rsidP="00BC3986">
            <w:pPr>
              <w:pStyle w:val="TableColumnHeading"/>
            </w:pPr>
            <w:r>
              <w:t>2019–20</w:t>
            </w:r>
          </w:p>
        </w:tc>
        <w:tc>
          <w:tcPr>
            <w:tcW w:w="1134" w:type="dxa"/>
          </w:tcPr>
          <w:p w14:paraId="4CB353A2" w14:textId="77777777" w:rsidR="00CA3C5B" w:rsidRDefault="00260033" w:rsidP="00BC3986">
            <w:pPr>
              <w:pStyle w:val="TableColumnHeading"/>
            </w:pPr>
            <w:r>
              <w:t>2020–21</w:t>
            </w:r>
          </w:p>
        </w:tc>
        <w:tc>
          <w:tcPr>
            <w:tcW w:w="1134" w:type="dxa"/>
          </w:tcPr>
          <w:p w14:paraId="169C54CE" w14:textId="77777777" w:rsidR="00CA3C5B" w:rsidRDefault="00260033" w:rsidP="00BC3986">
            <w:pPr>
              <w:pStyle w:val="TableColumnHeading"/>
            </w:pPr>
            <w:r>
              <w:t>2021–22</w:t>
            </w:r>
          </w:p>
        </w:tc>
        <w:tc>
          <w:tcPr>
            <w:tcW w:w="1134" w:type="dxa"/>
          </w:tcPr>
          <w:p w14:paraId="066E2C58" w14:textId="77777777" w:rsidR="00CA3C5B" w:rsidRDefault="00260033" w:rsidP="00BC3986">
            <w:pPr>
              <w:pStyle w:val="TableColumnHeading"/>
            </w:pPr>
            <w:r>
              <w:rPr>
                <w:lang w:val="en-US"/>
              </w:rPr>
              <w:t>2022–23</w:t>
            </w:r>
          </w:p>
        </w:tc>
      </w:tr>
      <w:tr w:rsidR="00CA3C5B" w14:paraId="444C45CB" w14:textId="77777777" w:rsidTr="00BC3986">
        <w:trPr>
          <w:cantSplit/>
        </w:trPr>
        <w:tc>
          <w:tcPr>
            <w:tcW w:w="5102" w:type="dxa"/>
          </w:tcPr>
          <w:p w14:paraId="034ABD8C" w14:textId="52637AD5" w:rsidR="00CA3C5B" w:rsidRDefault="00260033" w:rsidP="00BC3986">
            <w:pPr>
              <w:pStyle w:val="TableCopy"/>
            </w:pPr>
            <w:r>
              <w:t>Jobs</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investment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r>
              <w:t>(number)</w:t>
            </w:r>
          </w:p>
        </w:tc>
        <w:tc>
          <w:tcPr>
            <w:tcW w:w="1134" w:type="dxa"/>
          </w:tcPr>
          <w:p w14:paraId="655646C6" w14:textId="77777777" w:rsidR="00CA3C5B" w:rsidRDefault="00260033" w:rsidP="00BC3986">
            <w:pPr>
              <w:pStyle w:val="TableCopy"/>
            </w:pPr>
            <w:r>
              <w:t>1,215</w:t>
            </w:r>
          </w:p>
        </w:tc>
        <w:tc>
          <w:tcPr>
            <w:tcW w:w="1134" w:type="dxa"/>
          </w:tcPr>
          <w:p w14:paraId="39E60C80" w14:textId="77777777" w:rsidR="00CA3C5B" w:rsidRDefault="00260033" w:rsidP="00BC3986">
            <w:pPr>
              <w:pStyle w:val="TableCopy"/>
            </w:pPr>
            <w:r>
              <w:t>1,468</w:t>
            </w:r>
          </w:p>
        </w:tc>
        <w:tc>
          <w:tcPr>
            <w:tcW w:w="1134" w:type="dxa"/>
          </w:tcPr>
          <w:p w14:paraId="497A4A90" w14:textId="77777777" w:rsidR="00CA3C5B" w:rsidRDefault="00260033" w:rsidP="00BC3986">
            <w:pPr>
              <w:pStyle w:val="TableCopy"/>
            </w:pPr>
            <w:r>
              <w:t>2,427</w:t>
            </w:r>
          </w:p>
        </w:tc>
        <w:tc>
          <w:tcPr>
            <w:tcW w:w="1134" w:type="dxa"/>
          </w:tcPr>
          <w:p w14:paraId="738B5BC3" w14:textId="77777777" w:rsidR="00CA3C5B" w:rsidRDefault="00260033" w:rsidP="00BC3986">
            <w:pPr>
              <w:pStyle w:val="TableCopy"/>
            </w:pPr>
            <w:r>
              <w:t>1,017</w:t>
            </w:r>
          </w:p>
        </w:tc>
      </w:tr>
      <w:tr w:rsidR="00CA3C5B" w14:paraId="5F7DBF97" w14:textId="77777777" w:rsidTr="00BC3986">
        <w:trPr>
          <w:cantSplit/>
        </w:trPr>
        <w:tc>
          <w:tcPr>
            <w:tcW w:w="5102" w:type="dxa"/>
          </w:tcPr>
          <w:p w14:paraId="3D1E63A0" w14:textId="4D6C10EC" w:rsidR="00CA3C5B" w:rsidRDefault="00260033" w:rsidP="00BC3986">
            <w:pPr>
              <w:pStyle w:val="TableCopy"/>
            </w:pPr>
            <w:r>
              <w:t>New</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r>
              <w:t>($</w:t>
            </w:r>
            <w:r w:rsidR="00932420">
              <w:t xml:space="preserve"> </w:t>
            </w:r>
            <w:r>
              <w:t>million)</w:t>
            </w:r>
          </w:p>
        </w:tc>
        <w:tc>
          <w:tcPr>
            <w:tcW w:w="1134" w:type="dxa"/>
          </w:tcPr>
          <w:p w14:paraId="51E0B3A9" w14:textId="77777777" w:rsidR="00CA3C5B" w:rsidRDefault="00260033" w:rsidP="00BC3986">
            <w:pPr>
              <w:pStyle w:val="TableCopy"/>
            </w:pPr>
            <w:r>
              <w:t>840</w:t>
            </w:r>
          </w:p>
        </w:tc>
        <w:tc>
          <w:tcPr>
            <w:tcW w:w="1134" w:type="dxa"/>
          </w:tcPr>
          <w:p w14:paraId="34593FA0" w14:textId="77777777" w:rsidR="00CA3C5B" w:rsidRDefault="00260033" w:rsidP="00BC3986">
            <w:pPr>
              <w:pStyle w:val="TableCopy"/>
            </w:pPr>
            <w:r>
              <w:t>907</w:t>
            </w:r>
          </w:p>
        </w:tc>
        <w:tc>
          <w:tcPr>
            <w:tcW w:w="1134" w:type="dxa"/>
          </w:tcPr>
          <w:p w14:paraId="5EEA9FCF" w14:textId="77777777" w:rsidR="00CA3C5B" w:rsidRDefault="00260033" w:rsidP="00BC3986">
            <w:pPr>
              <w:pStyle w:val="TableCopy"/>
            </w:pPr>
            <w:r>
              <w:t>1,410</w:t>
            </w:r>
          </w:p>
        </w:tc>
        <w:tc>
          <w:tcPr>
            <w:tcW w:w="1134" w:type="dxa"/>
          </w:tcPr>
          <w:p w14:paraId="6A01BB5D" w14:textId="77777777" w:rsidR="00CA3C5B" w:rsidRDefault="00260033" w:rsidP="00BC3986">
            <w:pPr>
              <w:pStyle w:val="TableCopy"/>
            </w:pPr>
            <w:r>
              <w:rPr>
                <w:lang w:val="en-US"/>
              </w:rPr>
              <w:t>682</w:t>
            </w:r>
          </w:p>
        </w:tc>
      </w:tr>
    </w:tbl>
    <w:p w14:paraId="762BF7C4" w14:textId="77777777" w:rsidR="00CA3C5B" w:rsidRPr="00BC3986" w:rsidRDefault="00CA3C5B" w:rsidP="00BC3986">
      <w:pPr>
        <w:spacing w:after="0" w:line="240" w:lineRule="auto"/>
        <w:rPr>
          <w:sz w:val="18"/>
          <w:szCs w:val="22"/>
          <w:lang w:val="en-US"/>
        </w:rPr>
      </w:pPr>
    </w:p>
    <w:p w14:paraId="4A77F9BB" w14:textId="446A58F7" w:rsidR="00CA3C5B" w:rsidRDefault="00260033" w:rsidP="00BC3986">
      <w:pPr>
        <w:pStyle w:val="FigureHeading"/>
      </w:pPr>
      <w:r>
        <w:lastRenderedPageBreak/>
        <w:t>Figure</w:t>
      </w:r>
      <w:r w:rsidR="00932420">
        <w:t xml:space="preserve"> </w:t>
      </w:r>
      <w:r>
        <w:t>9:</w:t>
      </w:r>
      <w:r w:rsidR="00932420">
        <w:t xml:space="preserve"> </w:t>
      </w:r>
      <w:r>
        <w:t>Jobs</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investment</w:t>
      </w:r>
      <w:r w:rsidR="00932420">
        <w:t xml:space="preserve"> </w:t>
      </w:r>
      <w:r>
        <w:t>facilitation</w:t>
      </w:r>
      <w:r w:rsidR="00932420">
        <w:t xml:space="preserve"> </w:t>
      </w:r>
      <w:r>
        <w:t>services</w:t>
      </w:r>
      <w:r w:rsidR="00932420">
        <w:t xml:space="preserve"> </w:t>
      </w:r>
      <w:r>
        <w:t>and</w:t>
      </w:r>
      <w:r w:rsidR="00932420">
        <w:t xml:space="preserve"> </w:t>
      </w:r>
      <w:r>
        <w:t>assistance</w:t>
      </w:r>
    </w:p>
    <w:p w14:paraId="77B46661" w14:textId="31E587D4" w:rsidR="00CA3C5B" w:rsidRDefault="00BC3986" w:rsidP="00BC3986">
      <w:r>
        <w:rPr>
          <w:noProof/>
        </w:rPr>
        <w:drawing>
          <wp:inline distT="0" distB="0" distL="0" distR="0" wp14:anchorId="4D98AA74" wp14:editId="131800A9">
            <wp:extent cx="3240912" cy="2168297"/>
            <wp:effectExtent l="0" t="0" r="0" b="3810"/>
            <wp:docPr id="9" name="Picture 9" descr="Figure 9: Jobs in regional Victoria resulting from government investment facilitation services and assistance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9: Jobs in regional Victoria resulting from government investment facilitation services and assistance graph. Data in table above."/>
                    <pic:cNvPicPr/>
                  </pic:nvPicPr>
                  <pic:blipFill>
                    <a:blip r:embed="rId18"/>
                    <a:stretch>
                      <a:fillRect/>
                    </a:stretch>
                  </pic:blipFill>
                  <pic:spPr>
                    <a:xfrm>
                      <a:off x="0" y="0"/>
                      <a:ext cx="3248559" cy="2173413"/>
                    </a:xfrm>
                    <a:prstGeom prst="rect">
                      <a:avLst/>
                    </a:prstGeom>
                  </pic:spPr>
                </pic:pic>
              </a:graphicData>
            </a:graphic>
          </wp:inline>
        </w:drawing>
      </w:r>
    </w:p>
    <w:p w14:paraId="5EC88335" w14:textId="555195C9" w:rsidR="00CA3C5B" w:rsidRDefault="00260033" w:rsidP="00BC3986">
      <w:pPr>
        <w:pStyle w:val="FigureHeading"/>
      </w:pPr>
      <w:r>
        <w:t>Figure</w:t>
      </w:r>
      <w:r w:rsidR="00932420">
        <w:t xml:space="preserve"> </w:t>
      </w:r>
      <w:r>
        <w:t>10:</w:t>
      </w:r>
      <w:r w:rsidR="00932420">
        <w:t xml:space="preserve"> </w:t>
      </w:r>
      <w:r>
        <w:t>New</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4D5E7EB7" w14:textId="4779A2DA" w:rsidR="00CA3C5B" w:rsidRDefault="00BC3986" w:rsidP="00BC3986">
      <w:r>
        <w:rPr>
          <w:noProof/>
        </w:rPr>
        <w:drawing>
          <wp:inline distT="0" distB="0" distL="0" distR="0" wp14:anchorId="20695E83" wp14:editId="15C3A76B">
            <wp:extent cx="3223550" cy="2156681"/>
            <wp:effectExtent l="0" t="0" r="0" b="0"/>
            <wp:docPr id="10" name="Picture 10" descr="Figure 10: New investment in regional Victoria resulting from government facilitation services and assistance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0: New investment in regional Victoria resulting from government facilitation services and assistance graph. Data in table above."/>
                    <pic:cNvPicPr/>
                  </pic:nvPicPr>
                  <pic:blipFill>
                    <a:blip r:embed="rId19"/>
                    <a:stretch>
                      <a:fillRect/>
                    </a:stretch>
                  </pic:blipFill>
                  <pic:spPr>
                    <a:xfrm>
                      <a:off x="0" y="0"/>
                      <a:ext cx="3238814" cy="2166893"/>
                    </a:xfrm>
                    <a:prstGeom prst="rect">
                      <a:avLst/>
                    </a:prstGeom>
                  </pic:spPr>
                </pic:pic>
              </a:graphicData>
            </a:graphic>
          </wp:inline>
        </w:drawing>
      </w:r>
    </w:p>
    <w:p w14:paraId="3D3012FD" w14:textId="10CBD794" w:rsidR="00CA3C5B" w:rsidRDefault="00260033" w:rsidP="00BC3986">
      <w:pPr>
        <w:pStyle w:val="Normalbeforebullets"/>
      </w:pPr>
      <w:r>
        <w:t>Under</w:t>
      </w:r>
      <w:r w:rsidR="00932420">
        <w:t xml:space="preserve"> </w:t>
      </w:r>
      <w:r>
        <w:t>the</w:t>
      </w:r>
      <w:r w:rsidR="00932420">
        <w:t xml:space="preserve"> </w:t>
      </w:r>
      <w:r>
        <w:t>Regional</w:t>
      </w:r>
      <w:r w:rsidR="00932420">
        <w:t xml:space="preserve"> </w:t>
      </w:r>
      <w:r>
        <w:t>Development</w:t>
      </w:r>
      <w:r w:rsidR="00932420">
        <w:t xml:space="preserve"> </w:t>
      </w:r>
      <w:r>
        <w:t>output,</w:t>
      </w:r>
      <w:r w:rsidR="00932420">
        <w:t xml:space="preserve"> </w:t>
      </w:r>
      <w:r>
        <w:t>outcomes</w:t>
      </w:r>
      <w:r w:rsidR="00932420">
        <w:t xml:space="preserve"> </w:t>
      </w:r>
      <w:r>
        <w:t>against</w:t>
      </w:r>
      <w:r w:rsidR="00932420">
        <w:t xml:space="preserve"> </w:t>
      </w:r>
      <w:r>
        <w:t>the</w:t>
      </w:r>
      <w:r w:rsidR="00932420">
        <w:t xml:space="preserve"> </w:t>
      </w:r>
      <w:r>
        <w:t>objective</w:t>
      </w:r>
      <w:r w:rsidR="00932420">
        <w:t xml:space="preserve"> </w:t>
      </w:r>
      <w:r>
        <w:t>indicator</w:t>
      </w:r>
      <w:r w:rsidR="00932420">
        <w:t xml:space="preserve"> </w:t>
      </w:r>
      <w:r>
        <w:t>for</w:t>
      </w:r>
      <w:r w:rsidR="00932420">
        <w:t xml:space="preserve"> </w:t>
      </w:r>
      <w:r>
        <w:t>‘Jobs</w:t>
      </w:r>
      <w:r w:rsidR="00932420">
        <w:t xml:space="preserve"> </w:t>
      </w:r>
      <w:r>
        <w:t>and</w:t>
      </w:r>
      <w:r w:rsidR="00932420">
        <w:t xml:space="preserve"> </w:t>
      </w:r>
      <w:r>
        <w:t>Investment</w:t>
      </w:r>
      <w:r w:rsidR="00932420">
        <w:t xml:space="preserve"> </w:t>
      </w:r>
      <w:r>
        <w:t>secured</w:t>
      </w:r>
      <w:r w:rsidR="00932420">
        <w:t xml:space="preserve"> </w:t>
      </w:r>
      <w:r>
        <w:t>through</w:t>
      </w:r>
      <w:r w:rsidR="00932420">
        <w:t xml:space="preserve"> </w:t>
      </w:r>
      <w:r>
        <w:t>Victorian</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r>
        <w:t>are</w:t>
      </w:r>
      <w:r w:rsidR="00932420">
        <w:t xml:space="preserve"> </w:t>
      </w:r>
      <w:r>
        <w:t>measured</w:t>
      </w:r>
      <w:r w:rsidR="00932420">
        <w:t xml:space="preserve"> </w:t>
      </w:r>
      <w:r>
        <w:rPr>
          <w:spacing w:val="1"/>
        </w:rPr>
        <w:t>primarily</w:t>
      </w:r>
      <w:r w:rsidR="00932420">
        <w:rPr>
          <w:spacing w:val="1"/>
        </w:rPr>
        <w:t xml:space="preserve"> </w:t>
      </w:r>
      <w:r>
        <w:rPr>
          <w:spacing w:val="1"/>
        </w:rPr>
        <w:t>through</w:t>
      </w:r>
      <w:r w:rsidR="00932420">
        <w:rPr>
          <w:spacing w:val="1"/>
        </w:rPr>
        <w:t xml:space="preserve"> </w:t>
      </w:r>
      <w:r>
        <w:rPr>
          <w:spacing w:val="1"/>
        </w:rPr>
        <w:t>2</w:t>
      </w:r>
      <w:r w:rsidR="00932420">
        <w:rPr>
          <w:spacing w:val="1"/>
        </w:rPr>
        <w:t xml:space="preserve"> </w:t>
      </w:r>
      <w:r>
        <w:rPr>
          <w:spacing w:val="1"/>
        </w:rPr>
        <w:t>output</w:t>
      </w:r>
      <w:r w:rsidR="00932420">
        <w:rPr>
          <w:spacing w:val="1"/>
        </w:rPr>
        <w:t xml:space="preserve"> </w:t>
      </w:r>
      <w:r>
        <w:rPr>
          <w:spacing w:val="1"/>
        </w:rPr>
        <w:t>performance</w:t>
      </w:r>
      <w:r w:rsidR="00932420">
        <w:rPr>
          <w:spacing w:val="1"/>
        </w:rPr>
        <w:t xml:space="preserve"> </w:t>
      </w:r>
      <w:r>
        <w:t>measure</w:t>
      </w:r>
      <w:r w:rsidR="00932420">
        <w:t xml:space="preserve"> </w:t>
      </w:r>
      <w:r>
        <w:t>targets:</w:t>
      </w:r>
      <w:r w:rsidR="00932420">
        <w:t xml:space="preserve"> </w:t>
      </w:r>
    </w:p>
    <w:p w14:paraId="78554BF3" w14:textId="4594FE0A" w:rsidR="00CA3C5B" w:rsidRDefault="00260033" w:rsidP="002B162E">
      <w:pPr>
        <w:pStyle w:val="Bullet"/>
      </w:pPr>
      <w:r>
        <w:t>‘Jobs</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investment</w:t>
      </w:r>
      <w:r w:rsidR="00932420">
        <w:t xml:space="preserve"> </w:t>
      </w:r>
      <w:r>
        <w:t>facilitation</w:t>
      </w:r>
      <w:r w:rsidR="00932420">
        <w:t xml:space="preserve"> </w:t>
      </w:r>
      <w:r>
        <w:t>services</w:t>
      </w:r>
      <w:r w:rsidR="00932420">
        <w:t xml:space="preserve"> </w:t>
      </w:r>
      <w:r>
        <w:t>and</w:t>
      </w:r>
      <w:r w:rsidR="00932420">
        <w:t xml:space="preserve"> </w:t>
      </w:r>
      <w:r>
        <w:t>assistance’</w:t>
      </w:r>
      <w:r w:rsidR="00932420">
        <w:t xml:space="preserve"> </w:t>
      </w:r>
    </w:p>
    <w:p w14:paraId="7B4F9386" w14:textId="437A7291" w:rsidR="00CA3C5B" w:rsidRDefault="00260033" w:rsidP="002B162E">
      <w:pPr>
        <w:pStyle w:val="Bulletlast"/>
      </w:pPr>
      <w:r>
        <w:t>‘New</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36DB6B66" w14:textId="21BD4CBD" w:rsidR="00CA3C5B" w:rsidRDefault="00260033" w:rsidP="002B162E">
      <w:r>
        <w:t>These</w:t>
      </w:r>
      <w:r w:rsidR="00932420">
        <w:t xml:space="preserve"> </w:t>
      </w:r>
      <w:r>
        <w:t>BP3</w:t>
      </w:r>
      <w:r w:rsidR="00932420">
        <w:t xml:space="preserve"> </w:t>
      </w:r>
      <w:r>
        <w:t>measures</w:t>
      </w:r>
      <w:r w:rsidR="00932420">
        <w:t xml:space="preserve"> </w:t>
      </w:r>
      <w:r>
        <w:t>track</w:t>
      </w:r>
      <w:r w:rsidR="00932420">
        <w:t xml:space="preserve"> </w:t>
      </w:r>
      <w:r>
        <w:t>and</w:t>
      </w:r>
      <w:r w:rsidR="00932420">
        <w:t xml:space="preserve"> </w:t>
      </w:r>
      <w:r>
        <w:t>report</w:t>
      </w:r>
      <w:r w:rsidR="00932420">
        <w:t xml:space="preserve"> </w:t>
      </w:r>
      <w:r>
        <w:t>on</w:t>
      </w:r>
      <w:r w:rsidR="00932420">
        <w:t xml:space="preserve"> </w:t>
      </w:r>
      <w:r>
        <w:t>outcomes</w:t>
      </w:r>
      <w:r w:rsidR="00932420">
        <w:t xml:space="preserve"> </w:t>
      </w:r>
      <w:r>
        <w:t>and</w:t>
      </w:r>
      <w:r w:rsidR="00932420">
        <w:t xml:space="preserve"> </w:t>
      </w:r>
      <w:r>
        <w:t>achievements</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programs,</w:t>
      </w:r>
      <w:r w:rsidR="00932420">
        <w:t xml:space="preserve"> </w:t>
      </w:r>
      <w:r>
        <w:t>assistance</w:t>
      </w:r>
      <w:r w:rsidR="00932420">
        <w:t xml:space="preserve"> </w:t>
      </w:r>
      <w:r>
        <w:t>and</w:t>
      </w:r>
      <w:r w:rsidR="00932420">
        <w:t xml:space="preserve"> </w:t>
      </w:r>
      <w:r>
        <w:t>projects</w:t>
      </w:r>
      <w:r w:rsidR="00932420">
        <w:t xml:space="preserve"> </w:t>
      </w:r>
      <w:r>
        <w:t>delivered</w:t>
      </w:r>
      <w:r w:rsidR="00932420">
        <w:t xml:space="preserve"> </w:t>
      </w:r>
      <w:r>
        <w:t>by</w:t>
      </w:r>
      <w:r w:rsidR="00932420">
        <w:t xml:space="preserve"> </w:t>
      </w:r>
      <w:r>
        <w:t>DJSIR.</w:t>
      </w:r>
    </w:p>
    <w:p w14:paraId="1AB3FB4D" w14:textId="49436788" w:rsidR="00CA3C5B" w:rsidRDefault="00260033" w:rsidP="002B162E">
      <w:r>
        <w:t>In</w:t>
      </w:r>
      <w:r w:rsidR="00932420">
        <w:t xml:space="preserve"> </w:t>
      </w:r>
      <w:r>
        <w:t>2022–23</w:t>
      </w:r>
      <w:r w:rsidR="00932420">
        <w:t xml:space="preserve"> </w:t>
      </w:r>
      <w:r>
        <w:t>the</w:t>
      </w:r>
      <w:r w:rsidR="00932420">
        <w:t xml:space="preserve"> </w:t>
      </w:r>
      <w:r>
        <w:t>department</w:t>
      </w:r>
      <w:r w:rsidR="00932420">
        <w:t xml:space="preserve"> </w:t>
      </w:r>
      <w:r>
        <w:t>created</w:t>
      </w:r>
      <w:r w:rsidR="00932420">
        <w:t xml:space="preserve"> </w:t>
      </w:r>
      <w:r>
        <w:t>1,017</w:t>
      </w:r>
      <w:r w:rsidR="00932420">
        <w:t xml:space="preserve"> </w:t>
      </w:r>
      <w:r>
        <w:t>jobs</w:t>
      </w:r>
      <w:r w:rsidR="00932420">
        <w:t xml:space="preserve"> </w:t>
      </w:r>
      <w:r>
        <w:t>in</w:t>
      </w:r>
      <w:r w:rsidR="00932420">
        <w:t xml:space="preserve"> </w:t>
      </w:r>
      <w:r>
        <w:t>regional</w:t>
      </w:r>
      <w:r w:rsidR="00932420">
        <w:t xml:space="preserve"> </w:t>
      </w:r>
      <w:r>
        <w:t>Victoria</w:t>
      </w:r>
      <w:r w:rsidR="00932420">
        <w:t xml:space="preserve"> </w:t>
      </w:r>
      <w:r>
        <w:t>against</w:t>
      </w:r>
      <w:r w:rsidR="00932420">
        <w:t xml:space="preserve"> </w:t>
      </w:r>
      <w:r>
        <w:t>a</w:t>
      </w:r>
      <w:r w:rsidR="00932420">
        <w:t xml:space="preserve"> </w:t>
      </w:r>
      <w:r>
        <w:t>target</w:t>
      </w:r>
      <w:r w:rsidR="00932420">
        <w:t xml:space="preserve"> </w:t>
      </w:r>
      <w:r>
        <w:t>of</w:t>
      </w:r>
      <w:r w:rsidR="00932420">
        <w:t xml:space="preserve"> </w:t>
      </w:r>
      <w:r>
        <w:t>1,000</w:t>
      </w:r>
      <w:r w:rsidR="00932420">
        <w:t xml:space="preserve"> </w:t>
      </w:r>
      <w:r>
        <w:t>–</w:t>
      </w:r>
      <w:r w:rsidR="00932420">
        <w:t xml:space="preserve"> </w:t>
      </w:r>
      <w:r>
        <w:t>within</w:t>
      </w:r>
      <w:r w:rsidR="00932420">
        <w:t xml:space="preserve"> </w:t>
      </w:r>
      <w:r>
        <w:t>5%</w:t>
      </w:r>
      <w:r w:rsidR="00932420">
        <w:t xml:space="preserve"> </w:t>
      </w:r>
      <w:r>
        <w:t>of</w:t>
      </w:r>
      <w:r w:rsidR="00932420">
        <w:t xml:space="preserve"> </w:t>
      </w:r>
      <w:r>
        <w:t>the</w:t>
      </w:r>
      <w:r w:rsidR="00932420">
        <w:t xml:space="preserve"> </w:t>
      </w:r>
      <w:r>
        <w:t>anticipated</w:t>
      </w:r>
      <w:r w:rsidR="00932420">
        <w:t xml:space="preserve"> </w:t>
      </w:r>
      <w:r>
        <w:t>outcome</w:t>
      </w:r>
      <w:r w:rsidR="00932420">
        <w:t xml:space="preserve"> </w:t>
      </w:r>
      <w:r>
        <w:t>for</w:t>
      </w:r>
      <w:r w:rsidR="00932420">
        <w:t xml:space="preserve"> </w:t>
      </w:r>
      <w:r>
        <w:t>this</w:t>
      </w:r>
      <w:r w:rsidR="00932420">
        <w:t xml:space="preserve"> </w:t>
      </w:r>
      <w:r>
        <w:t>measure.</w:t>
      </w:r>
      <w:r w:rsidR="00932420">
        <w:t xml:space="preserve"> </w:t>
      </w:r>
      <w:r>
        <w:t>This</w:t>
      </w:r>
      <w:r w:rsidR="00932420">
        <w:t xml:space="preserve"> </w:t>
      </w:r>
      <w:r>
        <w:t>was</w:t>
      </w:r>
      <w:r w:rsidR="00932420">
        <w:t xml:space="preserve"> </w:t>
      </w:r>
      <w:r>
        <w:t>a</w:t>
      </w:r>
      <w:r w:rsidR="00932420">
        <w:t xml:space="preserve"> </w:t>
      </w:r>
      <w:r>
        <w:t>reduction</w:t>
      </w:r>
      <w:r w:rsidR="00932420">
        <w:t xml:space="preserve"> </w:t>
      </w:r>
      <w:r>
        <w:t>of</w:t>
      </w:r>
      <w:r w:rsidR="00932420">
        <w:t xml:space="preserve"> </w:t>
      </w:r>
      <w:r>
        <w:t>58%</w:t>
      </w:r>
      <w:r w:rsidR="00932420">
        <w:t xml:space="preserve"> </w:t>
      </w:r>
      <w:r>
        <w:t>against</w:t>
      </w:r>
      <w:r w:rsidR="00932420">
        <w:t xml:space="preserve"> </w:t>
      </w:r>
      <w:r>
        <w:t>the</w:t>
      </w:r>
      <w:r w:rsidR="00932420">
        <w:t xml:space="preserve"> </w:t>
      </w:r>
      <w:r>
        <w:t>2021–22</w:t>
      </w:r>
      <w:r w:rsidR="00932420">
        <w:t xml:space="preserve"> </w:t>
      </w:r>
      <w:r>
        <w:t>outcome</w:t>
      </w:r>
      <w:r w:rsidR="00932420">
        <w:t xml:space="preserve"> </w:t>
      </w:r>
      <w:r>
        <w:t>of</w:t>
      </w:r>
      <w:r w:rsidR="00932420">
        <w:t xml:space="preserve"> </w:t>
      </w:r>
      <w:r>
        <w:t>2,427.</w:t>
      </w:r>
      <w:r w:rsidR="00932420">
        <w:t xml:space="preserve"> </w:t>
      </w:r>
      <w:r>
        <w:t>The</w:t>
      </w:r>
      <w:r w:rsidR="00932420">
        <w:t xml:space="preserve"> </w:t>
      </w:r>
      <w:r>
        <w:t>number</w:t>
      </w:r>
      <w:r w:rsidR="00932420">
        <w:t xml:space="preserve"> </w:t>
      </w:r>
      <w:r>
        <w:t>of</w:t>
      </w:r>
      <w:r w:rsidR="00932420">
        <w:t xml:space="preserve"> </w:t>
      </w:r>
      <w:r>
        <w:t>new</w:t>
      </w:r>
      <w:r w:rsidR="00932420">
        <w:t xml:space="preserve"> </w:t>
      </w:r>
      <w:r>
        <w:t>jobs</w:t>
      </w:r>
      <w:r w:rsidR="00932420">
        <w:t xml:space="preserve"> </w:t>
      </w:r>
      <w:r>
        <w:t>in</w:t>
      </w:r>
      <w:r w:rsidR="00932420">
        <w:t xml:space="preserve"> </w:t>
      </w:r>
      <w:r>
        <w:t>regional</w:t>
      </w:r>
      <w:r w:rsidR="00932420">
        <w:t xml:space="preserve"> </w:t>
      </w:r>
      <w:r>
        <w:t>Victoria</w:t>
      </w:r>
      <w:r w:rsidR="00932420">
        <w:t xml:space="preserve"> </w:t>
      </w:r>
      <w:r>
        <w:t>facilitated</w:t>
      </w:r>
      <w:r w:rsidR="00932420">
        <w:t xml:space="preserve"> </w:t>
      </w:r>
      <w:r>
        <w:t>by</w:t>
      </w:r>
      <w:r w:rsidR="00932420">
        <w:t xml:space="preserve"> </w:t>
      </w:r>
      <w:r>
        <w:t>the</w:t>
      </w:r>
      <w:r w:rsidR="00932420">
        <w:t xml:space="preserve"> </w:t>
      </w:r>
      <w:r>
        <w:t>department</w:t>
      </w:r>
      <w:r w:rsidR="00932420">
        <w:t xml:space="preserve"> </w:t>
      </w:r>
      <w:r>
        <w:t>each</w:t>
      </w:r>
      <w:r w:rsidR="00932420">
        <w:t xml:space="preserve"> </w:t>
      </w:r>
      <w:r>
        <w:t>year</w:t>
      </w:r>
      <w:r w:rsidR="00932420">
        <w:t xml:space="preserve"> </w:t>
      </w:r>
      <w:r>
        <w:t>is</w:t>
      </w:r>
      <w:r w:rsidR="00932420">
        <w:t xml:space="preserve"> </w:t>
      </w:r>
      <w:r>
        <w:t>highly</w:t>
      </w:r>
      <w:r w:rsidR="00932420">
        <w:t xml:space="preserve"> </w:t>
      </w:r>
      <w:r>
        <w:t>dependent</w:t>
      </w:r>
      <w:r w:rsidR="00932420">
        <w:t xml:space="preserve"> </w:t>
      </w:r>
      <w:r>
        <w:t>on</w:t>
      </w:r>
      <w:r w:rsidR="00932420">
        <w:t xml:space="preserve"> </w:t>
      </w:r>
      <w:r>
        <w:t>the</w:t>
      </w:r>
      <w:r w:rsidR="00932420">
        <w:t xml:space="preserve"> </w:t>
      </w:r>
      <w:r>
        <w:t>number</w:t>
      </w:r>
      <w:r w:rsidR="00932420">
        <w:t xml:space="preserve"> </w:t>
      </w:r>
      <w:r>
        <w:t>of</w:t>
      </w:r>
      <w:r w:rsidR="00932420">
        <w:t xml:space="preserve"> </w:t>
      </w:r>
      <w:r>
        <w:t>projects</w:t>
      </w:r>
      <w:r w:rsidR="00932420">
        <w:t xml:space="preserve"> </w:t>
      </w:r>
      <w:r>
        <w:t>supported</w:t>
      </w:r>
      <w:r w:rsidR="00932420">
        <w:t xml:space="preserve"> </w:t>
      </w:r>
      <w:r>
        <w:t>in</w:t>
      </w:r>
      <w:r w:rsidR="00932420">
        <w:t xml:space="preserve"> </w:t>
      </w:r>
      <w:r>
        <w:t>that</w:t>
      </w:r>
      <w:r w:rsidR="00932420">
        <w:t xml:space="preserve"> </w:t>
      </w:r>
      <w:r>
        <w:t>financial</w:t>
      </w:r>
      <w:r w:rsidR="00932420">
        <w:t xml:space="preserve"> </w:t>
      </w:r>
      <w:r>
        <w:t>year,</w:t>
      </w:r>
      <w:r w:rsidR="00932420">
        <w:t xml:space="preserve"> </w:t>
      </w:r>
      <w:r>
        <w:t>which</w:t>
      </w:r>
      <w:r w:rsidR="00932420">
        <w:t xml:space="preserve"> </w:t>
      </w:r>
      <w:r>
        <w:t>in</w:t>
      </w:r>
      <w:r w:rsidR="00932420">
        <w:t xml:space="preserve"> </w:t>
      </w:r>
      <w:r>
        <w:t>turn</w:t>
      </w:r>
      <w:r w:rsidR="00932420">
        <w:t xml:space="preserve"> </w:t>
      </w:r>
      <w:r>
        <w:t>is</w:t>
      </w:r>
      <w:r w:rsidR="00932420">
        <w:t xml:space="preserve"> </w:t>
      </w:r>
      <w:r>
        <w:t>dependent</w:t>
      </w:r>
      <w:r w:rsidR="00932420">
        <w:t xml:space="preserve"> </w:t>
      </w:r>
      <w:r>
        <w:t>on</w:t>
      </w:r>
      <w:r w:rsidR="00932420">
        <w:t xml:space="preserve"> </w:t>
      </w:r>
      <w:r>
        <w:t>the</w:t>
      </w:r>
      <w:r w:rsidR="00932420">
        <w:t xml:space="preserve"> </w:t>
      </w:r>
      <w:r>
        <w:t>scope</w:t>
      </w:r>
      <w:r w:rsidR="00932420">
        <w:t xml:space="preserve"> </w:t>
      </w:r>
      <w:r>
        <w:t>and</w:t>
      </w:r>
      <w:r w:rsidR="00932420">
        <w:t xml:space="preserve"> </w:t>
      </w:r>
      <w:r>
        <w:t>nature</w:t>
      </w:r>
      <w:r w:rsidR="00932420">
        <w:t xml:space="preserve"> </w:t>
      </w:r>
      <w:r>
        <w:t>of</w:t>
      </w:r>
      <w:r w:rsidR="00932420">
        <w:t xml:space="preserve"> </w:t>
      </w:r>
      <w:r>
        <w:lastRenderedPageBreak/>
        <w:t>programs</w:t>
      </w:r>
      <w:r w:rsidR="00932420">
        <w:t xml:space="preserve"> </w:t>
      </w:r>
      <w:r>
        <w:t>that</w:t>
      </w:r>
      <w:r w:rsidR="00932420">
        <w:t xml:space="preserve"> </w:t>
      </w:r>
      <w:r>
        <w:t>the</w:t>
      </w:r>
      <w:r w:rsidR="00932420">
        <w:t xml:space="preserve"> </w:t>
      </w:r>
      <w:r>
        <w:t>department</w:t>
      </w:r>
      <w:r w:rsidR="00932420">
        <w:t xml:space="preserve"> </w:t>
      </w:r>
      <w:r>
        <w:t>is</w:t>
      </w:r>
      <w:r w:rsidR="00932420">
        <w:t xml:space="preserve"> </w:t>
      </w:r>
      <w:r>
        <w:t>tasked</w:t>
      </w:r>
      <w:r w:rsidR="00932420">
        <w:t xml:space="preserve"> </w:t>
      </w:r>
      <w:r>
        <w:t>to</w:t>
      </w:r>
      <w:r w:rsidR="00932420">
        <w:t xml:space="preserve"> </w:t>
      </w:r>
      <w:r>
        <w:t>deliver.</w:t>
      </w:r>
      <w:r w:rsidR="00932420">
        <w:t xml:space="preserve"> </w:t>
      </w:r>
      <w:r>
        <w:t>In</w:t>
      </w:r>
      <w:r w:rsidR="00932420">
        <w:t xml:space="preserve"> </w:t>
      </w:r>
      <w:r>
        <w:t>the</w:t>
      </w:r>
      <w:r w:rsidR="00932420">
        <w:t xml:space="preserve"> </w:t>
      </w:r>
      <w:r>
        <w:t>3</w:t>
      </w:r>
      <w:r w:rsidR="00932420">
        <w:t xml:space="preserve"> </w:t>
      </w:r>
      <w:r>
        <w:t>preceding</w:t>
      </w:r>
      <w:r w:rsidR="00932420">
        <w:t xml:space="preserve"> </w:t>
      </w:r>
      <w:r>
        <w:t>financial</w:t>
      </w:r>
      <w:r w:rsidR="00932420">
        <w:t xml:space="preserve"> </w:t>
      </w:r>
      <w:r>
        <w:t>years,</w:t>
      </w:r>
      <w:r w:rsidR="00932420">
        <w:t xml:space="preserve"> </w:t>
      </w:r>
      <w:r>
        <w:t>job</w:t>
      </w:r>
      <w:r w:rsidR="00932420">
        <w:t xml:space="preserve"> </w:t>
      </w:r>
      <w:r>
        <w:t>outcomes</w:t>
      </w:r>
      <w:r w:rsidR="00932420">
        <w:t xml:space="preserve"> </w:t>
      </w:r>
      <w:r>
        <w:t>were</w:t>
      </w:r>
      <w:r w:rsidR="00932420">
        <w:t xml:space="preserve"> </w:t>
      </w:r>
      <w:r>
        <w:t>higher</w:t>
      </w:r>
      <w:r w:rsidR="00932420">
        <w:t xml:space="preserve"> </w:t>
      </w:r>
      <w:r>
        <w:t>due</w:t>
      </w:r>
      <w:r w:rsidR="00932420">
        <w:t xml:space="preserve"> </w:t>
      </w:r>
      <w:r>
        <w:t>to</w:t>
      </w:r>
      <w:r w:rsidR="00932420">
        <w:t xml:space="preserve"> </w:t>
      </w:r>
      <w:r>
        <w:t>recovery</w:t>
      </w:r>
      <w:r w:rsidR="00932420">
        <w:t xml:space="preserve"> </w:t>
      </w:r>
      <w:r>
        <w:t>and</w:t>
      </w:r>
      <w:r w:rsidR="00932420">
        <w:t xml:space="preserve"> </w:t>
      </w:r>
      <w:r>
        <w:t>stimulus</w:t>
      </w:r>
      <w:r w:rsidR="00932420">
        <w:t xml:space="preserve"> </w:t>
      </w:r>
      <w:r>
        <w:t>programs</w:t>
      </w:r>
      <w:r w:rsidR="00932420">
        <w:t xml:space="preserve"> </w:t>
      </w:r>
      <w:r>
        <w:t>implemented</w:t>
      </w:r>
      <w:r w:rsidR="00932420">
        <w:t xml:space="preserve"> </w:t>
      </w:r>
      <w:r>
        <w:t>in</w:t>
      </w:r>
      <w:r w:rsidR="00932420">
        <w:t xml:space="preserve"> </w:t>
      </w:r>
      <w:r>
        <w:t>response</w:t>
      </w:r>
      <w:r w:rsidR="00932420">
        <w:t xml:space="preserve"> </w:t>
      </w:r>
      <w:r>
        <w:t>to</w:t>
      </w:r>
      <w:r w:rsidR="00932420">
        <w:t xml:space="preserve"> </w:t>
      </w:r>
      <w:r>
        <w:t>the</w:t>
      </w:r>
      <w:r w:rsidR="00932420">
        <w:t xml:space="preserve"> </w:t>
      </w:r>
      <w:r>
        <w:t>COVID-19</w:t>
      </w:r>
      <w:r w:rsidR="00932420">
        <w:t xml:space="preserve"> </w:t>
      </w:r>
      <w:r>
        <w:t>pandemic</w:t>
      </w:r>
      <w:r w:rsidR="00932420">
        <w:t xml:space="preserve"> </w:t>
      </w:r>
      <w:r>
        <w:t>and</w:t>
      </w:r>
      <w:r w:rsidR="00932420">
        <w:t xml:space="preserve"> </w:t>
      </w:r>
      <w:r>
        <w:t>the</w:t>
      </w:r>
      <w:r w:rsidR="00932420">
        <w:t xml:space="preserve"> </w:t>
      </w:r>
      <w:r>
        <w:t>2019–20</w:t>
      </w:r>
      <w:r w:rsidR="00932420">
        <w:t xml:space="preserve"> </w:t>
      </w:r>
      <w:r>
        <w:t>bushfires,</w:t>
      </w:r>
      <w:r w:rsidR="00932420">
        <w:t xml:space="preserve"> </w:t>
      </w:r>
      <w:r>
        <w:t>which</w:t>
      </w:r>
      <w:r w:rsidR="00932420">
        <w:t xml:space="preserve"> </w:t>
      </w:r>
      <w:r>
        <w:t>saw</w:t>
      </w:r>
      <w:r w:rsidR="00932420">
        <w:t xml:space="preserve"> </w:t>
      </w:r>
      <w:r>
        <w:t>a</w:t>
      </w:r>
      <w:r w:rsidR="00932420">
        <w:t xml:space="preserve"> </w:t>
      </w:r>
      <w:r>
        <w:t>marked</w:t>
      </w:r>
      <w:r w:rsidR="00932420">
        <w:t xml:space="preserve"> </w:t>
      </w:r>
      <w:r>
        <w:t>increase</w:t>
      </w:r>
      <w:r w:rsidR="00932420">
        <w:t xml:space="preserve"> </w:t>
      </w:r>
      <w:r>
        <w:t>in</w:t>
      </w:r>
      <w:r w:rsidR="00932420">
        <w:t xml:space="preserve"> </w:t>
      </w:r>
      <w:r>
        <w:t>the</w:t>
      </w:r>
      <w:r w:rsidR="00932420">
        <w:t xml:space="preserve"> </w:t>
      </w:r>
      <w:r>
        <w:t>number</w:t>
      </w:r>
      <w:r w:rsidR="00932420">
        <w:t xml:space="preserve"> </w:t>
      </w:r>
      <w:r>
        <w:t>of</w:t>
      </w:r>
      <w:r w:rsidR="00932420">
        <w:t xml:space="preserve"> </w:t>
      </w:r>
      <w:r>
        <w:t>projects</w:t>
      </w:r>
      <w:r w:rsidR="00932420">
        <w:t xml:space="preserve"> </w:t>
      </w:r>
      <w:r>
        <w:t>being</w:t>
      </w:r>
      <w:r w:rsidR="00932420">
        <w:t xml:space="preserve"> </w:t>
      </w:r>
      <w:r>
        <w:t>delivered</w:t>
      </w:r>
      <w:r w:rsidR="00932420">
        <w:t xml:space="preserve"> </w:t>
      </w:r>
      <w:r>
        <w:t>–</w:t>
      </w:r>
      <w:r w:rsidR="00932420">
        <w:t xml:space="preserve"> </w:t>
      </w:r>
      <w:r>
        <w:t>and</w:t>
      </w:r>
      <w:r w:rsidR="00932420">
        <w:t xml:space="preserve"> </w:t>
      </w:r>
      <w:r>
        <w:t>by</w:t>
      </w:r>
      <w:r w:rsidR="00932420">
        <w:t xml:space="preserve"> </w:t>
      </w:r>
      <w:r>
        <w:t>extension,</w:t>
      </w:r>
      <w:r w:rsidR="00932420">
        <w:t xml:space="preserve"> </w:t>
      </w:r>
      <w:r>
        <w:t>an</w:t>
      </w:r>
      <w:r w:rsidR="00932420">
        <w:t xml:space="preserve"> </w:t>
      </w:r>
      <w:r>
        <w:t>increase</w:t>
      </w:r>
      <w:r w:rsidR="00932420">
        <w:t xml:space="preserve"> </w:t>
      </w:r>
      <w:r>
        <w:t>in</w:t>
      </w:r>
      <w:r w:rsidR="00932420">
        <w:t xml:space="preserve"> </w:t>
      </w:r>
      <w:r>
        <w:t>the</w:t>
      </w:r>
      <w:r w:rsidR="00932420">
        <w:t xml:space="preserve"> </w:t>
      </w:r>
      <w:r>
        <w:t>number</w:t>
      </w:r>
      <w:r w:rsidR="00932420">
        <w:t xml:space="preserve"> </w:t>
      </w:r>
      <w:r>
        <w:t>of</w:t>
      </w:r>
      <w:r w:rsidR="00932420">
        <w:t xml:space="preserve"> </w:t>
      </w:r>
      <w:r>
        <w:t>jobs</w:t>
      </w:r>
      <w:r w:rsidR="00932420">
        <w:t xml:space="preserve"> </w:t>
      </w:r>
      <w:r>
        <w:t>created.</w:t>
      </w:r>
      <w:r w:rsidR="00932420">
        <w:t xml:space="preserve"> </w:t>
      </w:r>
      <w:r>
        <w:t>This</w:t>
      </w:r>
      <w:r w:rsidR="00932420">
        <w:t xml:space="preserve"> </w:t>
      </w:r>
      <w:r>
        <w:t>trend</w:t>
      </w:r>
      <w:r w:rsidR="00932420">
        <w:t xml:space="preserve"> </w:t>
      </w:r>
      <w:r>
        <w:t>was</w:t>
      </w:r>
      <w:r w:rsidR="00932420">
        <w:t xml:space="preserve"> </w:t>
      </w:r>
      <w:r>
        <w:t>visible</w:t>
      </w:r>
      <w:r w:rsidR="00932420">
        <w:t xml:space="preserve"> </w:t>
      </w:r>
      <w:r>
        <w:t>across</w:t>
      </w:r>
      <w:r w:rsidR="00932420">
        <w:t xml:space="preserve"> </w:t>
      </w:r>
      <w:r>
        <w:t>2019–20</w:t>
      </w:r>
      <w:r w:rsidR="00932420">
        <w:t xml:space="preserve"> </w:t>
      </w:r>
      <w:r>
        <w:t>(1,215</w:t>
      </w:r>
      <w:r w:rsidR="00932420">
        <w:t xml:space="preserve"> </w:t>
      </w:r>
      <w:r>
        <w:t>jobs</w:t>
      </w:r>
      <w:r w:rsidR="00932420">
        <w:t xml:space="preserve"> </w:t>
      </w:r>
      <w:r>
        <w:t>created),</w:t>
      </w:r>
      <w:r w:rsidR="00932420">
        <w:t xml:space="preserve"> </w:t>
      </w:r>
      <w:r>
        <w:t>2020–21</w:t>
      </w:r>
      <w:r w:rsidR="00932420">
        <w:t xml:space="preserve"> </w:t>
      </w:r>
      <w:r>
        <w:t>(1,468</w:t>
      </w:r>
      <w:r w:rsidR="00932420">
        <w:t xml:space="preserve"> </w:t>
      </w:r>
      <w:r>
        <w:t>jobs</w:t>
      </w:r>
      <w:r w:rsidR="00932420">
        <w:t xml:space="preserve"> </w:t>
      </w:r>
      <w:r>
        <w:t>created)</w:t>
      </w:r>
      <w:r w:rsidR="00932420">
        <w:t xml:space="preserve"> </w:t>
      </w:r>
      <w:r>
        <w:t>and</w:t>
      </w:r>
      <w:r w:rsidR="00932420">
        <w:t xml:space="preserve"> </w:t>
      </w:r>
      <w:r>
        <w:t>peaked</w:t>
      </w:r>
      <w:r w:rsidR="00932420">
        <w:t xml:space="preserve"> </w:t>
      </w:r>
      <w:r>
        <w:t>in</w:t>
      </w:r>
      <w:r w:rsidR="00932420">
        <w:t xml:space="preserve"> </w:t>
      </w:r>
      <w:r>
        <w:t>2021–22</w:t>
      </w:r>
      <w:r w:rsidR="00932420">
        <w:t xml:space="preserve"> </w:t>
      </w:r>
      <w:r>
        <w:t>(2,427</w:t>
      </w:r>
      <w:r w:rsidR="00932420">
        <w:t xml:space="preserve"> </w:t>
      </w:r>
      <w:r>
        <w:t>jobs</w:t>
      </w:r>
      <w:r w:rsidR="00932420">
        <w:t xml:space="preserve"> </w:t>
      </w:r>
      <w:r>
        <w:t>created).</w:t>
      </w:r>
      <w:r w:rsidR="00932420">
        <w:t xml:space="preserve"> </w:t>
      </w:r>
      <w:r>
        <w:t>The</w:t>
      </w:r>
      <w:r w:rsidR="00932420">
        <w:t xml:space="preserve"> </w:t>
      </w:r>
      <w:r>
        <w:t>subsequent</w:t>
      </w:r>
      <w:r w:rsidR="00932420">
        <w:t xml:space="preserve"> </w:t>
      </w:r>
      <w:r>
        <w:t>drop</w:t>
      </w:r>
      <w:r w:rsidR="00932420">
        <w:t xml:space="preserve"> </w:t>
      </w:r>
      <w:r>
        <w:t>in</w:t>
      </w:r>
      <w:r w:rsidR="00932420">
        <w:t xml:space="preserve"> </w:t>
      </w:r>
      <w:r>
        <w:t>2022–23</w:t>
      </w:r>
      <w:r w:rsidR="00932420">
        <w:t xml:space="preserve"> </w:t>
      </w:r>
      <w:r>
        <w:t>aligns</w:t>
      </w:r>
      <w:r w:rsidR="00932420">
        <w:t xml:space="preserve"> </w:t>
      </w:r>
      <w:r>
        <w:t>with</w:t>
      </w:r>
      <w:r w:rsidR="00932420">
        <w:t xml:space="preserve"> </w:t>
      </w:r>
      <w:r>
        <w:t>the</w:t>
      </w:r>
      <w:r w:rsidR="00932420">
        <w:t xml:space="preserve"> </w:t>
      </w:r>
      <w:r>
        <w:t>completion</w:t>
      </w:r>
      <w:r w:rsidR="00932420">
        <w:t xml:space="preserve"> </w:t>
      </w:r>
      <w:r>
        <w:t>of</w:t>
      </w:r>
      <w:r w:rsidR="00932420">
        <w:t xml:space="preserve"> </w:t>
      </w:r>
      <w:r>
        <w:t>these</w:t>
      </w:r>
      <w:r w:rsidR="00932420">
        <w:t xml:space="preserve"> </w:t>
      </w:r>
      <w:r>
        <w:t>programs.</w:t>
      </w:r>
    </w:p>
    <w:p w14:paraId="05BC8B3F" w14:textId="3E544FD0" w:rsidR="00CA3C5B" w:rsidRDefault="00260033" w:rsidP="002B162E">
      <w:r>
        <w:t>In</w:t>
      </w:r>
      <w:r w:rsidR="00932420">
        <w:t xml:space="preserve"> </w:t>
      </w:r>
      <w:r>
        <w:t>2022–23</w:t>
      </w:r>
      <w:r w:rsidR="00932420">
        <w:t xml:space="preserve"> </w:t>
      </w:r>
      <w:r>
        <w:t>the</w:t>
      </w:r>
      <w:r w:rsidR="00932420">
        <w:t xml:space="preserve"> </w:t>
      </w:r>
      <w:r>
        <w:t>department</w:t>
      </w:r>
      <w:r w:rsidR="00932420">
        <w:t xml:space="preserve"> </w:t>
      </w:r>
      <w:r>
        <w:t>facilitated</w:t>
      </w:r>
      <w:r w:rsidR="00932420">
        <w:t xml:space="preserve"> </w:t>
      </w:r>
      <w:r>
        <w:t>$682.4</w:t>
      </w:r>
      <w:r w:rsidR="00932420">
        <w:t xml:space="preserve"> </w:t>
      </w:r>
      <w:r>
        <w:t>million</w:t>
      </w:r>
      <w:r w:rsidR="00932420">
        <w:t xml:space="preserve"> </w:t>
      </w:r>
      <w:r>
        <w:t>worth</w:t>
      </w:r>
      <w:r w:rsidR="00932420">
        <w:t xml:space="preserve"> </w:t>
      </w:r>
      <w:r>
        <w:t>of</w:t>
      </w:r>
      <w:r w:rsidR="00932420">
        <w:t xml:space="preserve"> </w:t>
      </w:r>
      <w:r>
        <w:t>new</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against</w:t>
      </w:r>
      <w:r w:rsidR="00932420">
        <w:t xml:space="preserve"> </w:t>
      </w:r>
      <w:r>
        <w:t>a</w:t>
      </w:r>
      <w:r w:rsidR="00932420">
        <w:t xml:space="preserve"> </w:t>
      </w:r>
      <w:r>
        <w:t>target</w:t>
      </w:r>
      <w:r w:rsidR="00932420">
        <w:t xml:space="preserve"> </w:t>
      </w:r>
      <w:r>
        <w:t>of</w:t>
      </w:r>
      <w:r w:rsidR="00932420">
        <w:t xml:space="preserve"> </w:t>
      </w:r>
      <w:r>
        <w:t>$500</w:t>
      </w:r>
      <w:r w:rsidR="00932420">
        <w:t xml:space="preserve"> </w:t>
      </w:r>
      <w:r>
        <w:t>million.</w:t>
      </w:r>
      <w:r w:rsidR="00932420">
        <w:t xml:space="preserve"> </w:t>
      </w:r>
      <w:r>
        <w:t>This</w:t>
      </w:r>
      <w:r w:rsidR="00932420">
        <w:t xml:space="preserve"> </w:t>
      </w:r>
      <w:r>
        <w:t>higher-than-expected</w:t>
      </w:r>
      <w:r w:rsidR="00932420">
        <w:t xml:space="preserve"> </w:t>
      </w:r>
      <w:r>
        <w:t>outcome</w:t>
      </w:r>
      <w:r w:rsidR="00932420">
        <w:t xml:space="preserve"> </w:t>
      </w:r>
      <w:r>
        <w:t>exceeded</w:t>
      </w:r>
      <w:r w:rsidR="00932420">
        <w:t xml:space="preserve"> </w:t>
      </w:r>
      <w:r>
        <w:t>the</w:t>
      </w:r>
      <w:r w:rsidR="00932420">
        <w:t xml:space="preserve"> </w:t>
      </w:r>
      <w:r>
        <w:t>target</w:t>
      </w:r>
      <w:r w:rsidR="00932420">
        <w:t xml:space="preserve"> </w:t>
      </w:r>
      <w:r>
        <w:t>by</w:t>
      </w:r>
      <w:r w:rsidR="00932420">
        <w:t xml:space="preserve"> </w:t>
      </w:r>
      <w:r>
        <w:t>36.5%</w:t>
      </w:r>
      <w:r w:rsidR="00932420">
        <w:t xml:space="preserve"> </w:t>
      </w:r>
      <w:r>
        <w:t>and</w:t>
      </w:r>
      <w:r w:rsidR="00932420">
        <w:t xml:space="preserve"> </w:t>
      </w:r>
      <w:r>
        <w:t>was</w:t>
      </w:r>
      <w:r w:rsidR="00932420">
        <w:t xml:space="preserve"> </w:t>
      </w:r>
      <w:r>
        <w:t>a</w:t>
      </w:r>
      <w:r w:rsidR="00932420">
        <w:t xml:space="preserve"> </w:t>
      </w:r>
      <w:r>
        <w:t>result</w:t>
      </w:r>
      <w:r w:rsidR="00932420">
        <w:t xml:space="preserve"> </w:t>
      </w:r>
      <w:r>
        <w:t>of</w:t>
      </w:r>
      <w:r w:rsidR="00932420">
        <w:t xml:space="preserve"> </w:t>
      </w:r>
      <w:r>
        <w:t>significant</w:t>
      </w:r>
      <w:r w:rsidR="00932420">
        <w:t xml:space="preserve"> </w:t>
      </w:r>
      <w:r>
        <w:t>investment</w:t>
      </w:r>
      <w:r w:rsidR="00932420">
        <w:t xml:space="preserve"> </w:t>
      </w:r>
      <w:r>
        <w:t>in</w:t>
      </w:r>
      <w:r w:rsidR="00932420">
        <w:t xml:space="preserve"> </w:t>
      </w:r>
      <w:r>
        <w:t>energy</w:t>
      </w:r>
      <w:r w:rsidR="00932420">
        <w:t xml:space="preserve"> </w:t>
      </w:r>
      <w:r>
        <w:t>and</w:t>
      </w:r>
      <w:r w:rsidR="00932420">
        <w:t xml:space="preserve"> </w:t>
      </w:r>
      <w:r>
        <w:t>advanced</w:t>
      </w:r>
      <w:r w:rsidR="00932420">
        <w:t xml:space="preserve"> </w:t>
      </w:r>
      <w:r>
        <w:t>manufacturing</w:t>
      </w:r>
      <w:r w:rsidR="00932420">
        <w:t xml:space="preserve"> </w:t>
      </w:r>
      <w:r>
        <w:t>projects.</w:t>
      </w:r>
      <w:r w:rsidR="00932420">
        <w:t xml:space="preserve"> </w:t>
      </w:r>
      <w:r>
        <w:t>However,</w:t>
      </w:r>
      <w:r w:rsidR="00932420">
        <w:t xml:space="preserve"> </w:t>
      </w:r>
      <w:r>
        <w:t>this</w:t>
      </w:r>
      <w:r w:rsidR="00932420">
        <w:t xml:space="preserve"> </w:t>
      </w:r>
      <w:r>
        <w:t>outcome</w:t>
      </w:r>
      <w:r w:rsidR="00932420">
        <w:t xml:space="preserve"> </w:t>
      </w:r>
      <w:r>
        <w:t>was</w:t>
      </w:r>
      <w:r w:rsidR="00932420">
        <w:t xml:space="preserve"> </w:t>
      </w:r>
      <w:r>
        <w:t>a</w:t>
      </w:r>
      <w:r w:rsidR="00932420">
        <w:t xml:space="preserve"> </w:t>
      </w:r>
      <w:r>
        <w:t>reduction</w:t>
      </w:r>
      <w:r w:rsidR="00932420">
        <w:t xml:space="preserve"> </w:t>
      </w:r>
      <w:r>
        <w:t>of</w:t>
      </w:r>
      <w:r w:rsidR="00932420">
        <w:t xml:space="preserve"> </w:t>
      </w:r>
      <w:r>
        <w:t>52%</w:t>
      </w:r>
      <w:r w:rsidR="00932420">
        <w:t xml:space="preserve"> </w:t>
      </w:r>
      <w:r>
        <w:t>against</w:t>
      </w:r>
      <w:r w:rsidR="00932420">
        <w:t xml:space="preserve"> </w:t>
      </w:r>
      <w:r>
        <w:t>the</w:t>
      </w:r>
      <w:r w:rsidR="00932420">
        <w:t xml:space="preserve"> </w:t>
      </w:r>
      <w:r>
        <w:t>2021–22</w:t>
      </w:r>
      <w:r w:rsidR="00932420">
        <w:t xml:space="preserve"> </w:t>
      </w:r>
      <w:r>
        <w:t>outcome</w:t>
      </w:r>
      <w:r w:rsidR="00932420">
        <w:t xml:space="preserve"> </w:t>
      </w:r>
      <w:r>
        <w:t>of</w:t>
      </w:r>
      <w:r w:rsidR="00932420">
        <w:t xml:space="preserve"> </w:t>
      </w:r>
      <w:r>
        <w:t>$1.41</w:t>
      </w:r>
      <w:r w:rsidR="00932420">
        <w:t xml:space="preserve"> </w:t>
      </w:r>
      <w:r>
        <w:t>billion</w:t>
      </w:r>
      <w:r w:rsidR="00932420">
        <w:t xml:space="preserve"> </w:t>
      </w:r>
      <w:r>
        <w:t>which</w:t>
      </w:r>
      <w:r w:rsidR="00932420">
        <w:t xml:space="preserve"> </w:t>
      </w:r>
      <w:r>
        <w:t>was</w:t>
      </w:r>
      <w:r w:rsidR="00932420">
        <w:t xml:space="preserve"> </w:t>
      </w:r>
      <w:r>
        <w:t>within</w:t>
      </w:r>
      <w:r w:rsidR="00932420">
        <w:t xml:space="preserve"> </w:t>
      </w:r>
      <w:r>
        <w:t>5%</w:t>
      </w:r>
      <w:r w:rsidR="00932420">
        <w:t xml:space="preserve"> </w:t>
      </w:r>
      <w:r>
        <w:t>of</w:t>
      </w:r>
      <w:r w:rsidR="00932420">
        <w:t xml:space="preserve"> </w:t>
      </w:r>
      <w:r>
        <w:t>that</w:t>
      </w:r>
      <w:r w:rsidR="00932420">
        <w:t xml:space="preserve"> </w:t>
      </w:r>
      <w:r>
        <w:t>year’s</w:t>
      </w:r>
      <w:r w:rsidR="00932420">
        <w:t xml:space="preserve"> </w:t>
      </w:r>
      <w:r>
        <w:t>target</w:t>
      </w:r>
      <w:r w:rsidR="00932420">
        <w:t xml:space="preserve"> </w:t>
      </w:r>
      <w:r>
        <w:t>of</w:t>
      </w:r>
      <w:r w:rsidR="00932420">
        <w:t xml:space="preserve"> </w:t>
      </w:r>
      <w:r>
        <w:t>$1.4</w:t>
      </w:r>
      <w:r w:rsidR="00932420">
        <w:t xml:space="preserve"> </w:t>
      </w:r>
      <w:r>
        <w:t>billion.</w:t>
      </w:r>
      <w:r w:rsidR="00932420">
        <w:t xml:space="preserve"> </w:t>
      </w:r>
      <w:r>
        <w:t>By</w:t>
      </w:r>
      <w:r w:rsidR="00932420">
        <w:t xml:space="preserve"> </w:t>
      </w:r>
      <w:r>
        <w:t>comparison,</w:t>
      </w:r>
      <w:r w:rsidR="00932420">
        <w:t xml:space="preserve"> </w:t>
      </w:r>
      <w:r>
        <w:t>the</w:t>
      </w:r>
      <w:r w:rsidR="00932420">
        <w:t xml:space="preserve"> </w:t>
      </w:r>
      <w:r>
        <w:t>2020–21</w:t>
      </w:r>
      <w:r w:rsidR="00932420">
        <w:t xml:space="preserve"> </w:t>
      </w:r>
      <w:r>
        <w:t>outcome</w:t>
      </w:r>
      <w:r w:rsidR="00932420">
        <w:t xml:space="preserve"> </w:t>
      </w:r>
      <w:r>
        <w:t>of</w:t>
      </w:r>
      <w:r w:rsidR="00932420">
        <w:t xml:space="preserve"> </w:t>
      </w:r>
      <w:r>
        <w:t>$906.7</w:t>
      </w:r>
      <w:r w:rsidR="00932420">
        <w:t xml:space="preserve"> </w:t>
      </w:r>
      <w:r>
        <w:t>million</w:t>
      </w:r>
      <w:r w:rsidR="00932420">
        <w:t xml:space="preserve"> </w:t>
      </w:r>
      <w:r>
        <w:t>was</w:t>
      </w:r>
      <w:r w:rsidR="00932420">
        <w:t xml:space="preserve"> </w:t>
      </w:r>
      <w:r>
        <w:t>35.2%</w:t>
      </w:r>
      <w:r w:rsidR="00932420">
        <w:t xml:space="preserve"> </w:t>
      </w:r>
      <w:r>
        <w:t>below</w:t>
      </w:r>
      <w:r w:rsidR="00932420">
        <w:t xml:space="preserve"> </w:t>
      </w:r>
      <w:r>
        <w:t>that</w:t>
      </w:r>
      <w:r w:rsidR="00932420">
        <w:t xml:space="preserve"> </w:t>
      </w:r>
      <w:r>
        <w:t>year’s</w:t>
      </w:r>
      <w:r w:rsidR="00932420">
        <w:t xml:space="preserve"> </w:t>
      </w:r>
      <w:r>
        <w:t>target</w:t>
      </w:r>
      <w:r w:rsidR="00932420">
        <w:t xml:space="preserve"> </w:t>
      </w:r>
      <w:r>
        <w:t>of</w:t>
      </w:r>
      <w:r w:rsidR="00932420">
        <w:t xml:space="preserve"> </w:t>
      </w:r>
      <w:r>
        <w:t>$1.4</w:t>
      </w:r>
      <w:r w:rsidR="00932420">
        <w:t xml:space="preserve"> </w:t>
      </w:r>
      <w:r>
        <w:t>billion.</w:t>
      </w:r>
      <w:r w:rsidR="00932420">
        <w:t xml:space="preserve"> </w:t>
      </w:r>
      <w:r>
        <w:t>Targets</w:t>
      </w:r>
      <w:r w:rsidR="00932420">
        <w:t xml:space="preserve"> </w:t>
      </w:r>
      <w:r>
        <w:t>were</w:t>
      </w:r>
      <w:r w:rsidR="00932420">
        <w:t xml:space="preserve"> </w:t>
      </w:r>
      <w:r>
        <w:t>higher</w:t>
      </w:r>
      <w:r w:rsidR="00932420">
        <w:t xml:space="preserve"> </w:t>
      </w:r>
      <w:r>
        <w:t>for</w:t>
      </w:r>
      <w:r w:rsidR="00932420">
        <w:t xml:space="preserve"> </w:t>
      </w:r>
      <w:r>
        <w:t>both</w:t>
      </w:r>
      <w:r w:rsidR="00932420">
        <w:t xml:space="preserve"> </w:t>
      </w:r>
      <w:r>
        <w:t>2020–21</w:t>
      </w:r>
      <w:r w:rsidR="00932420">
        <w:t xml:space="preserve"> </w:t>
      </w:r>
      <w:r>
        <w:t>and</w:t>
      </w:r>
      <w:r w:rsidR="00932420">
        <w:t xml:space="preserve"> </w:t>
      </w:r>
      <w:r>
        <w:t>2021–22</w:t>
      </w:r>
      <w:r w:rsidR="00932420">
        <w:t xml:space="preserve"> </w:t>
      </w:r>
      <w:r>
        <w:t>due</w:t>
      </w:r>
      <w:r w:rsidR="00932420">
        <w:t xml:space="preserve"> </w:t>
      </w:r>
      <w:r>
        <w:t>to</w:t>
      </w:r>
      <w:r w:rsidR="00932420">
        <w:t xml:space="preserve"> </w:t>
      </w:r>
      <w:r>
        <w:t>a</w:t>
      </w:r>
      <w:r w:rsidR="00932420">
        <w:t xml:space="preserve"> </w:t>
      </w:r>
      <w:r>
        <w:t>2-year</w:t>
      </w:r>
      <w:r w:rsidR="00932420">
        <w:t xml:space="preserve"> </w:t>
      </w:r>
      <w:r>
        <w:t>period</w:t>
      </w:r>
      <w:r w:rsidR="00932420">
        <w:t xml:space="preserve"> </w:t>
      </w:r>
      <w:r>
        <w:t>of</w:t>
      </w:r>
      <w:r w:rsidR="00932420">
        <w:t xml:space="preserve"> </w:t>
      </w:r>
      <w:r>
        <w:t>increased</w:t>
      </w:r>
      <w:r w:rsidR="00932420">
        <w:t xml:space="preserve"> </w:t>
      </w:r>
      <w:r>
        <w:t>funding</w:t>
      </w:r>
      <w:r w:rsidR="00932420">
        <w:t xml:space="preserve"> </w:t>
      </w:r>
      <w:r>
        <w:t>related</w:t>
      </w:r>
      <w:r w:rsidR="00932420">
        <w:t xml:space="preserve"> </w:t>
      </w:r>
      <w:r>
        <w:t>to</w:t>
      </w:r>
      <w:r w:rsidR="00932420">
        <w:t xml:space="preserve"> </w:t>
      </w:r>
      <w:r>
        <w:t>bushfire</w:t>
      </w:r>
      <w:r w:rsidR="00932420">
        <w:t xml:space="preserve"> </w:t>
      </w:r>
      <w:r>
        <w:t>recovery</w:t>
      </w:r>
      <w:r w:rsidR="00932420">
        <w:t xml:space="preserve"> </w:t>
      </w:r>
      <w:r>
        <w:t>programs,</w:t>
      </w:r>
      <w:r w:rsidR="00932420">
        <w:t xml:space="preserve"> </w:t>
      </w:r>
      <w:r>
        <w:t>COVID-19</w:t>
      </w:r>
      <w:r w:rsidR="00932420">
        <w:t xml:space="preserve"> </w:t>
      </w:r>
      <w:r>
        <w:t>pandemic</w:t>
      </w:r>
      <w:r w:rsidR="00932420">
        <w:t xml:space="preserve"> </w:t>
      </w:r>
      <w:r>
        <w:t>stimulus</w:t>
      </w:r>
      <w:r w:rsidR="00932420">
        <w:t xml:space="preserve"> </w:t>
      </w:r>
      <w:r>
        <w:t>and</w:t>
      </w:r>
      <w:r w:rsidR="00932420">
        <w:t xml:space="preserve"> </w:t>
      </w:r>
      <w:r>
        <w:t>delivery</w:t>
      </w:r>
      <w:r w:rsidR="00932420">
        <w:t xml:space="preserve"> </w:t>
      </w:r>
      <w:r>
        <w:t>of</w:t>
      </w:r>
      <w:r w:rsidR="00932420">
        <w:t xml:space="preserve"> </w:t>
      </w:r>
      <w:r>
        <w:t>the</w:t>
      </w:r>
      <w:r w:rsidR="00932420">
        <w:t xml:space="preserve"> </w:t>
      </w:r>
      <w:r>
        <w:t>2020–22</w:t>
      </w:r>
      <w:r w:rsidR="00932420">
        <w:t xml:space="preserve"> </w:t>
      </w:r>
      <w:r>
        <w:t>Regional</w:t>
      </w:r>
      <w:r w:rsidR="00932420">
        <w:t xml:space="preserve"> </w:t>
      </w:r>
      <w:r>
        <w:t>Jobs</w:t>
      </w:r>
      <w:r w:rsidR="00932420">
        <w:t xml:space="preserve"> </w:t>
      </w:r>
      <w:r>
        <w:t>and</w:t>
      </w:r>
      <w:r w:rsidR="00932420">
        <w:t xml:space="preserve"> </w:t>
      </w:r>
      <w:r>
        <w:t>Infrastructure</w:t>
      </w:r>
      <w:r w:rsidR="00932420">
        <w:t xml:space="preserve"> </w:t>
      </w:r>
      <w:r>
        <w:t>Fund.</w:t>
      </w:r>
      <w:r w:rsidR="00932420">
        <w:t xml:space="preserve"> </w:t>
      </w:r>
      <w:r>
        <w:t>Despite</w:t>
      </w:r>
      <w:r w:rsidR="00932420">
        <w:t xml:space="preserve"> </w:t>
      </w:r>
      <w:r>
        <w:t>not</w:t>
      </w:r>
      <w:r w:rsidR="00932420">
        <w:t xml:space="preserve"> </w:t>
      </w:r>
      <w:r>
        <w:t>achieving</w:t>
      </w:r>
      <w:r w:rsidR="00932420">
        <w:t xml:space="preserve"> </w:t>
      </w:r>
      <w:r>
        <w:t>the</w:t>
      </w:r>
      <w:r w:rsidR="00932420">
        <w:t xml:space="preserve"> </w:t>
      </w:r>
      <w:r>
        <w:t>increased</w:t>
      </w:r>
      <w:r w:rsidR="00932420">
        <w:t xml:space="preserve"> </w:t>
      </w:r>
      <w:r>
        <w:t>target</w:t>
      </w:r>
      <w:r w:rsidR="00932420">
        <w:t xml:space="preserve"> </w:t>
      </w:r>
      <w:r>
        <w:t>in</w:t>
      </w:r>
      <w:r w:rsidR="00932420">
        <w:t xml:space="preserve"> </w:t>
      </w:r>
      <w:r>
        <w:t>2020–21,</w:t>
      </w:r>
      <w:r w:rsidR="00932420">
        <w:t xml:space="preserve"> </w:t>
      </w:r>
      <w:r>
        <w:t>the</w:t>
      </w:r>
      <w:r w:rsidR="00932420">
        <w:t xml:space="preserve"> </w:t>
      </w:r>
      <w:r>
        <w:t>actual</w:t>
      </w:r>
      <w:r w:rsidR="00932420">
        <w:t xml:space="preserve"> </w:t>
      </w:r>
      <w:r>
        <w:t>outcome</w:t>
      </w:r>
      <w:r w:rsidR="00932420">
        <w:t xml:space="preserve"> </w:t>
      </w:r>
      <w:r>
        <w:t>was</w:t>
      </w:r>
      <w:r w:rsidR="00932420">
        <w:t xml:space="preserve"> </w:t>
      </w:r>
      <w:r>
        <w:t>higher</w:t>
      </w:r>
      <w:r w:rsidR="00932420">
        <w:t xml:space="preserve"> </w:t>
      </w:r>
      <w:r>
        <w:t>than</w:t>
      </w:r>
      <w:r w:rsidR="00932420">
        <w:t xml:space="preserve"> </w:t>
      </w:r>
      <w:r>
        <w:t>the</w:t>
      </w:r>
      <w:r w:rsidR="00932420">
        <w:t xml:space="preserve"> </w:t>
      </w:r>
      <w:r>
        <w:t>$840</w:t>
      </w:r>
      <w:r w:rsidR="00932420">
        <w:t xml:space="preserve"> </w:t>
      </w:r>
      <w:r>
        <w:t>million</w:t>
      </w:r>
      <w:r w:rsidR="00932420">
        <w:t xml:space="preserve"> </w:t>
      </w:r>
      <w:r>
        <w:t>achieved</w:t>
      </w:r>
      <w:r w:rsidR="00932420">
        <w:t xml:space="preserve"> </w:t>
      </w:r>
      <w:r>
        <w:t>in</w:t>
      </w:r>
      <w:r w:rsidR="00932420">
        <w:t xml:space="preserve"> </w:t>
      </w:r>
      <w:r>
        <w:t>2019–20,</w:t>
      </w:r>
      <w:r w:rsidR="00932420">
        <w:t xml:space="preserve"> </w:t>
      </w:r>
      <w:r>
        <w:t>which</w:t>
      </w:r>
      <w:r w:rsidR="00932420">
        <w:t xml:space="preserve"> </w:t>
      </w:r>
      <w:r>
        <w:t>exceeded</w:t>
      </w:r>
      <w:r w:rsidR="00932420">
        <w:t xml:space="preserve"> </w:t>
      </w:r>
      <w:r>
        <w:t>that</w:t>
      </w:r>
      <w:r w:rsidR="00932420">
        <w:t xml:space="preserve"> </w:t>
      </w:r>
      <w:r>
        <w:t>year’s</w:t>
      </w:r>
      <w:r w:rsidR="00932420">
        <w:t xml:space="preserve"> </w:t>
      </w:r>
      <w:r>
        <w:t>target</w:t>
      </w:r>
      <w:r w:rsidR="00932420">
        <w:t xml:space="preserve"> </w:t>
      </w:r>
      <w:r>
        <w:t>of</w:t>
      </w:r>
      <w:r w:rsidR="00932420">
        <w:t xml:space="preserve"> </w:t>
      </w:r>
      <w:r>
        <w:t>$700</w:t>
      </w:r>
      <w:r w:rsidR="00932420">
        <w:t xml:space="preserve"> </w:t>
      </w:r>
      <w:r>
        <w:t>million</w:t>
      </w:r>
      <w:r w:rsidR="00932420">
        <w:t xml:space="preserve"> </w:t>
      </w:r>
      <w:r>
        <w:t>by</w:t>
      </w:r>
      <w:r w:rsidR="00932420">
        <w:t xml:space="preserve"> </w:t>
      </w:r>
      <w:r>
        <w:t>20%.</w:t>
      </w:r>
    </w:p>
    <w:p w14:paraId="2D36B44C" w14:textId="084B91B1" w:rsidR="00CA3C5B" w:rsidRDefault="00260033" w:rsidP="002B162E">
      <w:r>
        <w:t>As</w:t>
      </w:r>
      <w:r w:rsidR="00932420">
        <w:t xml:space="preserve"> </w:t>
      </w:r>
      <w:r>
        <w:t>with</w:t>
      </w:r>
      <w:r w:rsidR="00932420">
        <w:t xml:space="preserve"> </w:t>
      </w:r>
      <w:r>
        <w:t>the</w:t>
      </w:r>
      <w:r w:rsidR="00932420">
        <w:t xml:space="preserve"> </w:t>
      </w:r>
      <w:r>
        <w:t>previous</w:t>
      </w:r>
      <w:r w:rsidR="00932420">
        <w:t xml:space="preserve"> </w:t>
      </w:r>
      <w:r>
        <w:t>measure,</w:t>
      </w:r>
      <w:r w:rsidR="00932420">
        <w:t xml:space="preserve"> </w:t>
      </w:r>
      <w:r>
        <w:t>the</w:t>
      </w:r>
      <w:r w:rsidR="00932420">
        <w:t xml:space="preserve"> </w:t>
      </w:r>
      <w:r>
        <w:t>amount</w:t>
      </w:r>
      <w:r w:rsidR="00932420">
        <w:t xml:space="preserve"> </w:t>
      </w:r>
      <w:r>
        <w:t>of</w:t>
      </w:r>
      <w:r w:rsidR="00932420">
        <w:t xml:space="preserve"> </w:t>
      </w:r>
      <w:r>
        <w:t>investment</w:t>
      </w:r>
      <w:r w:rsidR="00932420">
        <w:t xml:space="preserve"> </w:t>
      </w:r>
      <w:r>
        <w:t>that</w:t>
      </w:r>
      <w:r w:rsidR="00932420">
        <w:t xml:space="preserve"> </w:t>
      </w:r>
      <w:r>
        <w:t>the</w:t>
      </w:r>
      <w:r w:rsidR="00932420">
        <w:t xml:space="preserve"> </w:t>
      </w:r>
      <w:r>
        <w:t>department</w:t>
      </w:r>
      <w:r w:rsidR="00932420">
        <w:t xml:space="preserve"> </w:t>
      </w:r>
      <w:r>
        <w:t>facilitates</w:t>
      </w:r>
      <w:r w:rsidR="00932420">
        <w:t xml:space="preserve"> </w:t>
      </w:r>
      <w:r>
        <w:t>each</w:t>
      </w:r>
      <w:r w:rsidR="00932420">
        <w:t xml:space="preserve"> </w:t>
      </w:r>
      <w:r>
        <w:t>year</w:t>
      </w:r>
      <w:r w:rsidR="00932420">
        <w:t xml:space="preserve"> </w:t>
      </w:r>
      <w:r>
        <w:t>is</w:t>
      </w:r>
      <w:r w:rsidR="00932420">
        <w:t xml:space="preserve"> </w:t>
      </w:r>
      <w:r>
        <w:t>impacted</w:t>
      </w:r>
      <w:r w:rsidR="00932420">
        <w:t xml:space="preserve"> </w:t>
      </w:r>
      <w:r>
        <w:t>by</w:t>
      </w:r>
      <w:r w:rsidR="00932420">
        <w:t xml:space="preserve"> </w:t>
      </w:r>
      <w:r>
        <w:t>the</w:t>
      </w:r>
      <w:r w:rsidR="00932420">
        <w:t xml:space="preserve"> </w:t>
      </w:r>
      <w:r>
        <w:t>scope</w:t>
      </w:r>
      <w:r w:rsidR="00932420">
        <w:t xml:space="preserve"> </w:t>
      </w:r>
      <w:r>
        <w:t>and</w:t>
      </w:r>
      <w:r w:rsidR="00932420">
        <w:t xml:space="preserve"> </w:t>
      </w:r>
      <w:r>
        <w:t>nature</w:t>
      </w:r>
      <w:r w:rsidR="00932420">
        <w:t xml:space="preserve"> </w:t>
      </w:r>
      <w:r>
        <w:t>of</w:t>
      </w:r>
      <w:r w:rsidR="00932420">
        <w:t xml:space="preserve"> </w:t>
      </w:r>
      <w:r>
        <w:t>programs</w:t>
      </w:r>
      <w:r w:rsidR="00932420">
        <w:t xml:space="preserve"> </w:t>
      </w:r>
      <w:r>
        <w:t>it</w:t>
      </w:r>
      <w:r w:rsidR="00932420">
        <w:t xml:space="preserve"> </w:t>
      </w:r>
      <w:r>
        <w:t>is</w:t>
      </w:r>
      <w:r w:rsidR="00932420">
        <w:t xml:space="preserve"> </w:t>
      </w:r>
      <w:r>
        <w:t>set</w:t>
      </w:r>
      <w:r w:rsidR="00932420">
        <w:t xml:space="preserve"> </w:t>
      </w:r>
      <w:r>
        <w:t>to</w:t>
      </w:r>
      <w:r w:rsidR="00932420">
        <w:t xml:space="preserve"> </w:t>
      </w:r>
      <w:r>
        <w:t>deliver.</w:t>
      </w:r>
      <w:r w:rsidR="00932420">
        <w:t xml:space="preserve"> </w:t>
      </w:r>
      <w:r>
        <w:t>Investment</w:t>
      </w:r>
      <w:r w:rsidR="00932420">
        <w:t xml:space="preserve"> </w:t>
      </w:r>
      <w:r>
        <w:t>facilitation</w:t>
      </w:r>
      <w:r w:rsidR="00932420">
        <w:t xml:space="preserve"> </w:t>
      </w:r>
      <w:r>
        <w:t>is</w:t>
      </w:r>
      <w:r w:rsidR="00932420">
        <w:t xml:space="preserve"> </w:t>
      </w:r>
      <w:r>
        <w:t>particularly</w:t>
      </w:r>
      <w:r w:rsidR="00932420">
        <w:t xml:space="preserve"> </w:t>
      </w:r>
      <w:r>
        <w:t>impacted</w:t>
      </w:r>
      <w:r w:rsidR="00932420">
        <w:t xml:space="preserve"> </w:t>
      </w:r>
      <w:r>
        <w:t>by</w:t>
      </w:r>
      <w:r w:rsidR="00932420">
        <w:t xml:space="preserve"> </w:t>
      </w:r>
      <w:r>
        <w:t>market</w:t>
      </w:r>
      <w:r w:rsidR="00932420">
        <w:t xml:space="preserve"> </w:t>
      </w:r>
      <w:r>
        <w:t>conditions</w:t>
      </w:r>
      <w:r w:rsidR="00932420">
        <w:t xml:space="preserve"> </w:t>
      </w:r>
      <w:r>
        <w:t>for</w:t>
      </w:r>
      <w:r w:rsidR="00932420">
        <w:t xml:space="preserve"> </w:t>
      </w:r>
      <w:r>
        <w:t>private</w:t>
      </w:r>
      <w:r w:rsidR="00932420">
        <w:t xml:space="preserve"> </w:t>
      </w:r>
      <w:r>
        <w:t>sector</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and</w:t>
      </w:r>
      <w:r w:rsidR="00932420">
        <w:t xml:space="preserve"> </w:t>
      </w:r>
      <w:r>
        <w:t>the</w:t>
      </w:r>
      <w:r w:rsidR="00932420">
        <w:t xml:space="preserve"> </w:t>
      </w:r>
      <w:r>
        <w:t>expected</w:t>
      </w:r>
      <w:r w:rsidR="00932420">
        <w:t xml:space="preserve"> </w:t>
      </w:r>
      <w:r>
        <w:t>targets</w:t>
      </w:r>
      <w:r w:rsidR="00932420">
        <w:t xml:space="preserve"> </w:t>
      </w:r>
      <w:r>
        <w:t>and</w:t>
      </w:r>
      <w:r w:rsidR="00932420">
        <w:t xml:space="preserve"> </w:t>
      </w:r>
      <w:r>
        <w:t>outcomes</w:t>
      </w:r>
      <w:r w:rsidR="00932420">
        <w:t xml:space="preserve"> </w:t>
      </w:r>
      <w:r>
        <w:t>for</w:t>
      </w:r>
      <w:r w:rsidR="00932420">
        <w:t xml:space="preserve"> </w:t>
      </w:r>
      <w:r>
        <w:t>a</w:t>
      </w:r>
      <w:r w:rsidR="00932420">
        <w:t xml:space="preserve"> </w:t>
      </w:r>
      <w:r>
        <w:t>given</w:t>
      </w:r>
      <w:r w:rsidR="00932420">
        <w:t xml:space="preserve"> </w:t>
      </w:r>
      <w:r>
        <w:t>year</w:t>
      </w:r>
      <w:r w:rsidR="00932420">
        <w:t xml:space="preserve"> </w:t>
      </w:r>
      <w:r>
        <w:t>reflect</w:t>
      </w:r>
      <w:r w:rsidR="00932420">
        <w:t xml:space="preserve"> </w:t>
      </w:r>
      <w:r>
        <w:t>such</w:t>
      </w:r>
      <w:r w:rsidR="00932420">
        <w:t xml:space="preserve"> </w:t>
      </w:r>
      <w:r>
        <w:t>conditions.</w:t>
      </w:r>
    </w:p>
    <w:p w14:paraId="26AF9B3B" w14:textId="2A9F123A" w:rsidR="00CA3C5B" w:rsidRDefault="00260033" w:rsidP="002B162E">
      <w:pPr>
        <w:pStyle w:val="Heading2"/>
      </w:pPr>
      <w:bookmarkStart w:id="26" w:name="_Toc152067223"/>
      <w:r>
        <w:t>Indicator:</w:t>
      </w:r>
      <w:r w:rsidR="00932420">
        <w:t xml:space="preserve"> </w:t>
      </w:r>
      <w:r>
        <w:t>Projects</w:t>
      </w:r>
      <w:r w:rsidR="00932420">
        <w:t xml:space="preserve"> </w:t>
      </w:r>
      <w:r>
        <w:t>and</w:t>
      </w:r>
      <w:r w:rsidR="00932420">
        <w:t xml:space="preserve"> </w:t>
      </w:r>
      <w:r>
        <w:t>activities</w:t>
      </w:r>
      <w:r w:rsidR="00932420">
        <w:t xml:space="preserve"> </w:t>
      </w:r>
      <w:r>
        <w:t>delivered</w:t>
      </w:r>
      <w:r w:rsidR="00932420">
        <w:t xml:space="preserve"> </w:t>
      </w:r>
      <w:r>
        <w:t>to</w:t>
      </w:r>
      <w:r w:rsidR="00932420">
        <w:t xml:space="preserve"> </w:t>
      </w:r>
      <w:r>
        <w:t>support</w:t>
      </w:r>
      <w:r w:rsidR="00932420">
        <w:t xml:space="preserve"> </w:t>
      </w:r>
      <w:r>
        <w:t>economic</w:t>
      </w:r>
      <w:r w:rsidR="00932420">
        <w:t xml:space="preserve"> </w:t>
      </w:r>
      <w:r>
        <w:t>and</w:t>
      </w:r>
      <w:r w:rsidR="00932420">
        <w:t xml:space="preserve"> </w:t>
      </w:r>
      <w:r>
        <w:t>community</w:t>
      </w:r>
      <w:r w:rsidR="00932420">
        <w:t xml:space="preserve"> </w:t>
      </w:r>
      <w:r>
        <w:t>outcomes</w:t>
      </w:r>
      <w:bookmarkEnd w:id="26"/>
    </w:p>
    <w:p w14:paraId="39E2F52F" w14:textId="205CF2B0" w:rsidR="00CA3C5B" w:rsidRDefault="00260033" w:rsidP="002B162E">
      <w:pPr>
        <w:pStyle w:val="TableHeading"/>
      </w:pPr>
      <w:r>
        <w:t>Table</w:t>
      </w:r>
      <w:r w:rsidR="00932420">
        <w:t xml:space="preserve"> </w:t>
      </w:r>
      <w:r>
        <w:t>11:</w:t>
      </w:r>
      <w:r w:rsidR="00932420">
        <w:t xml:space="preserve"> </w:t>
      </w:r>
      <w:r>
        <w:t>Projects</w:t>
      </w:r>
      <w:r w:rsidR="00932420">
        <w:t xml:space="preserve"> </w:t>
      </w:r>
      <w:r>
        <w:t>and</w:t>
      </w:r>
      <w:r w:rsidR="00932420">
        <w:t xml:space="preserve"> </w:t>
      </w:r>
      <w:r>
        <w:t>activities</w:t>
      </w:r>
      <w:r w:rsidR="00932420">
        <w:t xml:space="preserve"> </w:t>
      </w:r>
      <w:r>
        <w:t>delivered</w:t>
      </w:r>
      <w:r w:rsidR="00932420">
        <w:t xml:space="preserve"> </w:t>
      </w:r>
      <w:r>
        <w:t>to</w:t>
      </w:r>
      <w:r w:rsidR="00932420">
        <w:t xml:space="preserve"> </w:t>
      </w:r>
      <w:r>
        <w:t>support</w:t>
      </w:r>
      <w:r w:rsidR="00932420">
        <w:t xml:space="preserve"> </w:t>
      </w:r>
      <w:r>
        <w:t>economic</w:t>
      </w:r>
      <w:r w:rsidR="00932420">
        <w:t xml:space="preserve"> </w:t>
      </w:r>
      <w:r>
        <w:t>and</w:t>
      </w:r>
      <w:r w:rsidR="00932420">
        <w:t xml:space="preserve"> </w:t>
      </w:r>
      <w:r>
        <w:t>community</w:t>
      </w:r>
      <w:r w:rsidR="00932420">
        <w:t xml:space="preserve"> </w:t>
      </w:r>
      <w:r>
        <w:t>outcomes</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0795D83A" w14:textId="77777777" w:rsidTr="002B162E">
        <w:trPr>
          <w:cantSplit/>
        </w:trPr>
        <w:tc>
          <w:tcPr>
            <w:tcW w:w="5102" w:type="dxa"/>
          </w:tcPr>
          <w:p w14:paraId="52E4E23E" w14:textId="117CB86E" w:rsidR="00CA3C5B" w:rsidRDefault="00260033" w:rsidP="002B162E">
            <w:pPr>
              <w:pStyle w:val="TableColumnHeading"/>
            </w:pPr>
            <w:bookmarkStart w:id="27" w:name="ColumnTitle_12"/>
            <w:bookmarkEnd w:id="27"/>
            <w:r>
              <w:t>Measure</w:t>
            </w:r>
            <w:r w:rsidR="00932420">
              <w:t xml:space="preserve"> </w:t>
            </w:r>
            <w:r>
              <w:t>(unit</w:t>
            </w:r>
            <w:r w:rsidR="00932420">
              <w:t xml:space="preserve"> </w:t>
            </w:r>
            <w:r>
              <w:t>of</w:t>
            </w:r>
            <w:r w:rsidR="00932420">
              <w:t xml:space="preserve"> </w:t>
            </w:r>
            <w:r>
              <w:t>measure)</w:t>
            </w:r>
          </w:p>
        </w:tc>
        <w:tc>
          <w:tcPr>
            <w:tcW w:w="1134" w:type="dxa"/>
          </w:tcPr>
          <w:p w14:paraId="31C83A05" w14:textId="77777777" w:rsidR="00CA3C5B" w:rsidRDefault="00260033" w:rsidP="002B162E">
            <w:pPr>
              <w:pStyle w:val="TableColumnHeading"/>
              <w:jc w:val="right"/>
            </w:pPr>
            <w:r>
              <w:t>2019–20</w:t>
            </w:r>
          </w:p>
        </w:tc>
        <w:tc>
          <w:tcPr>
            <w:tcW w:w="1134" w:type="dxa"/>
          </w:tcPr>
          <w:p w14:paraId="69668EF5" w14:textId="77777777" w:rsidR="00CA3C5B" w:rsidRDefault="00260033" w:rsidP="002B162E">
            <w:pPr>
              <w:pStyle w:val="TableColumnHeading"/>
              <w:jc w:val="right"/>
            </w:pPr>
            <w:r>
              <w:t>2020–21</w:t>
            </w:r>
          </w:p>
        </w:tc>
        <w:tc>
          <w:tcPr>
            <w:tcW w:w="1134" w:type="dxa"/>
          </w:tcPr>
          <w:p w14:paraId="1E872F3D" w14:textId="77777777" w:rsidR="00CA3C5B" w:rsidRDefault="00260033" w:rsidP="002B162E">
            <w:pPr>
              <w:pStyle w:val="TableColumnHeading"/>
              <w:jc w:val="right"/>
            </w:pPr>
            <w:r>
              <w:t>2021–22</w:t>
            </w:r>
          </w:p>
        </w:tc>
        <w:tc>
          <w:tcPr>
            <w:tcW w:w="1134" w:type="dxa"/>
          </w:tcPr>
          <w:p w14:paraId="432BEFA8" w14:textId="77777777" w:rsidR="00CA3C5B" w:rsidRDefault="00260033" w:rsidP="002B162E">
            <w:pPr>
              <w:pStyle w:val="TableColumnHeading"/>
              <w:jc w:val="right"/>
            </w:pPr>
            <w:r>
              <w:rPr>
                <w:lang w:val="en-US"/>
              </w:rPr>
              <w:t>2022–23</w:t>
            </w:r>
          </w:p>
        </w:tc>
      </w:tr>
      <w:tr w:rsidR="00CA3C5B" w14:paraId="7B8CFB9F" w14:textId="77777777" w:rsidTr="002B162E">
        <w:trPr>
          <w:cantSplit/>
        </w:trPr>
        <w:tc>
          <w:tcPr>
            <w:tcW w:w="5102" w:type="dxa"/>
          </w:tcPr>
          <w:p w14:paraId="1A94D488" w14:textId="2A42D08F" w:rsidR="00CA3C5B" w:rsidRDefault="00260033" w:rsidP="002B162E">
            <w:pPr>
              <w:pStyle w:val="TableCopy"/>
            </w:pPr>
            <w:r>
              <w:t>Regional</w:t>
            </w:r>
            <w:r w:rsidR="00932420">
              <w:t xml:space="preserve"> </w:t>
            </w:r>
            <w:r>
              <w:t>economic</w:t>
            </w:r>
            <w:r w:rsidR="00932420">
              <w:t xml:space="preserve"> </w:t>
            </w:r>
            <w:r>
              <w:t>development</w:t>
            </w:r>
            <w:r w:rsidR="00932420">
              <w:t xml:space="preserve"> </w:t>
            </w:r>
            <w:r>
              <w:t>and</w:t>
            </w:r>
            <w:r w:rsidR="00932420">
              <w:t xml:space="preserve"> </w:t>
            </w:r>
            <w:r>
              <w:t>service</w:t>
            </w:r>
            <w:r w:rsidR="00932420">
              <w:t xml:space="preserve"> </w:t>
            </w:r>
            <w:r>
              <w:t>delivery</w:t>
            </w:r>
            <w:r w:rsidR="00932420">
              <w:t xml:space="preserve"> </w:t>
            </w:r>
            <w:r>
              <w:t>projects</w:t>
            </w:r>
            <w:r w:rsidR="00932420">
              <w:t xml:space="preserve"> </w:t>
            </w:r>
            <w:r>
              <w:t>supported</w:t>
            </w:r>
            <w:r w:rsidR="00932420">
              <w:t xml:space="preserve"> </w:t>
            </w:r>
            <w:r>
              <w:t>(number)</w:t>
            </w:r>
          </w:p>
        </w:tc>
        <w:tc>
          <w:tcPr>
            <w:tcW w:w="1134" w:type="dxa"/>
          </w:tcPr>
          <w:p w14:paraId="5AAA265E" w14:textId="77777777" w:rsidR="00CA3C5B" w:rsidRDefault="00260033" w:rsidP="002B162E">
            <w:pPr>
              <w:pStyle w:val="TableCopy"/>
              <w:jc w:val="right"/>
            </w:pPr>
            <w:r>
              <w:t>148</w:t>
            </w:r>
          </w:p>
        </w:tc>
        <w:tc>
          <w:tcPr>
            <w:tcW w:w="1134" w:type="dxa"/>
          </w:tcPr>
          <w:p w14:paraId="4C8ED07F" w14:textId="77777777" w:rsidR="00CA3C5B" w:rsidRDefault="00260033" w:rsidP="002B162E">
            <w:pPr>
              <w:pStyle w:val="TableCopy"/>
              <w:jc w:val="right"/>
            </w:pPr>
            <w:r>
              <w:t>677</w:t>
            </w:r>
          </w:p>
        </w:tc>
        <w:tc>
          <w:tcPr>
            <w:tcW w:w="1134" w:type="dxa"/>
          </w:tcPr>
          <w:p w14:paraId="1DE164A4" w14:textId="77777777" w:rsidR="00CA3C5B" w:rsidRDefault="00260033" w:rsidP="002B162E">
            <w:pPr>
              <w:pStyle w:val="TableCopy"/>
              <w:jc w:val="right"/>
            </w:pPr>
            <w:r>
              <w:t>297</w:t>
            </w:r>
          </w:p>
        </w:tc>
        <w:tc>
          <w:tcPr>
            <w:tcW w:w="1134" w:type="dxa"/>
          </w:tcPr>
          <w:p w14:paraId="6ADEAC83" w14:textId="77777777" w:rsidR="00CA3C5B" w:rsidRDefault="00260033" w:rsidP="002B162E">
            <w:pPr>
              <w:pStyle w:val="TableCopy"/>
              <w:jc w:val="right"/>
            </w:pPr>
            <w:r>
              <w:t>225</w:t>
            </w:r>
          </w:p>
        </w:tc>
      </w:tr>
      <w:tr w:rsidR="00CA3C5B" w14:paraId="3557B4EA" w14:textId="77777777" w:rsidTr="002B162E">
        <w:trPr>
          <w:cantSplit/>
        </w:trPr>
        <w:tc>
          <w:tcPr>
            <w:tcW w:w="5102" w:type="dxa"/>
          </w:tcPr>
          <w:p w14:paraId="6A9E0177" w14:textId="6047D17E" w:rsidR="00CA3C5B" w:rsidRDefault="00260033" w:rsidP="002B162E">
            <w:pPr>
              <w:pStyle w:val="TableCopy"/>
            </w:pPr>
            <w:r>
              <w:t>Suburban</w:t>
            </w:r>
            <w:r w:rsidR="00932420">
              <w:t xml:space="preserve"> </w:t>
            </w:r>
            <w:r>
              <w:t>economic</w:t>
            </w:r>
            <w:r w:rsidR="00932420">
              <w:t xml:space="preserve"> </w:t>
            </w:r>
            <w:r>
              <w:t>development</w:t>
            </w:r>
            <w:r w:rsidR="00932420">
              <w:t xml:space="preserve"> </w:t>
            </w:r>
            <w:r>
              <w:t>and</w:t>
            </w:r>
            <w:r w:rsidR="00932420">
              <w:t xml:space="preserve"> </w:t>
            </w:r>
            <w:r>
              <w:t>service</w:t>
            </w:r>
            <w:r w:rsidR="00932420">
              <w:t xml:space="preserve"> </w:t>
            </w:r>
            <w:r>
              <w:t>delivery</w:t>
            </w:r>
            <w:r w:rsidR="00932420">
              <w:t xml:space="preserve"> </w:t>
            </w:r>
            <w:r>
              <w:t>projects</w:t>
            </w:r>
            <w:r w:rsidR="00932420">
              <w:t xml:space="preserve"> </w:t>
            </w:r>
            <w:r>
              <w:t>supported</w:t>
            </w:r>
            <w:r w:rsidR="00932420">
              <w:t xml:space="preserve"> </w:t>
            </w:r>
            <w:r>
              <w:t>by</w:t>
            </w:r>
            <w:r w:rsidR="00932420">
              <w:t xml:space="preserve"> </w:t>
            </w:r>
            <w:r>
              <w:t>Suburban</w:t>
            </w:r>
            <w:r w:rsidR="00932420">
              <w:t xml:space="preserve"> </w:t>
            </w:r>
            <w:r>
              <w:t>Development</w:t>
            </w:r>
            <w:r w:rsidR="00932420">
              <w:t xml:space="preserve"> </w:t>
            </w:r>
            <w:r>
              <w:t>programs</w:t>
            </w:r>
            <w:r w:rsidR="00932420">
              <w:t xml:space="preserve"> </w:t>
            </w:r>
            <w:r>
              <w:t>(number)</w:t>
            </w:r>
          </w:p>
        </w:tc>
        <w:tc>
          <w:tcPr>
            <w:tcW w:w="1134" w:type="dxa"/>
          </w:tcPr>
          <w:p w14:paraId="4AAB1210" w14:textId="77777777" w:rsidR="00CA3C5B" w:rsidRDefault="00260033" w:rsidP="002B162E">
            <w:pPr>
              <w:pStyle w:val="TableCopy"/>
              <w:jc w:val="right"/>
            </w:pPr>
            <w:r>
              <w:t>12</w:t>
            </w:r>
          </w:p>
        </w:tc>
        <w:tc>
          <w:tcPr>
            <w:tcW w:w="1134" w:type="dxa"/>
          </w:tcPr>
          <w:p w14:paraId="1FE0D5DE" w14:textId="77777777" w:rsidR="00CA3C5B" w:rsidRDefault="00260033" w:rsidP="002B162E">
            <w:pPr>
              <w:pStyle w:val="TableCopy"/>
              <w:jc w:val="right"/>
            </w:pPr>
            <w:r>
              <w:t>131</w:t>
            </w:r>
          </w:p>
        </w:tc>
        <w:tc>
          <w:tcPr>
            <w:tcW w:w="1134" w:type="dxa"/>
          </w:tcPr>
          <w:p w14:paraId="0F796843" w14:textId="77777777" w:rsidR="00CA3C5B" w:rsidRDefault="00260033" w:rsidP="002B162E">
            <w:pPr>
              <w:pStyle w:val="TableCopy"/>
              <w:jc w:val="right"/>
            </w:pPr>
            <w:r>
              <w:t>215</w:t>
            </w:r>
          </w:p>
        </w:tc>
        <w:tc>
          <w:tcPr>
            <w:tcW w:w="1134" w:type="dxa"/>
          </w:tcPr>
          <w:p w14:paraId="3FA1982C" w14:textId="77777777" w:rsidR="00CA3C5B" w:rsidRDefault="00260033" w:rsidP="002B162E">
            <w:pPr>
              <w:pStyle w:val="TableCopy"/>
              <w:jc w:val="right"/>
            </w:pPr>
            <w:r>
              <w:rPr>
                <w:lang w:val="en-US"/>
              </w:rPr>
              <w:t>393</w:t>
            </w:r>
          </w:p>
        </w:tc>
      </w:tr>
    </w:tbl>
    <w:p w14:paraId="00C44230" w14:textId="77777777" w:rsidR="00CA3C5B" w:rsidRDefault="00CA3C5B" w:rsidP="002B162E">
      <w:pPr>
        <w:rPr>
          <w:lang w:val="en-US"/>
        </w:rPr>
      </w:pPr>
    </w:p>
    <w:p w14:paraId="042BE25D" w14:textId="5582914E" w:rsidR="00CA3C5B" w:rsidRDefault="00260033" w:rsidP="002B162E">
      <w:pPr>
        <w:pStyle w:val="FigureHeading"/>
      </w:pPr>
      <w:r>
        <w:lastRenderedPageBreak/>
        <w:t>Figure</w:t>
      </w:r>
      <w:r w:rsidR="00932420">
        <w:t xml:space="preserve"> </w:t>
      </w:r>
      <w:r>
        <w:t>11:</w:t>
      </w:r>
      <w:r w:rsidR="00932420">
        <w:t xml:space="preserve"> </w:t>
      </w:r>
      <w:r>
        <w:t>Regional</w:t>
      </w:r>
      <w:r w:rsidR="00932420">
        <w:t xml:space="preserve"> </w:t>
      </w:r>
      <w:r>
        <w:t>economic</w:t>
      </w:r>
      <w:r w:rsidR="00932420">
        <w:t xml:space="preserve"> </w:t>
      </w:r>
      <w:r>
        <w:t>development</w:t>
      </w:r>
      <w:r w:rsidR="00932420">
        <w:t xml:space="preserve"> </w:t>
      </w:r>
      <w:r>
        <w:t>and</w:t>
      </w:r>
      <w:r w:rsidR="00932420">
        <w:t xml:space="preserve"> </w:t>
      </w:r>
      <w:r>
        <w:t>service</w:t>
      </w:r>
      <w:r w:rsidR="00932420">
        <w:t xml:space="preserve"> </w:t>
      </w:r>
      <w:r>
        <w:t>delivery</w:t>
      </w:r>
      <w:r w:rsidR="00932420">
        <w:t xml:space="preserve"> </w:t>
      </w:r>
      <w:r>
        <w:t>projects</w:t>
      </w:r>
      <w:r w:rsidR="00932420">
        <w:t xml:space="preserve"> </w:t>
      </w:r>
      <w:r>
        <w:t>supported</w:t>
      </w:r>
    </w:p>
    <w:p w14:paraId="2297C2BC" w14:textId="5A55D343" w:rsidR="00CA3C5B" w:rsidRDefault="002B162E" w:rsidP="002B162E">
      <w:r>
        <w:rPr>
          <w:noProof/>
        </w:rPr>
        <w:drawing>
          <wp:inline distT="0" distB="0" distL="0" distR="0" wp14:anchorId="299692F9" wp14:editId="1CB1535E">
            <wp:extent cx="3240912" cy="2168297"/>
            <wp:effectExtent l="0" t="0" r="0" b="3810"/>
            <wp:docPr id="11" name="Picture 11" descr="Figure 11: Regional economic development and service delivery projects supported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1: Regional economic development and service delivery projects supported graph. Data in table above."/>
                    <pic:cNvPicPr/>
                  </pic:nvPicPr>
                  <pic:blipFill>
                    <a:blip r:embed="rId20"/>
                    <a:stretch>
                      <a:fillRect/>
                    </a:stretch>
                  </pic:blipFill>
                  <pic:spPr>
                    <a:xfrm>
                      <a:off x="0" y="0"/>
                      <a:ext cx="3249957" cy="2174348"/>
                    </a:xfrm>
                    <a:prstGeom prst="rect">
                      <a:avLst/>
                    </a:prstGeom>
                  </pic:spPr>
                </pic:pic>
              </a:graphicData>
            </a:graphic>
          </wp:inline>
        </w:drawing>
      </w:r>
    </w:p>
    <w:p w14:paraId="33166712" w14:textId="3F62F1BF" w:rsidR="00CA3C5B" w:rsidRDefault="00260033" w:rsidP="002B162E">
      <w:pPr>
        <w:pStyle w:val="FigureHeading"/>
      </w:pPr>
      <w:r>
        <w:t>Figure</w:t>
      </w:r>
      <w:r w:rsidR="00932420">
        <w:t xml:space="preserve"> </w:t>
      </w:r>
      <w:r>
        <w:t>12:</w:t>
      </w:r>
      <w:r w:rsidR="00932420">
        <w:t xml:space="preserve"> </w:t>
      </w:r>
      <w:r>
        <w:t>Suburban</w:t>
      </w:r>
      <w:r w:rsidR="00932420">
        <w:t xml:space="preserve"> </w:t>
      </w:r>
      <w:r>
        <w:t>economic</w:t>
      </w:r>
      <w:r w:rsidR="00932420">
        <w:t xml:space="preserve"> </w:t>
      </w:r>
      <w:r>
        <w:t>development</w:t>
      </w:r>
      <w:r w:rsidR="00932420">
        <w:t xml:space="preserve"> </w:t>
      </w:r>
      <w:r>
        <w:t>and</w:t>
      </w:r>
      <w:r w:rsidR="00932420">
        <w:t xml:space="preserve"> </w:t>
      </w:r>
      <w:r>
        <w:t>service</w:t>
      </w:r>
      <w:r w:rsidR="00932420">
        <w:t xml:space="preserve"> </w:t>
      </w:r>
      <w:r>
        <w:t>delivery</w:t>
      </w:r>
      <w:r w:rsidR="00932420">
        <w:t xml:space="preserve"> </w:t>
      </w:r>
      <w:r>
        <w:t>projects</w:t>
      </w:r>
      <w:r w:rsidR="00932420">
        <w:t xml:space="preserve"> </w:t>
      </w:r>
      <w:r>
        <w:t>supported</w:t>
      </w:r>
      <w:r w:rsidR="00932420">
        <w:t xml:space="preserve"> </w:t>
      </w:r>
      <w:r>
        <w:t>by</w:t>
      </w:r>
      <w:r w:rsidR="00932420">
        <w:t xml:space="preserve"> </w:t>
      </w:r>
      <w:r>
        <w:t>Suburban</w:t>
      </w:r>
      <w:r w:rsidR="00932420">
        <w:t xml:space="preserve"> </w:t>
      </w:r>
      <w:r>
        <w:t>Development</w:t>
      </w:r>
      <w:r w:rsidR="00932420">
        <w:t xml:space="preserve"> </w:t>
      </w:r>
      <w:r>
        <w:t>programs</w:t>
      </w:r>
    </w:p>
    <w:p w14:paraId="7D7CDDA3" w14:textId="69114300" w:rsidR="00CA3C5B" w:rsidRDefault="0047160D" w:rsidP="002B162E">
      <w:r>
        <w:rPr>
          <w:noProof/>
        </w:rPr>
        <w:drawing>
          <wp:inline distT="0" distB="0" distL="0" distR="0" wp14:anchorId="56444239" wp14:editId="15C2432A">
            <wp:extent cx="3211975" cy="2148937"/>
            <wp:effectExtent l="0" t="0" r="7620" b="3810"/>
            <wp:docPr id="12" name="Picture 12" descr="Figure 12: Suburban economic development and service delivery projects supported by Suburban Development program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12: Suburban economic development and service delivery projects supported by Suburban Development programs graph. Data in table above."/>
                    <pic:cNvPicPr/>
                  </pic:nvPicPr>
                  <pic:blipFill>
                    <a:blip r:embed="rId21"/>
                    <a:stretch>
                      <a:fillRect/>
                    </a:stretch>
                  </pic:blipFill>
                  <pic:spPr>
                    <a:xfrm>
                      <a:off x="0" y="0"/>
                      <a:ext cx="3229445" cy="2160625"/>
                    </a:xfrm>
                    <a:prstGeom prst="rect">
                      <a:avLst/>
                    </a:prstGeom>
                  </pic:spPr>
                </pic:pic>
              </a:graphicData>
            </a:graphic>
          </wp:inline>
        </w:drawing>
      </w:r>
    </w:p>
    <w:p w14:paraId="1E794FB5" w14:textId="3F098424" w:rsidR="00CA3C5B" w:rsidRDefault="00260033" w:rsidP="0047160D">
      <w:pPr>
        <w:pStyle w:val="Heading3"/>
      </w:pPr>
      <w:r>
        <w:t>Regional</w:t>
      </w:r>
      <w:r w:rsidR="00932420">
        <w:t xml:space="preserve"> </w:t>
      </w:r>
      <w:r>
        <w:t>Development</w:t>
      </w:r>
    </w:p>
    <w:p w14:paraId="2EF38AA7" w14:textId="00C950FF" w:rsidR="00CA3C5B" w:rsidRDefault="00260033" w:rsidP="0047160D">
      <w:r>
        <w:t>In</w:t>
      </w:r>
      <w:r w:rsidR="00932420">
        <w:t xml:space="preserve"> </w:t>
      </w:r>
      <w:r>
        <w:t>2022–23,</w:t>
      </w:r>
      <w:r w:rsidR="00932420">
        <w:t xml:space="preserve"> </w:t>
      </w:r>
      <w:r>
        <w:t>the</w:t>
      </w:r>
      <w:r w:rsidR="00932420">
        <w:t xml:space="preserve"> </w:t>
      </w:r>
      <w:r>
        <w:t>department</w:t>
      </w:r>
      <w:r w:rsidR="00932420">
        <w:t xml:space="preserve"> </w:t>
      </w:r>
      <w:r>
        <w:t>continued</w:t>
      </w:r>
      <w:r w:rsidR="00932420">
        <w:t xml:space="preserve"> </w:t>
      </w:r>
      <w:r>
        <w:t>to</w:t>
      </w:r>
      <w:r w:rsidR="00932420">
        <w:t xml:space="preserve"> </w:t>
      </w:r>
      <w:r>
        <w:t>support</w:t>
      </w:r>
      <w:r w:rsidR="00932420">
        <w:t xml:space="preserve"> </w:t>
      </w:r>
      <w:r>
        <w:t>the</w:t>
      </w:r>
      <w:r w:rsidR="00932420">
        <w:t xml:space="preserve"> </w:t>
      </w:r>
      <w:r>
        <w:t>delivery</w:t>
      </w:r>
      <w:r w:rsidR="00932420">
        <w:t xml:space="preserve"> </w:t>
      </w:r>
      <w:r>
        <w:t>of</w:t>
      </w:r>
      <w:r w:rsidR="00932420">
        <w:t xml:space="preserve"> </w:t>
      </w:r>
      <w:r>
        <w:t>projects</w:t>
      </w:r>
      <w:r w:rsidR="00932420">
        <w:t xml:space="preserve"> </w:t>
      </w:r>
      <w:r>
        <w:t>in</w:t>
      </w:r>
      <w:r w:rsidR="00932420">
        <w:t xml:space="preserve"> </w:t>
      </w:r>
      <w:r>
        <w:t>rural</w:t>
      </w:r>
      <w:r w:rsidR="00932420">
        <w:t xml:space="preserve"> </w:t>
      </w:r>
      <w:r>
        <w:t>and</w:t>
      </w:r>
      <w:r w:rsidR="00932420">
        <w:t xml:space="preserve"> </w:t>
      </w:r>
      <w:r>
        <w:t>regional</w:t>
      </w:r>
      <w:r w:rsidR="00932420">
        <w:t xml:space="preserve"> </w:t>
      </w:r>
      <w:r>
        <w:t>Victoria</w:t>
      </w:r>
      <w:r w:rsidR="00932420">
        <w:t xml:space="preserve"> </w:t>
      </w:r>
      <w:r>
        <w:t>through</w:t>
      </w:r>
      <w:r w:rsidR="00932420">
        <w:t xml:space="preserve"> </w:t>
      </w:r>
      <w:r>
        <w:t>the</w:t>
      </w:r>
      <w:r w:rsidR="00932420">
        <w:t xml:space="preserve"> </w:t>
      </w:r>
      <w:r>
        <w:t>Regional</w:t>
      </w:r>
      <w:r w:rsidR="00932420">
        <w:t xml:space="preserve"> </w:t>
      </w:r>
      <w:r>
        <w:t>Development</w:t>
      </w:r>
      <w:r w:rsidR="00932420">
        <w:t xml:space="preserve"> </w:t>
      </w:r>
      <w:r>
        <w:t>output.</w:t>
      </w:r>
      <w:r w:rsidR="00932420">
        <w:t xml:space="preserve"> </w:t>
      </w:r>
      <w:r>
        <w:t>The</w:t>
      </w:r>
      <w:r w:rsidR="00932420">
        <w:t xml:space="preserve"> </w:t>
      </w:r>
      <w:r>
        <w:t>department</w:t>
      </w:r>
      <w:r w:rsidR="00932420">
        <w:t xml:space="preserve"> </w:t>
      </w:r>
      <w:r>
        <w:t>measured</w:t>
      </w:r>
      <w:r w:rsidR="00932420">
        <w:t xml:space="preserve"> </w:t>
      </w:r>
      <w:r>
        <w:t>and</w:t>
      </w:r>
      <w:r w:rsidR="00932420">
        <w:t xml:space="preserve"> </w:t>
      </w:r>
      <w:r>
        <w:t>reported</w:t>
      </w:r>
      <w:r w:rsidR="00932420">
        <w:t xml:space="preserve"> </w:t>
      </w:r>
      <w:r>
        <w:t>on</w:t>
      </w:r>
      <w:r w:rsidR="00932420">
        <w:t xml:space="preserve"> </w:t>
      </w:r>
      <w:r>
        <w:t>the</w:t>
      </w:r>
      <w:r w:rsidR="00932420">
        <w:t xml:space="preserve"> </w:t>
      </w:r>
      <w:r>
        <w:t>number</w:t>
      </w:r>
      <w:r w:rsidR="00932420">
        <w:t xml:space="preserve"> </w:t>
      </w:r>
      <w:r>
        <w:t>of</w:t>
      </w:r>
      <w:r w:rsidR="00932420">
        <w:t xml:space="preserve"> </w:t>
      </w:r>
      <w:r>
        <w:t>projects</w:t>
      </w:r>
      <w:r w:rsidR="00932420">
        <w:t xml:space="preserve"> </w:t>
      </w:r>
      <w:r>
        <w:t>being</w:t>
      </w:r>
      <w:r w:rsidR="00932420">
        <w:t xml:space="preserve"> </w:t>
      </w:r>
      <w:r>
        <w:t>delivered</w:t>
      </w:r>
      <w:r w:rsidR="00932420">
        <w:t xml:space="preserve"> </w:t>
      </w:r>
      <w:r>
        <w:t>in</w:t>
      </w:r>
      <w:r w:rsidR="00932420">
        <w:t xml:space="preserve"> </w:t>
      </w:r>
      <w:r>
        <w:t>regional</w:t>
      </w:r>
      <w:r w:rsidR="00932420">
        <w:t xml:space="preserve"> </w:t>
      </w:r>
      <w:r>
        <w:t>Victoria</w:t>
      </w:r>
      <w:r w:rsidR="00932420">
        <w:t xml:space="preserve"> </w:t>
      </w:r>
      <w:r>
        <w:t>through</w:t>
      </w:r>
      <w:r w:rsidR="00932420">
        <w:t xml:space="preserve"> </w:t>
      </w:r>
      <w:r>
        <w:t>the</w:t>
      </w:r>
      <w:r w:rsidR="00932420">
        <w:t xml:space="preserve"> </w:t>
      </w:r>
      <w:r>
        <w:t>BP3</w:t>
      </w:r>
      <w:r w:rsidR="00932420">
        <w:t xml:space="preserve"> </w:t>
      </w:r>
      <w:r>
        <w:t>measure</w:t>
      </w:r>
      <w:r w:rsidR="00932420">
        <w:t xml:space="preserve"> </w:t>
      </w:r>
      <w:r w:rsidRPr="0047160D">
        <w:rPr>
          <w:i/>
          <w:iCs/>
        </w:rPr>
        <w:t>’Economic</w:t>
      </w:r>
      <w:r w:rsidR="00932420" w:rsidRPr="0047160D">
        <w:rPr>
          <w:i/>
          <w:iCs/>
        </w:rPr>
        <w:t xml:space="preserve"> </w:t>
      </w:r>
      <w:r w:rsidRPr="0047160D">
        <w:rPr>
          <w:i/>
          <w:iCs/>
        </w:rPr>
        <w:t>development</w:t>
      </w:r>
      <w:r w:rsidR="00932420" w:rsidRPr="0047160D">
        <w:rPr>
          <w:i/>
          <w:iCs/>
        </w:rPr>
        <w:t xml:space="preserve"> </w:t>
      </w:r>
      <w:r w:rsidRPr="0047160D">
        <w:rPr>
          <w:i/>
          <w:iCs/>
        </w:rPr>
        <w:t>and</w:t>
      </w:r>
      <w:r w:rsidR="00932420" w:rsidRPr="0047160D">
        <w:rPr>
          <w:i/>
          <w:iCs/>
        </w:rPr>
        <w:t xml:space="preserve"> </w:t>
      </w:r>
      <w:r w:rsidRPr="0047160D">
        <w:rPr>
          <w:i/>
          <w:iCs/>
        </w:rPr>
        <w:t>service</w:t>
      </w:r>
      <w:r w:rsidR="00932420" w:rsidRPr="0047160D">
        <w:rPr>
          <w:i/>
          <w:iCs/>
        </w:rPr>
        <w:t xml:space="preserve"> </w:t>
      </w:r>
      <w:r w:rsidRPr="0047160D">
        <w:rPr>
          <w:i/>
          <w:iCs/>
        </w:rPr>
        <w:t>delivery</w:t>
      </w:r>
      <w:r w:rsidR="00932420" w:rsidRPr="0047160D">
        <w:rPr>
          <w:i/>
          <w:iCs/>
        </w:rPr>
        <w:t xml:space="preserve"> </w:t>
      </w:r>
      <w:r w:rsidRPr="0047160D">
        <w:rPr>
          <w:i/>
          <w:iCs/>
        </w:rPr>
        <w:t>projects</w:t>
      </w:r>
      <w:r w:rsidR="00932420" w:rsidRPr="0047160D">
        <w:rPr>
          <w:i/>
          <w:iCs/>
        </w:rPr>
        <w:t xml:space="preserve"> </w:t>
      </w:r>
      <w:r w:rsidRPr="0047160D">
        <w:rPr>
          <w:i/>
          <w:iCs/>
        </w:rPr>
        <w:t>supported</w:t>
      </w:r>
      <w:r w:rsidR="0047160D" w:rsidRPr="0047160D">
        <w:rPr>
          <w:i/>
          <w:iCs/>
        </w:rPr>
        <w:t>’</w:t>
      </w:r>
      <w:r w:rsidRPr="0047160D">
        <w:t>.</w:t>
      </w:r>
      <w:r w:rsidR="00932420">
        <w:t xml:space="preserve"> </w:t>
      </w:r>
      <w:r>
        <w:t>In</w:t>
      </w:r>
      <w:r w:rsidR="00932420">
        <w:t xml:space="preserve"> </w:t>
      </w:r>
      <w:r>
        <w:t>total,</w:t>
      </w:r>
      <w:r w:rsidR="00932420">
        <w:t xml:space="preserve"> </w:t>
      </w:r>
      <w:r>
        <w:t>225</w:t>
      </w:r>
      <w:r w:rsidR="00932420">
        <w:t xml:space="preserve"> </w:t>
      </w:r>
      <w:r>
        <w:t>projects</w:t>
      </w:r>
      <w:r w:rsidR="00932420">
        <w:t xml:space="preserve"> </w:t>
      </w:r>
      <w:r>
        <w:t>were</w:t>
      </w:r>
      <w:r w:rsidR="00932420">
        <w:t xml:space="preserve"> </w:t>
      </w:r>
      <w:r>
        <w:t>supported</w:t>
      </w:r>
      <w:r w:rsidR="00932420">
        <w:t xml:space="preserve"> </w:t>
      </w:r>
      <w:r>
        <w:t>in</w:t>
      </w:r>
      <w:r w:rsidR="00932420">
        <w:t xml:space="preserve"> </w:t>
      </w:r>
      <w:r>
        <w:t>2022–23</w:t>
      </w:r>
      <w:r w:rsidR="00932420">
        <w:t xml:space="preserve"> </w:t>
      </w:r>
      <w:r>
        <w:t>against</w:t>
      </w:r>
      <w:r w:rsidR="00932420">
        <w:t xml:space="preserve"> </w:t>
      </w:r>
      <w:r>
        <w:t>a</w:t>
      </w:r>
      <w:r w:rsidR="00932420">
        <w:t xml:space="preserve"> </w:t>
      </w:r>
      <w:r>
        <w:t>target</w:t>
      </w:r>
      <w:r w:rsidR="00932420">
        <w:t xml:space="preserve"> </w:t>
      </w:r>
      <w:r>
        <w:t>of</w:t>
      </w:r>
      <w:r w:rsidR="00932420">
        <w:t xml:space="preserve"> </w:t>
      </w:r>
      <w:r>
        <w:t>90.</w:t>
      </w:r>
      <w:r w:rsidR="00932420">
        <w:t xml:space="preserve"> </w:t>
      </w:r>
      <w:r>
        <w:t>This</w:t>
      </w:r>
      <w:r w:rsidR="00932420">
        <w:t xml:space="preserve"> </w:t>
      </w:r>
      <w:r>
        <w:t>higher-than-expected</w:t>
      </w:r>
      <w:r w:rsidR="00932420">
        <w:t xml:space="preserve"> </w:t>
      </w:r>
      <w:r>
        <w:t>outcome</w:t>
      </w:r>
      <w:r w:rsidR="00932420">
        <w:t xml:space="preserve"> </w:t>
      </w:r>
      <w:r>
        <w:t>primarily</w:t>
      </w:r>
      <w:r w:rsidR="00932420">
        <w:t xml:space="preserve"> </w:t>
      </w:r>
      <w:r>
        <w:t>reflected</w:t>
      </w:r>
      <w:r w:rsidR="00932420">
        <w:t xml:space="preserve"> </w:t>
      </w:r>
      <w:r>
        <w:t>the</w:t>
      </w:r>
      <w:r w:rsidR="00932420">
        <w:t xml:space="preserve"> </w:t>
      </w:r>
      <w:r>
        <w:t>introduction</w:t>
      </w:r>
      <w:r w:rsidR="00932420">
        <w:t xml:space="preserve"> </w:t>
      </w:r>
      <w:r>
        <w:t>of</w:t>
      </w:r>
      <w:r w:rsidR="00932420">
        <w:t xml:space="preserve"> </w:t>
      </w:r>
      <w:r>
        <w:t>the</w:t>
      </w:r>
      <w:r w:rsidR="00932420">
        <w:t xml:space="preserve"> </w:t>
      </w:r>
      <w:r>
        <w:t>Living</w:t>
      </w:r>
      <w:r w:rsidR="00932420">
        <w:t xml:space="preserve"> </w:t>
      </w:r>
      <w:r>
        <w:t>Local</w:t>
      </w:r>
      <w:r w:rsidR="00932420">
        <w:t xml:space="preserve"> </w:t>
      </w:r>
      <w:r>
        <w:t>Regional</w:t>
      </w:r>
      <w:r w:rsidR="00932420">
        <w:t xml:space="preserve"> </w:t>
      </w:r>
      <w:r>
        <w:t>Fund</w:t>
      </w:r>
      <w:r w:rsidR="00932420">
        <w:t xml:space="preserve"> </w:t>
      </w:r>
      <w:r>
        <w:t>–</w:t>
      </w:r>
      <w:r w:rsidR="00932420">
        <w:t xml:space="preserve"> </w:t>
      </w:r>
      <w:r>
        <w:t>a</w:t>
      </w:r>
      <w:r w:rsidR="00932420">
        <w:t xml:space="preserve"> </w:t>
      </w:r>
      <w:r>
        <w:t>new</w:t>
      </w:r>
      <w:r w:rsidR="00932420">
        <w:t xml:space="preserve"> </w:t>
      </w:r>
      <w:r>
        <w:t>initiative</w:t>
      </w:r>
      <w:r w:rsidR="00932420">
        <w:t xml:space="preserve"> </w:t>
      </w:r>
      <w:r>
        <w:t>launched</w:t>
      </w:r>
      <w:r w:rsidR="00932420">
        <w:t xml:space="preserve"> </w:t>
      </w:r>
      <w:r>
        <w:t>in</w:t>
      </w:r>
      <w:r w:rsidR="00932420">
        <w:t xml:space="preserve"> </w:t>
      </w:r>
      <w:r>
        <w:t>July</w:t>
      </w:r>
      <w:r w:rsidR="00932420">
        <w:t xml:space="preserve"> </w:t>
      </w:r>
      <w:r>
        <w:t>2022.</w:t>
      </w:r>
    </w:p>
    <w:p w14:paraId="501AEF79" w14:textId="4A0CF84D" w:rsidR="00CA3C5B" w:rsidRDefault="00260033" w:rsidP="0047160D">
      <w:pPr>
        <w:pStyle w:val="Normalbeforebullets"/>
      </w:pPr>
      <w:r>
        <w:t>The</w:t>
      </w:r>
      <w:r w:rsidR="00932420">
        <w:t xml:space="preserve"> </w:t>
      </w:r>
      <w:r>
        <w:t>72</w:t>
      </w:r>
      <w:r w:rsidR="00932420">
        <w:t xml:space="preserve"> </w:t>
      </w:r>
      <w:r>
        <w:t>projects</w:t>
      </w:r>
      <w:r w:rsidR="00932420">
        <w:t xml:space="preserve"> </w:t>
      </w:r>
      <w:r>
        <w:t>supported</w:t>
      </w:r>
      <w:r w:rsidR="00932420">
        <w:t xml:space="preserve"> </w:t>
      </w:r>
      <w:r>
        <w:t>through</w:t>
      </w:r>
      <w:r w:rsidR="00932420">
        <w:t xml:space="preserve"> </w:t>
      </w:r>
      <w:r>
        <w:t>the</w:t>
      </w:r>
      <w:r w:rsidR="00932420">
        <w:t xml:space="preserve"> </w:t>
      </w:r>
      <w:r>
        <w:t>Regional</w:t>
      </w:r>
      <w:r w:rsidR="00932420">
        <w:t xml:space="preserve"> </w:t>
      </w:r>
      <w:r>
        <w:t>Jobs</w:t>
      </w:r>
      <w:r w:rsidR="00932420">
        <w:t xml:space="preserve"> </w:t>
      </w:r>
      <w:r>
        <w:t>and</w:t>
      </w:r>
      <w:r w:rsidR="00932420">
        <w:t xml:space="preserve"> </w:t>
      </w:r>
      <w:r>
        <w:t>Infrastructure</w:t>
      </w:r>
      <w:r w:rsidR="00932420">
        <w:t xml:space="preserve"> </w:t>
      </w:r>
      <w:r>
        <w:t>Fund</w:t>
      </w:r>
      <w:r w:rsidR="00932420">
        <w:t xml:space="preserve"> </w:t>
      </w:r>
      <w:r>
        <w:t>comprised:</w:t>
      </w:r>
      <w:r w:rsidR="00932420">
        <w:t xml:space="preserve"> </w:t>
      </w:r>
    </w:p>
    <w:p w14:paraId="3461E7C0" w14:textId="5427F689" w:rsidR="00CA3C5B" w:rsidRDefault="00260033" w:rsidP="0047160D">
      <w:pPr>
        <w:pStyle w:val="Bullet"/>
      </w:pPr>
      <w:r>
        <w:t>27</w:t>
      </w:r>
      <w:r w:rsidR="00932420">
        <w:t xml:space="preserve"> </w:t>
      </w:r>
      <w:r>
        <w:t>projects</w:t>
      </w:r>
      <w:r w:rsidR="00932420">
        <w:t xml:space="preserve"> </w:t>
      </w:r>
      <w:r>
        <w:t>through</w:t>
      </w:r>
      <w:r w:rsidR="00932420">
        <w:t xml:space="preserve"> </w:t>
      </w:r>
      <w:r>
        <w:t>the</w:t>
      </w:r>
      <w:r w:rsidR="00932420">
        <w:t xml:space="preserve"> </w:t>
      </w:r>
      <w:r>
        <w:t>Regional</w:t>
      </w:r>
      <w:r w:rsidR="00932420">
        <w:t xml:space="preserve"> </w:t>
      </w:r>
      <w:r>
        <w:t>Jobs</w:t>
      </w:r>
      <w:r w:rsidR="00932420">
        <w:t xml:space="preserve"> </w:t>
      </w:r>
      <w:r>
        <w:t>Fund</w:t>
      </w:r>
    </w:p>
    <w:p w14:paraId="2B046EB8" w14:textId="14D2E44D" w:rsidR="00CA3C5B" w:rsidRDefault="00260033" w:rsidP="0047160D">
      <w:pPr>
        <w:pStyle w:val="Bullet"/>
      </w:pPr>
      <w:r>
        <w:t>14</w:t>
      </w:r>
      <w:r w:rsidR="00932420">
        <w:t xml:space="preserve"> </w:t>
      </w:r>
      <w:r>
        <w:t>projects</w:t>
      </w:r>
      <w:r w:rsidR="00932420">
        <w:t xml:space="preserve"> </w:t>
      </w:r>
      <w:r>
        <w:t>through</w:t>
      </w:r>
      <w:r w:rsidR="00932420">
        <w:t xml:space="preserve"> </w:t>
      </w:r>
      <w:r>
        <w:t>the</w:t>
      </w:r>
      <w:r w:rsidR="00932420">
        <w:t xml:space="preserve"> </w:t>
      </w:r>
      <w:r>
        <w:t>Regional</w:t>
      </w:r>
      <w:r w:rsidR="00932420">
        <w:t xml:space="preserve"> </w:t>
      </w:r>
      <w:r>
        <w:t>Infrastructure</w:t>
      </w:r>
      <w:r w:rsidR="00932420">
        <w:t xml:space="preserve"> </w:t>
      </w:r>
      <w:r>
        <w:t>Fund</w:t>
      </w:r>
    </w:p>
    <w:p w14:paraId="641844A2" w14:textId="667D3279" w:rsidR="00CA3C5B" w:rsidRDefault="00260033" w:rsidP="0047160D">
      <w:pPr>
        <w:pStyle w:val="Bullet"/>
      </w:pPr>
      <w:r>
        <w:t>29</w:t>
      </w:r>
      <w:r w:rsidR="00932420">
        <w:t xml:space="preserve"> </w:t>
      </w:r>
      <w:r>
        <w:t>projects</w:t>
      </w:r>
      <w:r w:rsidR="00932420">
        <w:t xml:space="preserve"> </w:t>
      </w:r>
      <w:r>
        <w:t>through</w:t>
      </w:r>
      <w:r w:rsidR="00932420">
        <w:t xml:space="preserve"> </w:t>
      </w:r>
      <w:r>
        <w:t>the</w:t>
      </w:r>
      <w:r w:rsidR="00932420">
        <w:t xml:space="preserve"> </w:t>
      </w:r>
      <w:r>
        <w:t>Investment</w:t>
      </w:r>
      <w:r w:rsidR="00932420">
        <w:t xml:space="preserve"> </w:t>
      </w:r>
      <w:r>
        <w:t>Fast-Track</w:t>
      </w:r>
      <w:r w:rsidR="00932420">
        <w:t xml:space="preserve"> </w:t>
      </w:r>
      <w:r>
        <w:t>Fund</w:t>
      </w:r>
    </w:p>
    <w:p w14:paraId="120DF91C" w14:textId="5E3492C3" w:rsidR="00CA3C5B" w:rsidRDefault="00260033" w:rsidP="0047160D">
      <w:pPr>
        <w:pStyle w:val="Bulletlast"/>
      </w:pPr>
      <w:r>
        <w:t>2</w:t>
      </w:r>
      <w:r w:rsidR="00932420">
        <w:t xml:space="preserve"> </w:t>
      </w:r>
      <w:r>
        <w:t>Portland</w:t>
      </w:r>
      <w:r w:rsidR="00932420">
        <w:t xml:space="preserve"> </w:t>
      </w:r>
      <w:r>
        <w:t>Diversification</w:t>
      </w:r>
      <w:r w:rsidR="00932420">
        <w:t xml:space="preserve"> </w:t>
      </w:r>
      <w:r>
        <w:t>Fund</w:t>
      </w:r>
      <w:r w:rsidR="00932420">
        <w:t xml:space="preserve"> </w:t>
      </w:r>
      <w:r>
        <w:t>projects.</w:t>
      </w:r>
    </w:p>
    <w:p w14:paraId="3D1A5D1F" w14:textId="5CAC0240" w:rsidR="00CA3C5B" w:rsidRDefault="00260033" w:rsidP="0047160D">
      <w:r>
        <w:lastRenderedPageBreak/>
        <w:t>Additionally,</w:t>
      </w:r>
      <w:r w:rsidR="00932420">
        <w:t xml:space="preserve"> </w:t>
      </w:r>
      <w:r>
        <w:t>the</w:t>
      </w:r>
      <w:r w:rsidR="00932420">
        <w:t xml:space="preserve"> </w:t>
      </w:r>
      <w:r>
        <w:t>department</w:t>
      </w:r>
      <w:r w:rsidR="00932420">
        <w:t xml:space="preserve"> </w:t>
      </w:r>
      <w:r>
        <w:t>supported</w:t>
      </w:r>
      <w:r w:rsidR="00932420">
        <w:t xml:space="preserve"> </w:t>
      </w:r>
      <w:r>
        <w:t>132</w:t>
      </w:r>
      <w:r w:rsidR="00932420">
        <w:t xml:space="preserve"> </w:t>
      </w:r>
      <w:r>
        <w:t>Living</w:t>
      </w:r>
      <w:r w:rsidR="00932420">
        <w:t xml:space="preserve"> </w:t>
      </w:r>
      <w:r>
        <w:t>Local</w:t>
      </w:r>
      <w:r w:rsidR="00932420">
        <w:t xml:space="preserve"> </w:t>
      </w:r>
      <w:r>
        <w:t>–</w:t>
      </w:r>
      <w:r w:rsidR="00932420">
        <w:t xml:space="preserve"> </w:t>
      </w:r>
      <w:r>
        <w:t>Regional</w:t>
      </w:r>
      <w:r w:rsidR="00932420">
        <w:t xml:space="preserve"> </w:t>
      </w:r>
      <w:r>
        <w:t>(42)</w:t>
      </w:r>
      <w:r w:rsidR="00932420">
        <w:t xml:space="preserve"> </w:t>
      </w:r>
      <w:r>
        <w:t>and</w:t>
      </w:r>
      <w:r w:rsidR="00932420">
        <w:t xml:space="preserve"> </w:t>
      </w:r>
      <w:r>
        <w:t>Regional</w:t>
      </w:r>
      <w:r w:rsidR="00932420">
        <w:t xml:space="preserve"> </w:t>
      </w:r>
      <w:r>
        <w:t>Community</w:t>
      </w:r>
      <w:r w:rsidR="00932420">
        <w:t xml:space="preserve"> </w:t>
      </w:r>
      <w:r>
        <w:t>(90)</w:t>
      </w:r>
      <w:r w:rsidR="00932420">
        <w:t xml:space="preserve"> </w:t>
      </w:r>
      <w:r>
        <w:t>projects,</w:t>
      </w:r>
      <w:r w:rsidR="00932420">
        <w:t xml:space="preserve"> </w:t>
      </w:r>
      <w:r>
        <w:t>12</w:t>
      </w:r>
      <w:r w:rsidR="00932420">
        <w:t xml:space="preserve"> </w:t>
      </w:r>
      <w:r>
        <w:t>Regional</w:t>
      </w:r>
      <w:r w:rsidR="00932420">
        <w:t xml:space="preserve"> </w:t>
      </w:r>
      <w:r>
        <w:t>Partnership</w:t>
      </w:r>
      <w:r w:rsidR="00932420">
        <w:t xml:space="preserve"> </w:t>
      </w:r>
      <w:r>
        <w:t>projects</w:t>
      </w:r>
      <w:r w:rsidR="00932420">
        <w:t xml:space="preserve"> </w:t>
      </w:r>
      <w:r>
        <w:t>and</w:t>
      </w:r>
      <w:r w:rsidR="00932420">
        <w:t xml:space="preserve"> </w:t>
      </w:r>
      <w:r>
        <w:t>9</w:t>
      </w:r>
      <w:r w:rsidR="00932420">
        <w:t xml:space="preserve"> </w:t>
      </w:r>
      <w:r>
        <w:t>projects</w:t>
      </w:r>
      <w:r w:rsidR="00932420">
        <w:t xml:space="preserve"> </w:t>
      </w:r>
      <w:r>
        <w:t>through</w:t>
      </w:r>
      <w:r w:rsidR="00932420">
        <w:t xml:space="preserve"> </w:t>
      </w:r>
      <w:r>
        <w:t>various</w:t>
      </w:r>
      <w:r w:rsidR="00932420">
        <w:t xml:space="preserve"> </w:t>
      </w:r>
      <w:r>
        <w:t>other</w:t>
      </w:r>
      <w:r w:rsidR="00932420">
        <w:t xml:space="preserve"> </w:t>
      </w:r>
      <w:r>
        <w:t>funds/programs</w:t>
      </w:r>
      <w:r w:rsidR="00932420">
        <w:t xml:space="preserve"> </w:t>
      </w:r>
      <w:r>
        <w:t>(5</w:t>
      </w:r>
      <w:r w:rsidR="00932420">
        <w:t xml:space="preserve"> </w:t>
      </w:r>
      <w:r>
        <w:t>flood</w:t>
      </w:r>
      <w:r w:rsidR="00932420">
        <w:t xml:space="preserve"> </w:t>
      </w:r>
      <w:r>
        <w:t>recovery</w:t>
      </w:r>
      <w:r w:rsidR="00932420">
        <w:t xml:space="preserve"> </w:t>
      </w:r>
      <w:r>
        <w:t>grants,</w:t>
      </w:r>
      <w:r w:rsidR="00932420">
        <w:t xml:space="preserve"> </w:t>
      </w:r>
      <w:r>
        <w:t>a</w:t>
      </w:r>
      <w:r w:rsidR="00932420">
        <w:t xml:space="preserve"> </w:t>
      </w:r>
      <w:r>
        <w:t>Regional</w:t>
      </w:r>
      <w:r w:rsidR="00932420">
        <w:t xml:space="preserve"> </w:t>
      </w:r>
      <w:r>
        <w:t>Community</w:t>
      </w:r>
      <w:r w:rsidR="00932420">
        <w:t xml:space="preserve"> </w:t>
      </w:r>
      <w:r>
        <w:t>Leadership</w:t>
      </w:r>
      <w:r w:rsidR="00932420">
        <w:t xml:space="preserve"> </w:t>
      </w:r>
      <w:r>
        <w:t>program</w:t>
      </w:r>
      <w:r w:rsidR="00932420">
        <w:t xml:space="preserve"> </w:t>
      </w:r>
      <w:r>
        <w:t>and</w:t>
      </w:r>
      <w:r w:rsidR="00932420">
        <w:t xml:space="preserve"> </w:t>
      </w:r>
      <w:r>
        <w:t>3</w:t>
      </w:r>
      <w:r w:rsidR="00932420">
        <w:t xml:space="preserve"> </w:t>
      </w:r>
      <w:r>
        <w:t>election</w:t>
      </w:r>
      <w:r w:rsidR="00932420">
        <w:t xml:space="preserve"> </w:t>
      </w:r>
      <w:r>
        <w:t>commitment</w:t>
      </w:r>
      <w:r w:rsidR="00932420">
        <w:t xml:space="preserve"> </w:t>
      </w:r>
      <w:r>
        <w:t>projects).</w:t>
      </w:r>
    </w:p>
    <w:p w14:paraId="37733FB6" w14:textId="348FE4EC" w:rsidR="00CA3C5B" w:rsidRDefault="00260033" w:rsidP="0047160D">
      <w:pPr>
        <w:rPr>
          <w:spacing w:val="-2"/>
        </w:rPr>
      </w:pPr>
      <w:r>
        <w:t>The</w:t>
      </w:r>
      <w:r w:rsidR="00932420">
        <w:t xml:space="preserve"> </w:t>
      </w:r>
      <w:r>
        <w:t>2022–23</w:t>
      </w:r>
      <w:r w:rsidR="00932420">
        <w:t xml:space="preserve"> </w:t>
      </w:r>
      <w:r>
        <w:t>outcome</w:t>
      </w:r>
      <w:r w:rsidR="00932420">
        <w:t xml:space="preserve"> </w:t>
      </w:r>
      <w:r>
        <w:t>of</w:t>
      </w:r>
      <w:r w:rsidR="00932420">
        <w:t xml:space="preserve"> </w:t>
      </w:r>
      <w:r>
        <w:t>225</w:t>
      </w:r>
      <w:r w:rsidR="00932420">
        <w:t xml:space="preserve"> </w:t>
      </w:r>
      <w:r>
        <w:t>projects</w:t>
      </w:r>
      <w:r w:rsidR="00932420">
        <w:t xml:space="preserve"> </w:t>
      </w:r>
      <w:r>
        <w:t>supported</w:t>
      </w:r>
      <w:r w:rsidR="00932420">
        <w:t xml:space="preserve"> </w:t>
      </w:r>
      <w:r>
        <w:t>is</w:t>
      </w:r>
      <w:r w:rsidR="00932420">
        <w:t xml:space="preserve"> </w:t>
      </w:r>
      <w:r>
        <w:t>a</w:t>
      </w:r>
      <w:r w:rsidR="00932420">
        <w:t xml:space="preserve"> </w:t>
      </w:r>
      <w:r>
        <w:t>reduction</w:t>
      </w:r>
      <w:r w:rsidR="00932420">
        <w:t xml:space="preserve"> </w:t>
      </w:r>
      <w:r>
        <w:t>of</w:t>
      </w:r>
      <w:r w:rsidR="00932420">
        <w:t xml:space="preserve"> </w:t>
      </w:r>
      <w:r>
        <w:t>24%</w:t>
      </w:r>
      <w:r w:rsidR="00932420">
        <w:t xml:space="preserve"> </w:t>
      </w:r>
      <w:r>
        <w:t>against</w:t>
      </w:r>
      <w:r w:rsidR="00932420">
        <w:t xml:space="preserve"> </w:t>
      </w:r>
      <w:r>
        <w:t>the</w:t>
      </w:r>
      <w:r w:rsidR="00932420">
        <w:t xml:space="preserve"> </w:t>
      </w:r>
      <w:r>
        <w:t>2021–22</w:t>
      </w:r>
      <w:r w:rsidR="00932420">
        <w:t xml:space="preserve"> </w:t>
      </w:r>
      <w:r>
        <w:t>outcome</w:t>
      </w:r>
      <w:r w:rsidR="00932420">
        <w:t xml:space="preserve"> </w:t>
      </w:r>
      <w:r>
        <w:t>of</w:t>
      </w:r>
      <w:r w:rsidR="00932420">
        <w:t xml:space="preserve"> </w:t>
      </w:r>
      <w:r>
        <w:t>297.</w:t>
      </w:r>
      <w:r w:rsidR="00932420">
        <w:t xml:space="preserve"> </w:t>
      </w:r>
      <w:r>
        <w:t>Outcomes</w:t>
      </w:r>
      <w:r w:rsidR="00932420">
        <w:t xml:space="preserve"> </w:t>
      </w:r>
      <w:r>
        <w:t>against</w:t>
      </w:r>
      <w:r w:rsidR="00932420">
        <w:t xml:space="preserve"> </w:t>
      </w:r>
      <w:r>
        <w:t>this</w:t>
      </w:r>
      <w:r w:rsidR="00932420">
        <w:t xml:space="preserve"> </w:t>
      </w:r>
      <w:r>
        <w:t>measure</w:t>
      </w:r>
      <w:r w:rsidR="00932420">
        <w:t xml:space="preserve"> </w:t>
      </w:r>
      <w:r>
        <w:t>are</w:t>
      </w:r>
      <w:r w:rsidR="00932420">
        <w:t xml:space="preserve"> </w:t>
      </w:r>
      <w:r>
        <w:t>highly</w:t>
      </w:r>
      <w:r w:rsidR="00932420">
        <w:t xml:space="preserve"> </w:t>
      </w:r>
      <w:r>
        <w:t>dependent</w:t>
      </w:r>
      <w:r w:rsidR="00932420">
        <w:t xml:space="preserve"> </w:t>
      </w:r>
      <w:r>
        <w:t>on</w:t>
      </w:r>
      <w:r w:rsidR="00932420">
        <w:t xml:space="preserve"> </w:t>
      </w:r>
      <w:r>
        <w:t>the</w:t>
      </w:r>
      <w:r w:rsidR="00932420">
        <w:t xml:space="preserve"> </w:t>
      </w:r>
      <w:r>
        <w:t>scope</w:t>
      </w:r>
      <w:r w:rsidR="00932420">
        <w:t xml:space="preserve"> </w:t>
      </w:r>
      <w:r>
        <w:t>and</w:t>
      </w:r>
      <w:r w:rsidR="00932420">
        <w:t xml:space="preserve"> </w:t>
      </w:r>
      <w:r>
        <w:t>nature</w:t>
      </w:r>
      <w:r w:rsidR="00932420">
        <w:t xml:space="preserve"> </w:t>
      </w:r>
      <w:r>
        <w:t>of</w:t>
      </w:r>
      <w:r w:rsidR="00932420">
        <w:t xml:space="preserve"> </w:t>
      </w:r>
      <w:r>
        <w:t>programs</w:t>
      </w:r>
      <w:r w:rsidR="00932420">
        <w:t xml:space="preserve"> </w:t>
      </w:r>
      <w:r>
        <w:t>that</w:t>
      </w:r>
      <w:r w:rsidR="00932420">
        <w:t xml:space="preserve"> </w:t>
      </w:r>
      <w:r>
        <w:t>the</w:t>
      </w:r>
      <w:r w:rsidR="00932420">
        <w:t xml:space="preserve"> </w:t>
      </w:r>
      <w:r>
        <w:t>department</w:t>
      </w:r>
      <w:r w:rsidR="00932420">
        <w:t xml:space="preserve"> </w:t>
      </w:r>
      <w:r>
        <w:t>is</w:t>
      </w:r>
      <w:r w:rsidR="00932420">
        <w:t xml:space="preserve"> </w:t>
      </w:r>
      <w:r>
        <w:t>set</w:t>
      </w:r>
      <w:r w:rsidR="00932420">
        <w:t xml:space="preserve"> </w:t>
      </w:r>
      <w:r>
        <w:t>to</w:t>
      </w:r>
      <w:r w:rsidR="00932420">
        <w:t xml:space="preserve"> </w:t>
      </w:r>
      <w:r>
        <w:t>deliver</w:t>
      </w:r>
      <w:r w:rsidR="00932420">
        <w:t xml:space="preserve"> </w:t>
      </w:r>
      <w:r>
        <w:t>each</w:t>
      </w:r>
      <w:r w:rsidR="00932420">
        <w:t xml:space="preserve"> </w:t>
      </w:r>
      <w:r>
        <w:t>year.</w:t>
      </w:r>
      <w:r w:rsidR="00932420">
        <w:t xml:space="preserve"> </w:t>
      </w:r>
      <w:r>
        <w:t>This</w:t>
      </w:r>
      <w:r w:rsidR="00932420">
        <w:t xml:space="preserve"> </w:t>
      </w:r>
      <w:r>
        <w:t>was</w:t>
      </w:r>
      <w:r w:rsidR="00932420">
        <w:t xml:space="preserve"> </w:t>
      </w:r>
      <w:r>
        <w:t>exemplified</w:t>
      </w:r>
      <w:r w:rsidR="00932420">
        <w:t xml:space="preserve"> </w:t>
      </w:r>
      <w:r>
        <w:t>by</w:t>
      </w:r>
      <w:r w:rsidR="00932420">
        <w:t xml:space="preserve"> </w:t>
      </w:r>
      <w:r>
        <w:t>the</w:t>
      </w:r>
      <w:r w:rsidR="00932420">
        <w:t xml:space="preserve"> </w:t>
      </w:r>
      <w:r>
        <w:t>outcome</w:t>
      </w:r>
      <w:r w:rsidR="00932420">
        <w:t xml:space="preserve"> </w:t>
      </w:r>
      <w:r>
        <w:t>for</w:t>
      </w:r>
      <w:r w:rsidR="00932420">
        <w:t xml:space="preserve"> </w:t>
      </w:r>
      <w:r>
        <w:t>the</w:t>
      </w:r>
      <w:r w:rsidR="00932420">
        <w:t xml:space="preserve"> </w:t>
      </w:r>
      <w:r>
        <w:t>2020–21</w:t>
      </w:r>
      <w:r w:rsidR="00932420">
        <w:t xml:space="preserve"> </w:t>
      </w:r>
      <w:r>
        <w:t>financial</w:t>
      </w:r>
      <w:r w:rsidR="00932420">
        <w:t xml:space="preserve"> </w:t>
      </w:r>
      <w:r>
        <w:t>year,</w:t>
      </w:r>
      <w:r w:rsidR="00932420">
        <w:t xml:space="preserve"> </w:t>
      </w:r>
      <w:r>
        <w:t>which</w:t>
      </w:r>
      <w:r w:rsidR="00932420">
        <w:t xml:space="preserve"> </w:t>
      </w:r>
      <w:r>
        <w:t>saw</w:t>
      </w:r>
      <w:r w:rsidR="00932420">
        <w:t xml:space="preserve"> </w:t>
      </w:r>
      <w:r>
        <w:t>a</w:t>
      </w:r>
      <w:r w:rsidR="00932420">
        <w:t xml:space="preserve"> </w:t>
      </w:r>
      <w:r>
        <w:t>substantial</w:t>
      </w:r>
      <w:r w:rsidR="00932420">
        <w:t xml:space="preserve"> </w:t>
      </w:r>
      <w:r>
        <w:t>increase</w:t>
      </w:r>
      <w:r w:rsidR="00932420">
        <w:t xml:space="preserve"> </w:t>
      </w:r>
      <w:r>
        <w:t>of</w:t>
      </w:r>
      <w:r w:rsidR="00932420">
        <w:t xml:space="preserve"> </w:t>
      </w:r>
      <w:r>
        <w:t>677</w:t>
      </w:r>
      <w:r w:rsidR="00932420">
        <w:t xml:space="preserve"> </w:t>
      </w:r>
      <w:r>
        <w:t>projects</w:t>
      </w:r>
      <w:r w:rsidR="00932420">
        <w:t xml:space="preserve"> </w:t>
      </w:r>
      <w:r>
        <w:t>supported</w:t>
      </w:r>
      <w:r w:rsidR="00932420">
        <w:t xml:space="preserve"> </w:t>
      </w:r>
      <w:r>
        <w:t>throughout</w:t>
      </w:r>
      <w:r w:rsidR="00932420">
        <w:t xml:space="preserve"> </w:t>
      </w:r>
      <w:r>
        <w:t>the</w:t>
      </w:r>
      <w:r w:rsidR="00932420">
        <w:t xml:space="preserve"> </w:t>
      </w:r>
      <w:r>
        <w:t>year.</w:t>
      </w:r>
      <w:r w:rsidR="00932420">
        <w:t xml:space="preserve"> </w:t>
      </w:r>
      <w:r>
        <w:t>This</w:t>
      </w:r>
      <w:r w:rsidR="00932420">
        <w:t xml:space="preserve"> </w:t>
      </w:r>
      <w:r>
        <w:t>increase</w:t>
      </w:r>
      <w:r w:rsidR="00932420">
        <w:t xml:space="preserve"> </w:t>
      </w:r>
      <w:r>
        <w:t>was</w:t>
      </w:r>
      <w:r w:rsidR="00932420">
        <w:t xml:space="preserve"> </w:t>
      </w:r>
      <w:r>
        <w:t>due</w:t>
      </w:r>
      <w:r w:rsidR="00932420">
        <w:t xml:space="preserve"> </w:t>
      </w:r>
      <w:r>
        <w:t>to</w:t>
      </w:r>
      <w:r w:rsidR="00932420">
        <w:t xml:space="preserve"> </w:t>
      </w:r>
      <w:r>
        <w:t>the</w:t>
      </w:r>
      <w:r w:rsidR="00932420">
        <w:t xml:space="preserve"> </w:t>
      </w:r>
      <w:r>
        <w:t>considerable</w:t>
      </w:r>
      <w:r w:rsidR="00932420">
        <w:t xml:space="preserve"> </w:t>
      </w:r>
      <w:r>
        <w:t>amount</w:t>
      </w:r>
      <w:r w:rsidR="00932420">
        <w:t xml:space="preserve"> </w:t>
      </w:r>
      <w:r>
        <w:t>of</w:t>
      </w:r>
      <w:r w:rsidR="00932420">
        <w:t xml:space="preserve"> </w:t>
      </w:r>
      <w:r>
        <w:t>grant</w:t>
      </w:r>
      <w:r w:rsidR="00932420">
        <w:t xml:space="preserve"> </w:t>
      </w:r>
      <w:r>
        <w:t>funding</w:t>
      </w:r>
      <w:r w:rsidR="00932420">
        <w:t xml:space="preserve"> </w:t>
      </w:r>
      <w:r>
        <w:t>awarded</w:t>
      </w:r>
      <w:r w:rsidR="00932420">
        <w:t xml:space="preserve"> </w:t>
      </w:r>
      <w:r>
        <w:t>as</w:t>
      </w:r>
      <w:r w:rsidR="00932420">
        <w:t xml:space="preserve"> </w:t>
      </w:r>
      <w:r>
        <w:t>stimulus</w:t>
      </w:r>
      <w:r w:rsidR="00932420">
        <w:t xml:space="preserve"> </w:t>
      </w:r>
      <w:r>
        <w:t>following</w:t>
      </w:r>
      <w:r w:rsidR="00932420">
        <w:t xml:space="preserve"> </w:t>
      </w:r>
      <w:r>
        <w:t>the</w:t>
      </w:r>
      <w:r w:rsidR="00932420">
        <w:t xml:space="preserve"> </w:t>
      </w:r>
      <w:r>
        <w:t>2019–20</w:t>
      </w:r>
      <w:r w:rsidR="00932420">
        <w:t xml:space="preserve"> </w:t>
      </w:r>
      <w:r>
        <w:t>bushfires</w:t>
      </w:r>
      <w:r w:rsidR="00932420">
        <w:t xml:space="preserve"> </w:t>
      </w:r>
      <w:r>
        <w:t>and</w:t>
      </w:r>
      <w:r w:rsidR="00932420">
        <w:t xml:space="preserve"> </w:t>
      </w:r>
      <w:r>
        <w:t>COVID-19</w:t>
      </w:r>
      <w:r w:rsidR="00932420">
        <w:t xml:space="preserve"> </w:t>
      </w:r>
      <w:r>
        <w:t>pandemic</w:t>
      </w:r>
      <w:r w:rsidR="00932420">
        <w:t xml:space="preserve"> </w:t>
      </w:r>
      <w:r>
        <w:t>–</w:t>
      </w:r>
      <w:r w:rsidR="00932420">
        <w:t xml:space="preserve"> </w:t>
      </w:r>
      <w:r>
        <w:t>80%</w:t>
      </w:r>
      <w:r w:rsidR="00932420">
        <w:t xml:space="preserve"> </w:t>
      </w:r>
      <w:r>
        <w:t>of</w:t>
      </w:r>
      <w:r w:rsidR="00932420">
        <w:t xml:space="preserve"> </w:t>
      </w:r>
      <w:r>
        <w:t>the</w:t>
      </w:r>
      <w:r w:rsidR="00932420">
        <w:t xml:space="preserve"> </w:t>
      </w:r>
      <w:r>
        <w:t>actual</w:t>
      </w:r>
      <w:r w:rsidR="00932420">
        <w:t xml:space="preserve"> </w:t>
      </w:r>
      <w:r>
        <w:t>outcome</w:t>
      </w:r>
      <w:r w:rsidR="00932420">
        <w:t xml:space="preserve"> </w:t>
      </w:r>
      <w:r>
        <w:t>in</w:t>
      </w:r>
      <w:r w:rsidR="00932420">
        <w:t xml:space="preserve"> </w:t>
      </w:r>
      <w:r>
        <w:t>2029–20</w:t>
      </w:r>
      <w:r w:rsidR="00932420">
        <w:t xml:space="preserve"> </w:t>
      </w:r>
      <w:r>
        <w:t>was</w:t>
      </w:r>
      <w:r w:rsidR="00932420">
        <w:t xml:space="preserve"> </w:t>
      </w:r>
      <w:r>
        <w:t>attributable</w:t>
      </w:r>
      <w:r w:rsidR="00932420">
        <w:t xml:space="preserve"> </w:t>
      </w:r>
      <w:r>
        <w:rPr>
          <w:spacing w:val="-2"/>
        </w:rPr>
        <w:t>to</w:t>
      </w:r>
      <w:r w:rsidR="00932420">
        <w:rPr>
          <w:spacing w:val="-2"/>
        </w:rPr>
        <w:t xml:space="preserve"> </w:t>
      </w:r>
      <w:r>
        <w:rPr>
          <w:spacing w:val="-2"/>
        </w:rPr>
        <w:t>one-off</w:t>
      </w:r>
      <w:r w:rsidR="00932420">
        <w:rPr>
          <w:spacing w:val="-2"/>
        </w:rPr>
        <w:t xml:space="preserve"> </w:t>
      </w:r>
      <w:r>
        <w:rPr>
          <w:spacing w:val="-2"/>
        </w:rPr>
        <w:t>COVID-19</w:t>
      </w:r>
      <w:r w:rsidR="00932420">
        <w:rPr>
          <w:spacing w:val="-2"/>
        </w:rPr>
        <w:t xml:space="preserve"> </w:t>
      </w:r>
      <w:r>
        <w:rPr>
          <w:spacing w:val="-2"/>
        </w:rPr>
        <w:t>and</w:t>
      </w:r>
      <w:r w:rsidR="00932420">
        <w:rPr>
          <w:spacing w:val="-2"/>
        </w:rPr>
        <w:t xml:space="preserve"> </w:t>
      </w:r>
      <w:r>
        <w:rPr>
          <w:spacing w:val="-2"/>
        </w:rPr>
        <w:t>bushfire</w:t>
      </w:r>
      <w:r w:rsidR="00932420">
        <w:rPr>
          <w:spacing w:val="-2"/>
        </w:rPr>
        <w:t xml:space="preserve"> </w:t>
      </w:r>
      <w:r>
        <w:rPr>
          <w:spacing w:val="-2"/>
        </w:rPr>
        <w:t>response</w:t>
      </w:r>
      <w:r w:rsidR="00932420">
        <w:rPr>
          <w:spacing w:val="-2"/>
        </w:rPr>
        <w:t xml:space="preserve"> </w:t>
      </w:r>
      <w:r>
        <w:rPr>
          <w:spacing w:val="-2"/>
        </w:rPr>
        <w:t>programs.</w:t>
      </w:r>
    </w:p>
    <w:p w14:paraId="5B5FED9A" w14:textId="3F5880FF" w:rsidR="00CA3C5B" w:rsidRDefault="00260033" w:rsidP="0047160D">
      <w:pPr>
        <w:pStyle w:val="Heading3"/>
      </w:pPr>
      <w:r>
        <w:t>Suburban</w:t>
      </w:r>
      <w:r w:rsidR="00932420">
        <w:t xml:space="preserve"> </w:t>
      </w:r>
      <w:r>
        <w:t>Development</w:t>
      </w:r>
    </w:p>
    <w:p w14:paraId="0A2B078A" w14:textId="16C8FF05" w:rsidR="00CA3C5B" w:rsidRDefault="00260033" w:rsidP="0047160D">
      <w:r>
        <w:t>The</w:t>
      </w:r>
      <w:r w:rsidR="00932420">
        <w:t xml:space="preserve"> </w:t>
      </w:r>
      <w:r>
        <w:t>Office</w:t>
      </w:r>
      <w:r w:rsidR="00932420">
        <w:t xml:space="preserve"> </w:t>
      </w:r>
      <w:r>
        <w:t>for</w:t>
      </w:r>
      <w:r w:rsidR="00932420">
        <w:t xml:space="preserve"> </w:t>
      </w:r>
      <w:r>
        <w:t>Suburban</w:t>
      </w:r>
      <w:r w:rsidR="00932420">
        <w:t xml:space="preserve"> </w:t>
      </w:r>
      <w:r>
        <w:t>Development</w:t>
      </w:r>
      <w:r w:rsidR="00932420">
        <w:t xml:space="preserve"> </w:t>
      </w:r>
      <w:r>
        <w:t>continued</w:t>
      </w:r>
      <w:r w:rsidR="00932420">
        <w:t xml:space="preserve"> </w:t>
      </w:r>
      <w:r>
        <w:t>to</w:t>
      </w:r>
      <w:r w:rsidR="00932420">
        <w:t xml:space="preserve"> </w:t>
      </w:r>
      <w:r>
        <w:t>support</w:t>
      </w:r>
      <w:r w:rsidR="00932420">
        <w:t xml:space="preserve"> </w:t>
      </w:r>
      <w:r>
        <w:t>6</w:t>
      </w:r>
      <w:r w:rsidR="00932420">
        <w:t xml:space="preserve"> </w:t>
      </w:r>
      <w:r>
        <w:t>Metropolitan</w:t>
      </w:r>
      <w:r w:rsidR="00932420">
        <w:t xml:space="preserve"> </w:t>
      </w:r>
      <w:r>
        <w:t>Partnerships</w:t>
      </w:r>
      <w:r w:rsidR="00932420">
        <w:t xml:space="preserve"> </w:t>
      </w:r>
      <w:r>
        <w:t>to</w:t>
      </w:r>
      <w:r w:rsidR="00932420">
        <w:t xml:space="preserve"> </w:t>
      </w:r>
      <w:r>
        <w:t>engage</w:t>
      </w:r>
      <w:r w:rsidR="00932420">
        <w:t xml:space="preserve"> </w:t>
      </w:r>
      <w:r>
        <w:t>with</w:t>
      </w:r>
      <w:r w:rsidR="00932420">
        <w:t xml:space="preserve"> </w:t>
      </w:r>
      <w:r>
        <w:t>local</w:t>
      </w:r>
      <w:r w:rsidR="00932420">
        <w:t xml:space="preserve"> </w:t>
      </w:r>
      <w:r>
        <w:t>communities</w:t>
      </w:r>
      <w:r w:rsidR="00932420">
        <w:t xml:space="preserve"> </w:t>
      </w:r>
      <w:r>
        <w:t>on</w:t>
      </w:r>
      <w:r w:rsidR="00932420">
        <w:t xml:space="preserve"> </w:t>
      </w:r>
      <w:r>
        <w:t>regional</w:t>
      </w:r>
      <w:r w:rsidR="00932420">
        <w:t xml:space="preserve"> </w:t>
      </w:r>
      <w:r>
        <w:t>issues</w:t>
      </w:r>
      <w:r w:rsidR="00932420">
        <w:t xml:space="preserve"> </w:t>
      </w:r>
      <w:r>
        <w:t>and</w:t>
      </w:r>
      <w:r w:rsidR="00932420">
        <w:t xml:space="preserve"> </w:t>
      </w:r>
      <w:r>
        <w:t>advise</w:t>
      </w:r>
      <w:r w:rsidR="00932420">
        <w:t xml:space="preserve"> </w:t>
      </w:r>
      <w:r>
        <w:t>the</w:t>
      </w:r>
      <w:r w:rsidR="00932420">
        <w:t xml:space="preserve"> </w:t>
      </w:r>
      <w:r>
        <w:t>government</w:t>
      </w:r>
      <w:r w:rsidR="00932420">
        <w:t xml:space="preserve"> </w:t>
      </w:r>
      <w:r>
        <w:t>on</w:t>
      </w:r>
      <w:r w:rsidR="00932420">
        <w:t xml:space="preserve"> </w:t>
      </w:r>
      <w:r>
        <w:t>community</w:t>
      </w:r>
      <w:r w:rsidR="00932420">
        <w:t xml:space="preserve"> </w:t>
      </w:r>
      <w:r>
        <w:t>priorities.</w:t>
      </w:r>
      <w:r w:rsidR="00932420">
        <w:t xml:space="preserve"> </w:t>
      </w:r>
      <w:r>
        <w:t>The</w:t>
      </w:r>
      <w:r w:rsidR="00932420">
        <w:t xml:space="preserve"> </w:t>
      </w:r>
      <w:r>
        <w:t>Metropolitan</w:t>
      </w:r>
      <w:r w:rsidR="00932420">
        <w:t xml:space="preserve"> </w:t>
      </w:r>
      <w:r>
        <w:t>Partnerships</w:t>
      </w:r>
      <w:r w:rsidR="00932420">
        <w:t xml:space="preserve"> </w:t>
      </w:r>
      <w:r>
        <w:t>also</w:t>
      </w:r>
      <w:r w:rsidR="00932420">
        <w:t xml:space="preserve"> </w:t>
      </w:r>
      <w:r>
        <w:t>drove</w:t>
      </w:r>
      <w:r w:rsidR="00932420">
        <w:t xml:space="preserve"> </w:t>
      </w:r>
      <w:r>
        <w:t>action</w:t>
      </w:r>
      <w:r w:rsidR="00932420">
        <w:t xml:space="preserve"> </w:t>
      </w:r>
      <w:r>
        <w:t>through</w:t>
      </w:r>
      <w:r w:rsidR="00932420">
        <w:t xml:space="preserve"> </w:t>
      </w:r>
      <w:r>
        <w:t>placed-based</w:t>
      </w:r>
      <w:r w:rsidR="00932420">
        <w:t xml:space="preserve"> </w:t>
      </w:r>
      <w:r>
        <w:t>pilots</w:t>
      </w:r>
      <w:r w:rsidR="00932420">
        <w:t xml:space="preserve"> </w:t>
      </w:r>
      <w:r>
        <w:t>and</w:t>
      </w:r>
      <w:r w:rsidR="00932420">
        <w:t xml:space="preserve"> </w:t>
      </w:r>
      <w:r>
        <w:t>projects</w:t>
      </w:r>
      <w:r w:rsidR="00932420">
        <w:t xml:space="preserve"> </w:t>
      </w:r>
      <w:r>
        <w:t>to</w:t>
      </w:r>
      <w:r w:rsidR="00932420">
        <w:t xml:space="preserve"> </w:t>
      </w:r>
      <w:r>
        <w:rPr>
          <w:spacing w:val="1"/>
        </w:rPr>
        <w:t>test</w:t>
      </w:r>
      <w:r w:rsidR="00932420">
        <w:rPr>
          <w:spacing w:val="1"/>
        </w:rPr>
        <w:t xml:space="preserve"> </w:t>
      </w:r>
      <w:r>
        <w:rPr>
          <w:spacing w:val="1"/>
        </w:rPr>
        <w:t>new</w:t>
      </w:r>
      <w:r w:rsidR="00932420">
        <w:rPr>
          <w:spacing w:val="1"/>
        </w:rPr>
        <w:t xml:space="preserve"> </w:t>
      </w:r>
      <w:r>
        <w:rPr>
          <w:spacing w:val="1"/>
        </w:rPr>
        <w:t>approaches</w:t>
      </w:r>
      <w:r w:rsidR="00932420">
        <w:rPr>
          <w:spacing w:val="1"/>
        </w:rPr>
        <w:t xml:space="preserve"> </w:t>
      </w:r>
      <w:r>
        <w:rPr>
          <w:spacing w:val="1"/>
        </w:rPr>
        <w:t>and</w:t>
      </w:r>
      <w:r w:rsidR="00932420">
        <w:rPr>
          <w:spacing w:val="1"/>
        </w:rPr>
        <w:t xml:space="preserve"> </w:t>
      </w:r>
      <w:r>
        <w:rPr>
          <w:spacing w:val="1"/>
        </w:rPr>
        <w:t>develop</w:t>
      </w:r>
      <w:r w:rsidR="00932420">
        <w:rPr>
          <w:spacing w:val="1"/>
        </w:rPr>
        <w:t xml:space="preserve"> </w:t>
      </w:r>
      <w:r>
        <w:rPr>
          <w:spacing w:val="1"/>
        </w:rPr>
        <w:t>solutions</w:t>
      </w:r>
      <w:r w:rsidR="00932420">
        <w:rPr>
          <w:spacing w:val="1"/>
        </w:rPr>
        <w:t xml:space="preserve"> </w:t>
      </w:r>
      <w:r>
        <w:t>to</w:t>
      </w:r>
      <w:r w:rsidR="00932420">
        <w:t xml:space="preserve"> </w:t>
      </w:r>
      <w:r>
        <w:t>local</w:t>
      </w:r>
      <w:r w:rsidR="00932420">
        <w:t xml:space="preserve"> </w:t>
      </w:r>
      <w:r>
        <w:t>challenges.</w:t>
      </w:r>
      <w:r w:rsidR="00932420">
        <w:t xml:space="preserve"> </w:t>
      </w:r>
    </w:p>
    <w:p w14:paraId="2FCCDD66" w14:textId="538C739A" w:rsidR="00CA3C5B" w:rsidRDefault="00260033" w:rsidP="0047160D">
      <w:pPr>
        <w:pStyle w:val="Normalbeforebullets"/>
      </w:pPr>
      <w:r>
        <w:t>In</w:t>
      </w:r>
      <w:r w:rsidR="00932420">
        <w:t xml:space="preserve"> </w:t>
      </w:r>
      <w:r>
        <w:t>2022–23,</w:t>
      </w:r>
      <w:r w:rsidR="00932420">
        <w:t xml:space="preserve"> </w:t>
      </w:r>
      <w:r>
        <w:t>Metropolitan</w:t>
      </w:r>
      <w:r w:rsidR="00932420">
        <w:t xml:space="preserve"> </w:t>
      </w:r>
      <w:r>
        <w:t>Partnerships</w:t>
      </w:r>
      <w:r w:rsidR="00932420">
        <w:t xml:space="preserve"> </w:t>
      </w:r>
      <w:r>
        <w:t>responded</w:t>
      </w:r>
      <w:r w:rsidR="00932420">
        <w:t xml:space="preserve"> </w:t>
      </w:r>
      <w:r>
        <w:t>to</w:t>
      </w:r>
      <w:r w:rsidR="00932420">
        <w:t xml:space="preserve"> </w:t>
      </w:r>
      <w:r>
        <w:t>community</w:t>
      </w:r>
      <w:r w:rsidR="00932420">
        <w:t xml:space="preserve"> </w:t>
      </w:r>
      <w:r>
        <w:t>priorities</w:t>
      </w:r>
      <w:r w:rsidR="00932420">
        <w:t xml:space="preserve"> </w:t>
      </w:r>
      <w:r>
        <w:t>by</w:t>
      </w:r>
      <w:r w:rsidR="00932420">
        <w:t xml:space="preserve"> </w:t>
      </w:r>
      <w:r>
        <w:t>developing</w:t>
      </w:r>
      <w:r w:rsidR="00932420">
        <w:t xml:space="preserve"> </w:t>
      </w:r>
      <w:r>
        <w:t>projects</w:t>
      </w:r>
      <w:r w:rsidR="00932420">
        <w:t xml:space="preserve"> </w:t>
      </w:r>
      <w:r>
        <w:t>to</w:t>
      </w:r>
      <w:r w:rsidR="00932420">
        <w:t xml:space="preserve"> </w:t>
      </w:r>
      <w:r>
        <w:t>gather</w:t>
      </w:r>
      <w:r w:rsidR="00932420">
        <w:t xml:space="preserve"> </w:t>
      </w:r>
      <w:r>
        <w:t>local</w:t>
      </w:r>
      <w:r w:rsidR="00932420">
        <w:t xml:space="preserve"> </w:t>
      </w:r>
      <w:r>
        <w:t>evidence,</w:t>
      </w:r>
      <w:r w:rsidR="00932420">
        <w:t xml:space="preserve"> </w:t>
      </w:r>
      <w:r>
        <w:t>including:</w:t>
      </w:r>
    </w:p>
    <w:p w14:paraId="61566898" w14:textId="6C4C7826" w:rsidR="00CA3C5B" w:rsidRDefault="00260033" w:rsidP="0047160D">
      <w:pPr>
        <w:pStyle w:val="Bullet"/>
      </w:pPr>
      <w:r>
        <w:t>facilitating</w:t>
      </w:r>
      <w:r w:rsidR="00932420">
        <w:t xml:space="preserve"> </w:t>
      </w:r>
      <w:r>
        <w:t>a</w:t>
      </w:r>
      <w:r w:rsidR="00932420">
        <w:t xml:space="preserve"> </w:t>
      </w:r>
      <w:r>
        <w:t>research</w:t>
      </w:r>
      <w:r w:rsidR="00932420">
        <w:t xml:space="preserve"> </w:t>
      </w:r>
      <w:r>
        <w:t>project</w:t>
      </w:r>
      <w:r w:rsidR="00932420">
        <w:t xml:space="preserve"> </w:t>
      </w:r>
      <w:r>
        <w:t>to</w:t>
      </w:r>
      <w:r w:rsidR="00932420">
        <w:t xml:space="preserve"> </w:t>
      </w:r>
      <w:r>
        <w:t>better</w:t>
      </w:r>
      <w:r w:rsidR="00932420">
        <w:t xml:space="preserve"> </w:t>
      </w:r>
      <w:r>
        <w:t>understand</w:t>
      </w:r>
      <w:r w:rsidR="00932420">
        <w:t xml:space="preserve"> </w:t>
      </w:r>
      <w:r>
        <w:t>why</w:t>
      </w:r>
      <w:r w:rsidR="00932420">
        <w:t xml:space="preserve"> </w:t>
      </w:r>
      <w:r>
        <w:t>women</w:t>
      </w:r>
      <w:r w:rsidR="00932420">
        <w:t xml:space="preserve"> </w:t>
      </w:r>
      <w:r>
        <w:t>over</w:t>
      </w:r>
      <w:r w:rsidR="00932420">
        <w:t xml:space="preserve"> </w:t>
      </w:r>
      <w:r>
        <w:t>55</w:t>
      </w:r>
      <w:r w:rsidR="00932420">
        <w:t xml:space="preserve"> </w:t>
      </w:r>
      <w:r>
        <w:t>years</w:t>
      </w:r>
      <w:r w:rsidR="00932420">
        <w:t xml:space="preserve"> </w:t>
      </w:r>
      <w:r>
        <w:t>are</w:t>
      </w:r>
      <w:r w:rsidR="00932420">
        <w:t xml:space="preserve"> </w:t>
      </w:r>
      <w:r>
        <w:t>the</w:t>
      </w:r>
      <w:r w:rsidR="00932420">
        <w:t xml:space="preserve"> </w:t>
      </w:r>
      <w:r>
        <w:t>fastest</w:t>
      </w:r>
      <w:r w:rsidR="00932420">
        <w:t xml:space="preserve"> </w:t>
      </w:r>
      <w:r>
        <w:t>growing</w:t>
      </w:r>
      <w:r w:rsidR="00932420">
        <w:t xml:space="preserve"> </w:t>
      </w:r>
      <w:r>
        <w:t>cohort</w:t>
      </w:r>
      <w:r w:rsidR="00932420">
        <w:t xml:space="preserve"> </w:t>
      </w:r>
      <w:r>
        <w:t>of</w:t>
      </w:r>
      <w:r w:rsidR="00932420">
        <w:t xml:space="preserve"> </w:t>
      </w:r>
      <w:r>
        <w:t>people</w:t>
      </w:r>
      <w:r w:rsidR="00932420">
        <w:t xml:space="preserve"> </w:t>
      </w:r>
      <w:r>
        <w:t>facing</w:t>
      </w:r>
      <w:r w:rsidR="00932420">
        <w:t xml:space="preserve"> </w:t>
      </w:r>
      <w:r>
        <w:t>homelessness</w:t>
      </w:r>
      <w:r w:rsidR="00932420">
        <w:t xml:space="preserve"> </w:t>
      </w:r>
      <w:r>
        <w:t>in</w:t>
      </w:r>
      <w:r w:rsidR="00932420">
        <w:t xml:space="preserve"> </w:t>
      </w:r>
      <w:r>
        <w:t>Melbourne’s</w:t>
      </w:r>
      <w:r w:rsidR="00932420">
        <w:t xml:space="preserve"> </w:t>
      </w:r>
      <w:r>
        <w:t>eastern</w:t>
      </w:r>
      <w:r w:rsidR="00932420">
        <w:t xml:space="preserve"> </w:t>
      </w:r>
      <w:r>
        <w:t>suburbs</w:t>
      </w:r>
    </w:p>
    <w:p w14:paraId="4AF7878E" w14:textId="22D678BE" w:rsidR="00CA3C5B" w:rsidRDefault="00260033" w:rsidP="0047160D">
      <w:pPr>
        <w:pStyle w:val="Bullet"/>
      </w:pPr>
      <w:r>
        <w:t>developing</w:t>
      </w:r>
      <w:r w:rsidR="00932420">
        <w:t xml:space="preserve"> </w:t>
      </w:r>
      <w:r>
        <w:t>a</w:t>
      </w:r>
      <w:r w:rsidR="00932420">
        <w:t xml:space="preserve"> </w:t>
      </w:r>
      <w:r>
        <w:t>community-wide</w:t>
      </w:r>
      <w:r w:rsidR="00932420">
        <w:t xml:space="preserve"> </w:t>
      </w:r>
      <w:r>
        <w:t>Electric</w:t>
      </w:r>
      <w:r w:rsidR="00932420">
        <w:t xml:space="preserve"> </w:t>
      </w:r>
      <w:r>
        <w:t>Vehicle</w:t>
      </w:r>
      <w:r w:rsidR="00932420">
        <w:t xml:space="preserve"> </w:t>
      </w:r>
      <w:r>
        <w:t>Transition</w:t>
      </w:r>
      <w:r w:rsidR="00932420">
        <w:t xml:space="preserve"> </w:t>
      </w:r>
      <w:r>
        <w:t>plan</w:t>
      </w:r>
      <w:r w:rsidR="00932420">
        <w:t xml:space="preserve"> </w:t>
      </w:r>
      <w:r>
        <w:t>for</w:t>
      </w:r>
      <w:r w:rsidR="00932420">
        <w:t xml:space="preserve"> </w:t>
      </w:r>
      <w:r>
        <w:t>Melbourne’s</w:t>
      </w:r>
      <w:r w:rsidR="00932420">
        <w:t xml:space="preserve"> </w:t>
      </w:r>
      <w:r>
        <w:t>north</w:t>
      </w:r>
      <w:r w:rsidR="00932420">
        <w:t xml:space="preserve"> </w:t>
      </w:r>
      <w:r>
        <w:t>with</w:t>
      </w:r>
      <w:r w:rsidR="00932420">
        <w:t xml:space="preserve"> </w:t>
      </w:r>
      <w:r>
        <w:t>a</w:t>
      </w:r>
      <w:r w:rsidR="00932420">
        <w:t xml:space="preserve"> </w:t>
      </w:r>
      <w:r>
        <w:t>focus</w:t>
      </w:r>
      <w:r w:rsidR="00932420">
        <w:t xml:space="preserve"> </w:t>
      </w:r>
      <w:r>
        <w:t>on</w:t>
      </w:r>
      <w:r w:rsidR="00932420">
        <w:t xml:space="preserve"> </w:t>
      </w:r>
      <w:r>
        <w:t>the</w:t>
      </w:r>
      <w:r w:rsidR="00932420">
        <w:t xml:space="preserve"> </w:t>
      </w:r>
      <w:r>
        <w:t>role</w:t>
      </w:r>
      <w:r w:rsidR="00932420">
        <w:t xml:space="preserve"> </w:t>
      </w:r>
      <w:r>
        <w:t>of</w:t>
      </w:r>
      <w:r w:rsidR="00932420">
        <w:t xml:space="preserve"> </w:t>
      </w:r>
      <w:r>
        <w:t>local</w:t>
      </w:r>
      <w:r w:rsidR="00932420">
        <w:t xml:space="preserve"> </w:t>
      </w:r>
      <w:r>
        <w:t>government</w:t>
      </w:r>
      <w:r w:rsidR="00932420">
        <w:t xml:space="preserve"> </w:t>
      </w:r>
      <w:r>
        <w:t>in</w:t>
      </w:r>
      <w:r w:rsidR="00932420">
        <w:t xml:space="preserve"> </w:t>
      </w:r>
      <w:r>
        <w:t>supporting</w:t>
      </w:r>
      <w:r w:rsidR="00932420">
        <w:t xml:space="preserve"> </w:t>
      </w:r>
      <w:r>
        <w:t>the</w:t>
      </w:r>
      <w:r w:rsidR="00932420">
        <w:t xml:space="preserve"> </w:t>
      </w:r>
      <w:r>
        <w:t>transition</w:t>
      </w:r>
      <w:r w:rsidR="00932420">
        <w:t xml:space="preserve"> </w:t>
      </w:r>
      <w:r>
        <w:t>to</w:t>
      </w:r>
      <w:r w:rsidR="00932420">
        <w:t xml:space="preserve"> </w:t>
      </w:r>
      <w:r>
        <w:t>electric</w:t>
      </w:r>
      <w:r w:rsidR="00932420">
        <w:t xml:space="preserve"> </w:t>
      </w:r>
      <w:r>
        <w:t>vehicles</w:t>
      </w:r>
    </w:p>
    <w:p w14:paraId="1518217D" w14:textId="3556BC0A" w:rsidR="00CA3C5B" w:rsidRDefault="00260033" w:rsidP="0047160D">
      <w:pPr>
        <w:pStyle w:val="Bullet"/>
      </w:pPr>
      <w:r>
        <w:t>mapping</w:t>
      </w:r>
      <w:r w:rsidR="00932420">
        <w:t xml:space="preserve"> </w:t>
      </w:r>
      <w:r>
        <w:t>feasible</w:t>
      </w:r>
      <w:r w:rsidR="00932420">
        <w:t xml:space="preserve"> </w:t>
      </w:r>
      <w:r>
        <w:t>locations</w:t>
      </w:r>
      <w:r w:rsidR="00932420">
        <w:t xml:space="preserve"> </w:t>
      </w:r>
      <w:r>
        <w:t>for</w:t>
      </w:r>
      <w:r w:rsidR="00932420">
        <w:t xml:space="preserve"> </w:t>
      </w:r>
      <w:r>
        <w:t>neighbourhood</w:t>
      </w:r>
      <w:r w:rsidR="00932420">
        <w:t xml:space="preserve"> </w:t>
      </w:r>
      <w:r>
        <w:t>batteries</w:t>
      </w:r>
      <w:r w:rsidR="00932420">
        <w:t xml:space="preserve"> </w:t>
      </w:r>
      <w:r>
        <w:t>to</w:t>
      </w:r>
      <w:r w:rsidR="00932420">
        <w:t xml:space="preserve"> </w:t>
      </w:r>
      <w:r>
        <w:t>empower</w:t>
      </w:r>
      <w:r w:rsidR="00932420">
        <w:t xml:space="preserve"> </w:t>
      </w:r>
      <w:r>
        <w:t>local</w:t>
      </w:r>
      <w:r w:rsidR="00932420">
        <w:t xml:space="preserve"> </w:t>
      </w:r>
      <w:r>
        <w:t>communities</w:t>
      </w:r>
      <w:r w:rsidR="00932420">
        <w:t xml:space="preserve"> </w:t>
      </w:r>
      <w:r>
        <w:t>to</w:t>
      </w:r>
      <w:r w:rsidR="00932420">
        <w:t xml:space="preserve"> </w:t>
      </w:r>
      <w:r>
        <w:t>participate</w:t>
      </w:r>
      <w:r w:rsidR="00932420">
        <w:t xml:space="preserve"> </w:t>
      </w:r>
      <w:r>
        <w:t>in</w:t>
      </w:r>
      <w:r w:rsidR="00932420">
        <w:t xml:space="preserve"> </w:t>
      </w:r>
      <w:r>
        <w:t>the</w:t>
      </w:r>
      <w:r w:rsidR="00932420">
        <w:t xml:space="preserve"> </w:t>
      </w:r>
      <w:r>
        <w:t>transition</w:t>
      </w:r>
      <w:r w:rsidR="00932420">
        <w:t xml:space="preserve"> </w:t>
      </w:r>
      <w:r>
        <w:t>to</w:t>
      </w:r>
      <w:r w:rsidR="00932420">
        <w:t xml:space="preserve"> </w:t>
      </w:r>
      <w:r>
        <w:t>renewable</w:t>
      </w:r>
      <w:r w:rsidR="00932420">
        <w:t xml:space="preserve"> </w:t>
      </w:r>
      <w:r>
        <w:t>energy</w:t>
      </w:r>
    </w:p>
    <w:p w14:paraId="59C97626" w14:textId="607D479C" w:rsidR="00CA3C5B" w:rsidRDefault="00260033" w:rsidP="0047160D">
      <w:pPr>
        <w:pStyle w:val="Bulletlast"/>
      </w:pPr>
      <w:r>
        <w:t>building</w:t>
      </w:r>
      <w:r w:rsidR="00932420">
        <w:t xml:space="preserve"> </w:t>
      </w:r>
      <w:r>
        <w:t>a</w:t>
      </w:r>
      <w:r w:rsidR="00932420">
        <w:t xml:space="preserve"> </w:t>
      </w:r>
      <w:r>
        <w:t>regional</w:t>
      </w:r>
      <w:r w:rsidR="00932420">
        <w:t xml:space="preserve"> </w:t>
      </w:r>
      <w:r>
        <w:t>network</w:t>
      </w:r>
      <w:r w:rsidR="00932420">
        <w:t xml:space="preserve"> </w:t>
      </w:r>
      <w:r>
        <w:t>to</w:t>
      </w:r>
      <w:r w:rsidR="00932420">
        <w:t xml:space="preserve"> </w:t>
      </w:r>
      <w:r>
        <w:t>improve</w:t>
      </w:r>
      <w:r w:rsidR="00932420">
        <w:t xml:space="preserve"> </w:t>
      </w:r>
      <w:r>
        <w:t>the</w:t>
      </w:r>
      <w:r w:rsidR="00932420">
        <w:t xml:space="preserve"> </w:t>
      </w:r>
      <w:r>
        <w:t>capacity</w:t>
      </w:r>
      <w:r w:rsidR="00932420">
        <w:t xml:space="preserve"> </w:t>
      </w:r>
      <w:r>
        <w:t>and</w:t>
      </w:r>
      <w:r w:rsidR="00932420">
        <w:t xml:space="preserve"> </w:t>
      </w:r>
      <w:r>
        <w:t>capability</w:t>
      </w:r>
      <w:r w:rsidR="00932420">
        <w:t xml:space="preserve"> </w:t>
      </w:r>
      <w:r>
        <w:t>of</w:t>
      </w:r>
      <w:r w:rsidR="00932420">
        <w:t xml:space="preserve"> </w:t>
      </w:r>
      <w:r>
        <w:t>small-medium</w:t>
      </w:r>
      <w:r w:rsidR="00932420">
        <w:t xml:space="preserve"> </w:t>
      </w:r>
      <w:r>
        <w:t>enterprises</w:t>
      </w:r>
      <w:r w:rsidR="00932420">
        <w:t xml:space="preserve"> </w:t>
      </w:r>
      <w:r>
        <w:t>to</w:t>
      </w:r>
      <w:r w:rsidR="00932420">
        <w:t xml:space="preserve"> </w:t>
      </w:r>
      <w:r>
        <w:t>win</w:t>
      </w:r>
      <w:r w:rsidR="00932420">
        <w:t xml:space="preserve"> </w:t>
      </w:r>
      <w:r>
        <w:t>work</w:t>
      </w:r>
      <w:r w:rsidR="00932420">
        <w:t xml:space="preserve"> </w:t>
      </w:r>
      <w:r>
        <w:t>in</w:t>
      </w:r>
      <w:r w:rsidR="00932420">
        <w:t xml:space="preserve"> </w:t>
      </w:r>
      <w:r>
        <w:t>large-scale</w:t>
      </w:r>
      <w:r w:rsidR="00932420">
        <w:t xml:space="preserve"> </w:t>
      </w:r>
      <w:r>
        <w:t>infrastructure</w:t>
      </w:r>
      <w:r w:rsidR="00932420">
        <w:t xml:space="preserve"> </w:t>
      </w:r>
      <w:r>
        <w:t>projects</w:t>
      </w:r>
      <w:r w:rsidR="00932420">
        <w:t xml:space="preserve"> </w:t>
      </w:r>
      <w:r>
        <w:t>in</w:t>
      </w:r>
      <w:r w:rsidR="00932420">
        <w:t xml:space="preserve"> </w:t>
      </w:r>
      <w:r>
        <w:t>Melbourne’s</w:t>
      </w:r>
      <w:r w:rsidR="00932420">
        <w:t xml:space="preserve"> </w:t>
      </w:r>
      <w:r>
        <w:t>western</w:t>
      </w:r>
      <w:r w:rsidR="00932420">
        <w:t xml:space="preserve"> </w:t>
      </w:r>
      <w:r>
        <w:t>suburbs.</w:t>
      </w:r>
    </w:p>
    <w:p w14:paraId="20C6836C" w14:textId="1E0EE269" w:rsidR="00CA3C5B" w:rsidRDefault="00260033" w:rsidP="0047160D">
      <w:r>
        <w:t>In</w:t>
      </w:r>
      <w:r w:rsidR="00932420">
        <w:t xml:space="preserve"> </w:t>
      </w:r>
      <w:r>
        <w:t>2022–23,</w:t>
      </w:r>
      <w:r w:rsidR="00932420">
        <w:t xml:space="preserve"> </w:t>
      </w:r>
      <w:r>
        <w:t>the</w:t>
      </w:r>
      <w:r w:rsidR="00932420">
        <w:t xml:space="preserve"> </w:t>
      </w:r>
      <w:r>
        <w:t>Suburban</w:t>
      </w:r>
      <w:r w:rsidR="00932420">
        <w:t xml:space="preserve"> </w:t>
      </w:r>
      <w:r>
        <w:t>Revitalisation</w:t>
      </w:r>
      <w:r w:rsidR="00932420">
        <w:t xml:space="preserve"> </w:t>
      </w:r>
      <w:r>
        <w:t>program</w:t>
      </w:r>
      <w:r w:rsidR="00932420">
        <w:t xml:space="preserve"> </w:t>
      </w:r>
      <w:r>
        <w:t>continued</w:t>
      </w:r>
      <w:r w:rsidR="00932420">
        <w:t xml:space="preserve"> </w:t>
      </w:r>
      <w:r>
        <w:t>to</w:t>
      </w:r>
      <w:r w:rsidR="00932420">
        <w:t xml:space="preserve"> </w:t>
      </w:r>
      <w:r>
        <w:t>support</w:t>
      </w:r>
      <w:r w:rsidR="00932420">
        <w:t xml:space="preserve"> </w:t>
      </w:r>
      <w:r>
        <w:t>8</w:t>
      </w:r>
      <w:r w:rsidR="00932420">
        <w:t xml:space="preserve"> </w:t>
      </w:r>
      <w:r>
        <w:t>Suburban</w:t>
      </w:r>
      <w:r w:rsidR="00932420">
        <w:t xml:space="preserve"> </w:t>
      </w:r>
      <w:r>
        <w:t>Revitalisation</w:t>
      </w:r>
      <w:r w:rsidR="00932420">
        <w:t xml:space="preserve"> </w:t>
      </w:r>
      <w:r>
        <w:t>boards,</w:t>
      </w:r>
      <w:r w:rsidR="00932420">
        <w:t xml:space="preserve"> </w:t>
      </w:r>
      <w:r>
        <w:t>with</w:t>
      </w:r>
      <w:r w:rsidR="00932420">
        <w:t xml:space="preserve"> </w:t>
      </w:r>
      <w:r>
        <w:t>$7</w:t>
      </w:r>
      <w:r w:rsidR="00932420">
        <w:t xml:space="preserve"> </w:t>
      </w:r>
      <w:r>
        <w:t>million</w:t>
      </w:r>
      <w:r w:rsidR="00932420">
        <w:t xml:space="preserve"> </w:t>
      </w:r>
      <w:r>
        <w:t>invested</w:t>
      </w:r>
      <w:r w:rsidR="00932420">
        <w:t xml:space="preserve"> </w:t>
      </w:r>
      <w:r>
        <w:t>in</w:t>
      </w:r>
      <w:r w:rsidR="00932420">
        <w:t xml:space="preserve"> </w:t>
      </w:r>
      <w:r>
        <w:t>62</w:t>
      </w:r>
      <w:r w:rsidR="00932420">
        <w:t xml:space="preserve"> </w:t>
      </w:r>
      <w:r>
        <w:t>Suburban</w:t>
      </w:r>
      <w:r w:rsidR="00932420">
        <w:t xml:space="preserve"> </w:t>
      </w:r>
      <w:r>
        <w:t>Revitalisation</w:t>
      </w:r>
      <w:r w:rsidR="00932420">
        <w:t xml:space="preserve"> </w:t>
      </w:r>
      <w:r>
        <w:t>projects</w:t>
      </w:r>
      <w:r w:rsidR="00932420">
        <w:t xml:space="preserve"> </w:t>
      </w:r>
      <w:r>
        <w:t>valued</w:t>
      </w:r>
      <w:r w:rsidR="00932420">
        <w:t xml:space="preserve"> </w:t>
      </w:r>
      <w:r>
        <w:t>at</w:t>
      </w:r>
      <w:r w:rsidR="00932420">
        <w:t xml:space="preserve"> </w:t>
      </w:r>
      <w:r>
        <w:t>over</w:t>
      </w:r>
      <w:r w:rsidR="00932420">
        <w:t xml:space="preserve"> </w:t>
      </w:r>
      <w:r>
        <w:t>$9</w:t>
      </w:r>
      <w:r w:rsidR="00932420">
        <w:t xml:space="preserve"> </w:t>
      </w:r>
      <w:r>
        <w:t>million</w:t>
      </w:r>
      <w:r w:rsidR="00932420">
        <w:t xml:space="preserve"> </w:t>
      </w:r>
      <w:r>
        <w:t>in</w:t>
      </w:r>
      <w:r w:rsidR="00932420">
        <w:t xml:space="preserve"> </w:t>
      </w:r>
      <w:r>
        <w:t>Boronia,</w:t>
      </w:r>
      <w:r w:rsidR="00932420">
        <w:t xml:space="preserve"> </w:t>
      </w:r>
      <w:r>
        <w:t>Lilydale,</w:t>
      </w:r>
      <w:r w:rsidR="00932420">
        <w:t xml:space="preserve"> </w:t>
      </w:r>
      <w:r>
        <w:t>Melton,</w:t>
      </w:r>
      <w:r w:rsidR="00932420">
        <w:t xml:space="preserve"> </w:t>
      </w:r>
      <w:r>
        <w:t>Noble</w:t>
      </w:r>
      <w:r w:rsidR="00932420">
        <w:t xml:space="preserve"> </w:t>
      </w:r>
      <w:r>
        <w:t>Park,</w:t>
      </w:r>
      <w:r w:rsidR="00932420">
        <w:t xml:space="preserve"> </w:t>
      </w:r>
      <w:r>
        <w:t>Reservoir,</w:t>
      </w:r>
      <w:r w:rsidR="00932420">
        <w:t xml:space="preserve"> </w:t>
      </w:r>
      <w:r>
        <w:t>Tarneit,</w:t>
      </w:r>
      <w:r w:rsidR="00932420">
        <w:t xml:space="preserve"> </w:t>
      </w:r>
      <w:r>
        <w:t>Frankston</w:t>
      </w:r>
      <w:r w:rsidR="00932420">
        <w:t xml:space="preserve"> </w:t>
      </w:r>
      <w:r>
        <w:t>and</w:t>
      </w:r>
      <w:r w:rsidR="00932420">
        <w:t xml:space="preserve"> </w:t>
      </w:r>
      <w:r>
        <w:t>Broadmeadows.</w:t>
      </w:r>
      <w:r w:rsidR="00932420">
        <w:t xml:space="preserve"> </w:t>
      </w:r>
    </w:p>
    <w:p w14:paraId="7AAC841F" w14:textId="232C2F66" w:rsidR="00CA3C5B" w:rsidRDefault="00260033" w:rsidP="0047160D">
      <w:r>
        <w:t>The</w:t>
      </w:r>
      <w:r w:rsidR="00932420">
        <w:t xml:space="preserve"> </w:t>
      </w:r>
      <w:r>
        <w:t>Suburban</w:t>
      </w:r>
      <w:r w:rsidR="00932420">
        <w:t xml:space="preserve"> </w:t>
      </w:r>
      <w:r>
        <w:t>Revitalisation</w:t>
      </w:r>
      <w:r w:rsidR="00932420">
        <w:t xml:space="preserve"> </w:t>
      </w:r>
      <w:r>
        <w:t>boards</w:t>
      </w:r>
      <w:r w:rsidR="00932420">
        <w:t xml:space="preserve"> </w:t>
      </w:r>
      <w:r>
        <w:t>were</w:t>
      </w:r>
      <w:r w:rsidR="00932420">
        <w:t xml:space="preserve"> </w:t>
      </w:r>
      <w:r>
        <w:t>chaired</w:t>
      </w:r>
      <w:r w:rsidR="00932420">
        <w:t xml:space="preserve"> </w:t>
      </w:r>
      <w:r>
        <w:t>by</w:t>
      </w:r>
      <w:r w:rsidR="00932420">
        <w:t xml:space="preserve"> </w:t>
      </w:r>
      <w:r>
        <w:t>members</w:t>
      </w:r>
      <w:r w:rsidR="00932420">
        <w:t xml:space="preserve"> </w:t>
      </w:r>
      <w:r>
        <w:t>of</w:t>
      </w:r>
      <w:r w:rsidR="00932420">
        <w:t xml:space="preserve"> </w:t>
      </w:r>
      <w:r>
        <w:t>parliament,</w:t>
      </w:r>
      <w:r w:rsidR="00932420">
        <w:t xml:space="preserve"> </w:t>
      </w:r>
      <w:r>
        <w:t>with</w:t>
      </w:r>
      <w:r w:rsidR="00932420">
        <w:t xml:space="preserve"> </w:t>
      </w:r>
      <w:r>
        <w:t>representatives</w:t>
      </w:r>
      <w:r w:rsidR="00932420">
        <w:t xml:space="preserve"> </w:t>
      </w:r>
      <w:r>
        <w:t>from</w:t>
      </w:r>
      <w:r w:rsidR="00932420">
        <w:t xml:space="preserve"> </w:t>
      </w:r>
      <w:r>
        <w:t>local</w:t>
      </w:r>
      <w:r w:rsidR="00932420">
        <w:t xml:space="preserve"> </w:t>
      </w:r>
      <w:r>
        <w:t>government,</w:t>
      </w:r>
      <w:r w:rsidR="00932420">
        <w:t xml:space="preserve"> </w:t>
      </w:r>
      <w:r>
        <w:t>businesses,</w:t>
      </w:r>
      <w:r w:rsidR="00932420">
        <w:t xml:space="preserve"> </w:t>
      </w:r>
      <w:r>
        <w:t>community</w:t>
      </w:r>
      <w:r w:rsidR="00932420">
        <w:t xml:space="preserve"> </w:t>
      </w:r>
      <w:r>
        <w:t>organisations</w:t>
      </w:r>
      <w:r w:rsidR="00932420">
        <w:t xml:space="preserve"> </w:t>
      </w:r>
      <w:r>
        <w:t>and</w:t>
      </w:r>
      <w:r w:rsidR="00932420">
        <w:t xml:space="preserve"> </w:t>
      </w:r>
      <w:r>
        <w:t>other</w:t>
      </w:r>
      <w:r w:rsidR="00932420">
        <w:t xml:space="preserve"> </w:t>
      </w:r>
      <w:r>
        <w:t>institutions.</w:t>
      </w:r>
      <w:r w:rsidR="00932420">
        <w:t xml:space="preserve"> </w:t>
      </w:r>
      <w:r>
        <w:t>These</w:t>
      </w:r>
      <w:r w:rsidR="00932420">
        <w:t xml:space="preserve"> </w:t>
      </w:r>
      <w:r>
        <w:t>projects</w:t>
      </w:r>
      <w:r w:rsidR="00932420">
        <w:t xml:space="preserve"> </w:t>
      </w:r>
      <w:r>
        <w:t>delivered</w:t>
      </w:r>
      <w:r w:rsidR="00932420">
        <w:t xml:space="preserve"> </w:t>
      </w:r>
      <w:r>
        <w:t>on</w:t>
      </w:r>
      <w:r w:rsidR="00932420">
        <w:t xml:space="preserve"> </w:t>
      </w:r>
      <w:r>
        <w:t>local</w:t>
      </w:r>
      <w:r w:rsidR="00932420">
        <w:t xml:space="preserve"> </w:t>
      </w:r>
      <w:r>
        <w:t>priorities</w:t>
      </w:r>
      <w:r w:rsidR="00932420">
        <w:t xml:space="preserve"> </w:t>
      </w:r>
      <w:r>
        <w:t>to</w:t>
      </w:r>
      <w:r w:rsidR="00932420">
        <w:t xml:space="preserve"> </w:t>
      </w:r>
      <w:r>
        <w:t>improve</w:t>
      </w:r>
      <w:r w:rsidR="00932420">
        <w:t xml:space="preserve"> </w:t>
      </w:r>
      <w:r>
        <w:t>liveability</w:t>
      </w:r>
      <w:r w:rsidR="00932420">
        <w:t xml:space="preserve"> </w:t>
      </w:r>
      <w:r>
        <w:t>and</w:t>
      </w:r>
      <w:r w:rsidR="00932420">
        <w:t xml:space="preserve"> </w:t>
      </w:r>
      <w:r>
        <w:t>economic</w:t>
      </w:r>
      <w:r w:rsidR="00932420">
        <w:t xml:space="preserve"> </w:t>
      </w:r>
      <w:r>
        <w:t>and</w:t>
      </w:r>
      <w:r w:rsidR="00932420">
        <w:t xml:space="preserve"> </w:t>
      </w:r>
      <w:r>
        <w:t>social</w:t>
      </w:r>
      <w:r w:rsidR="00932420">
        <w:t xml:space="preserve"> </w:t>
      </w:r>
      <w:r>
        <w:t>outcomes.</w:t>
      </w:r>
    </w:p>
    <w:p w14:paraId="47559AD0" w14:textId="68D2D080" w:rsidR="00CA3C5B" w:rsidRDefault="00260033" w:rsidP="0047160D">
      <w:r>
        <w:lastRenderedPageBreak/>
        <w:t>A</w:t>
      </w:r>
      <w:r w:rsidR="00932420">
        <w:t xml:space="preserve"> </w:t>
      </w:r>
      <w:r>
        <w:t>new</w:t>
      </w:r>
      <w:r w:rsidR="00932420">
        <w:t xml:space="preserve"> </w:t>
      </w:r>
      <w:r>
        <w:t>Living</w:t>
      </w:r>
      <w:r w:rsidR="00932420">
        <w:t xml:space="preserve"> </w:t>
      </w:r>
      <w:r>
        <w:t>Local</w:t>
      </w:r>
      <w:r w:rsidR="00932420">
        <w:t xml:space="preserve"> </w:t>
      </w:r>
      <w:r>
        <w:t>program</w:t>
      </w:r>
      <w:r w:rsidR="00932420">
        <w:t xml:space="preserve"> </w:t>
      </w:r>
      <w:r>
        <w:t>was</w:t>
      </w:r>
      <w:r w:rsidR="00932420">
        <w:t xml:space="preserve"> </w:t>
      </w:r>
      <w:r>
        <w:t>introduced</w:t>
      </w:r>
      <w:r w:rsidR="00932420">
        <w:t xml:space="preserve"> </w:t>
      </w:r>
      <w:r>
        <w:t>in</w:t>
      </w:r>
      <w:r w:rsidR="00932420">
        <w:t xml:space="preserve"> </w:t>
      </w:r>
      <w:r>
        <w:t>2022–23,</w:t>
      </w:r>
      <w:r w:rsidR="00932420">
        <w:t xml:space="preserve"> </w:t>
      </w:r>
      <w:r>
        <w:t>aimed</w:t>
      </w:r>
      <w:r w:rsidR="00932420">
        <w:t xml:space="preserve"> </w:t>
      </w:r>
      <w:r>
        <w:t>at</w:t>
      </w:r>
      <w:r w:rsidR="00932420">
        <w:t xml:space="preserve"> </w:t>
      </w:r>
      <w:r>
        <w:t>supporting</w:t>
      </w:r>
      <w:r w:rsidR="00932420">
        <w:t xml:space="preserve"> </w:t>
      </w:r>
      <w:r>
        <w:t>local</w:t>
      </w:r>
      <w:r w:rsidR="00932420">
        <w:t xml:space="preserve"> </w:t>
      </w:r>
      <w:r>
        <w:t>economic</w:t>
      </w:r>
      <w:r w:rsidR="00932420">
        <w:t xml:space="preserve"> </w:t>
      </w:r>
      <w:r>
        <w:t>development</w:t>
      </w:r>
      <w:r w:rsidR="00932420">
        <w:t xml:space="preserve"> </w:t>
      </w:r>
      <w:r>
        <w:t>and</w:t>
      </w:r>
      <w:r w:rsidR="00932420">
        <w:t xml:space="preserve"> </w:t>
      </w:r>
      <w:r>
        <w:t>community</w:t>
      </w:r>
      <w:r w:rsidR="00932420">
        <w:t xml:space="preserve"> </w:t>
      </w:r>
      <w:r>
        <w:t>strengthening</w:t>
      </w:r>
      <w:r w:rsidR="00932420">
        <w:t xml:space="preserve"> </w:t>
      </w:r>
      <w:r>
        <w:t>through</w:t>
      </w:r>
      <w:r w:rsidR="00932420">
        <w:t xml:space="preserve"> </w:t>
      </w:r>
      <w:r>
        <w:t>small,</w:t>
      </w:r>
      <w:r w:rsidR="00932420">
        <w:t xml:space="preserve"> </w:t>
      </w:r>
      <w:r>
        <w:t>locally-led</w:t>
      </w:r>
      <w:r w:rsidR="00932420">
        <w:t xml:space="preserve"> </w:t>
      </w:r>
      <w:r>
        <w:t>infrastructure</w:t>
      </w:r>
      <w:r w:rsidR="00932420">
        <w:t xml:space="preserve"> </w:t>
      </w:r>
      <w:r>
        <w:t>projects</w:t>
      </w:r>
      <w:r w:rsidR="00932420">
        <w:t xml:space="preserve"> </w:t>
      </w:r>
      <w:r>
        <w:t>and</w:t>
      </w:r>
      <w:r w:rsidR="00932420">
        <w:t xml:space="preserve"> </w:t>
      </w:r>
      <w:r>
        <w:t>equipment</w:t>
      </w:r>
      <w:r w:rsidR="00932420">
        <w:t xml:space="preserve"> </w:t>
      </w:r>
      <w:r>
        <w:t>purchases.</w:t>
      </w:r>
      <w:r w:rsidR="00932420">
        <w:t xml:space="preserve"> </w:t>
      </w:r>
      <w:r>
        <w:t>There</w:t>
      </w:r>
      <w:r w:rsidR="00932420">
        <w:t xml:space="preserve"> </w:t>
      </w:r>
      <w:r>
        <w:t>were</w:t>
      </w:r>
      <w:r w:rsidR="00932420">
        <w:t xml:space="preserve"> </w:t>
      </w:r>
      <w:r>
        <w:t>324</w:t>
      </w:r>
      <w:r w:rsidR="00932420">
        <w:t xml:space="preserve"> </w:t>
      </w:r>
      <w:r>
        <w:t>grants</w:t>
      </w:r>
      <w:r w:rsidR="00932420">
        <w:t xml:space="preserve"> </w:t>
      </w:r>
      <w:r>
        <w:t>provided</w:t>
      </w:r>
      <w:r w:rsidR="00932420">
        <w:t xml:space="preserve"> </w:t>
      </w:r>
      <w:r>
        <w:t>to</w:t>
      </w:r>
      <w:r w:rsidR="00932420">
        <w:t xml:space="preserve"> </w:t>
      </w:r>
      <w:r>
        <w:t>local</w:t>
      </w:r>
      <w:r w:rsidR="00932420">
        <w:t xml:space="preserve"> </w:t>
      </w:r>
      <w:r>
        <w:t>government</w:t>
      </w:r>
      <w:r w:rsidR="00932420">
        <w:t xml:space="preserve"> </w:t>
      </w:r>
      <w:r>
        <w:t>and</w:t>
      </w:r>
      <w:r w:rsidR="00932420">
        <w:t xml:space="preserve"> </w:t>
      </w:r>
      <w:r>
        <w:t>community</w:t>
      </w:r>
      <w:r w:rsidR="00932420">
        <w:t xml:space="preserve"> </w:t>
      </w:r>
      <w:r>
        <w:t>non-for-profit</w:t>
      </w:r>
      <w:r w:rsidR="00932420">
        <w:t xml:space="preserve"> </w:t>
      </w:r>
      <w:r>
        <w:t>organisations,</w:t>
      </w:r>
      <w:r w:rsidR="00932420">
        <w:t xml:space="preserve"> </w:t>
      </w:r>
      <w:r>
        <w:t>funding</w:t>
      </w:r>
      <w:r w:rsidR="00932420">
        <w:t xml:space="preserve"> </w:t>
      </w:r>
      <w:r>
        <w:t>projects</w:t>
      </w:r>
      <w:r w:rsidR="00932420">
        <w:t xml:space="preserve"> </w:t>
      </w:r>
      <w:r>
        <w:t>to</w:t>
      </w:r>
      <w:r w:rsidR="00932420">
        <w:t xml:space="preserve"> </w:t>
      </w:r>
      <w:r>
        <w:t>the</w:t>
      </w:r>
      <w:r w:rsidR="00932420">
        <w:t xml:space="preserve"> </w:t>
      </w:r>
      <w:r>
        <w:t>value</w:t>
      </w:r>
      <w:r w:rsidR="00932420">
        <w:t xml:space="preserve"> </w:t>
      </w:r>
      <w:r>
        <w:t>of</w:t>
      </w:r>
      <w:r w:rsidR="00932420">
        <w:t xml:space="preserve"> </w:t>
      </w:r>
      <w:r>
        <w:t>almost</w:t>
      </w:r>
      <w:r w:rsidR="00932420">
        <w:t xml:space="preserve"> </w:t>
      </w:r>
      <w:r>
        <w:t>$31.5</w:t>
      </w:r>
      <w:r w:rsidR="00932420">
        <w:t xml:space="preserve"> </w:t>
      </w:r>
      <w:r>
        <w:t>million</w:t>
      </w:r>
      <w:r w:rsidR="00932420">
        <w:t xml:space="preserve"> </w:t>
      </w:r>
      <w:r>
        <w:t>through</w:t>
      </w:r>
      <w:r w:rsidR="00932420">
        <w:t xml:space="preserve"> </w:t>
      </w:r>
      <w:r>
        <w:t>a</w:t>
      </w:r>
      <w:r w:rsidR="00932420">
        <w:t xml:space="preserve"> </w:t>
      </w:r>
      <w:r>
        <w:t>competitive</w:t>
      </w:r>
      <w:r w:rsidR="00932420">
        <w:t xml:space="preserve"> </w:t>
      </w:r>
      <w:r>
        <w:t>grants</w:t>
      </w:r>
      <w:r w:rsidR="00932420">
        <w:t xml:space="preserve"> </w:t>
      </w:r>
      <w:r>
        <w:t>program.</w:t>
      </w:r>
    </w:p>
    <w:p w14:paraId="3A20F9A6" w14:textId="7A0CC731" w:rsidR="00CA3C5B" w:rsidRDefault="00260033" w:rsidP="0047160D">
      <w:pPr>
        <w:pStyle w:val="Heading2"/>
      </w:pPr>
      <w:bookmarkStart w:id="28" w:name="_Toc152067224"/>
      <w:r>
        <w:t>Indicator:</w:t>
      </w:r>
      <w:r w:rsidR="00932420">
        <w:t xml:space="preserve"> </w:t>
      </w:r>
      <w:r>
        <w:t>Compliance</w:t>
      </w:r>
      <w:r w:rsidR="00932420">
        <w:t xml:space="preserve"> </w:t>
      </w:r>
      <w:r>
        <w:t>activities</w:t>
      </w:r>
      <w:r w:rsidR="00932420">
        <w:t xml:space="preserve"> </w:t>
      </w:r>
      <w:r>
        <w:t>to</w:t>
      </w:r>
      <w:r w:rsidR="00932420">
        <w:t xml:space="preserve"> </w:t>
      </w:r>
      <w:r>
        <w:t>protect</w:t>
      </w:r>
      <w:r w:rsidR="00932420">
        <w:t xml:space="preserve"> </w:t>
      </w:r>
      <w:r>
        <w:t>fish</w:t>
      </w:r>
      <w:r w:rsidR="00932420">
        <w:t xml:space="preserve"> </w:t>
      </w:r>
      <w:r>
        <w:t>and</w:t>
      </w:r>
      <w:r w:rsidR="00932420">
        <w:t xml:space="preserve"> </w:t>
      </w:r>
      <w:r>
        <w:t>game</w:t>
      </w:r>
      <w:r w:rsidR="00932420">
        <w:t xml:space="preserve"> </w:t>
      </w:r>
      <w:r>
        <w:t>resources</w:t>
      </w:r>
      <w:bookmarkEnd w:id="28"/>
    </w:p>
    <w:p w14:paraId="1E163836" w14:textId="5B22D118" w:rsidR="00CA3C5B" w:rsidRDefault="00260033" w:rsidP="0047160D">
      <w:r>
        <w:t>This</w:t>
      </w:r>
      <w:r w:rsidR="00932420">
        <w:t xml:space="preserve"> </w:t>
      </w:r>
      <w:r>
        <w:t>is</w:t>
      </w:r>
      <w:r w:rsidR="00932420">
        <w:t xml:space="preserve"> </w:t>
      </w:r>
      <w:r>
        <w:t>a</w:t>
      </w:r>
      <w:r w:rsidR="00932420">
        <w:t xml:space="preserve"> </w:t>
      </w:r>
      <w:r>
        <w:t>new</w:t>
      </w:r>
      <w:r w:rsidR="00932420">
        <w:t xml:space="preserve"> </w:t>
      </w:r>
      <w:r>
        <w:t>indictor</w:t>
      </w:r>
      <w:r w:rsidR="00932420">
        <w:t xml:space="preserve"> </w:t>
      </w:r>
      <w:r>
        <w:t>published</w:t>
      </w:r>
      <w:r w:rsidR="00932420">
        <w:t xml:space="preserve"> </w:t>
      </w:r>
      <w:r>
        <w:t>in</w:t>
      </w:r>
      <w:r w:rsidR="00932420">
        <w:t xml:space="preserve"> </w:t>
      </w:r>
      <w:r>
        <w:t>the</w:t>
      </w:r>
      <w:r w:rsidR="00932420">
        <w:t xml:space="preserve"> </w:t>
      </w:r>
      <w:r>
        <w:t>2023–24</w:t>
      </w:r>
      <w:r w:rsidR="00932420">
        <w:t xml:space="preserve"> </w:t>
      </w:r>
      <w:r>
        <w:t>Victorian</w:t>
      </w:r>
      <w:r w:rsidR="00932420">
        <w:t xml:space="preserve"> </w:t>
      </w:r>
      <w:r>
        <w:t>State</w:t>
      </w:r>
      <w:r w:rsidR="00932420">
        <w:t xml:space="preserve"> </w:t>
      </w:r>
      <w:r>
        <w:t>Budget.</w:t>
      </w:r>
      <w:r w:rsidR="00932420">
        <w:t xml:space="preserve"> </w:t>
      </w:r>
      <w:r>
        <w:t>Reporting</w:t>
      </w:r>
      <w:r w:rsidR="00932420">
        <w:t xml:space="preserve"> </w:t>
      </w:r>
      <w:r>
        <w:t>will</w:t>
      </w:r>
      <w:r w:rsidR="00932420">
        <w:t xml:space="preserve"> </w:t>
      </w:r>
      <w:r>
        <w:t>commence</w:t>
      </w:r>
      <w:r w:rsidR="00932420">
        <w:t xml:space="preserve"> </w:t>
      </w:r>
      <w:r>
        <w:t>in</w:t>
      </w:r>
      <w:r w:rsidR="00932420">
        <w:t xml:space="preserve"> </w:t>
      </w:r>
      <w:r>
        <w:t>the</w:t>
      </w:r>
      <w:r w:rsidR="00932420">
        <w:t xml:space="preserve"> </w:t>
      </w:r>
      <w:r>
        <w:t>2023–24</w:t>
      </w:r>
      <w:r w:rsidR="00932420">
        <w:t xml:space="preserve"> </w:t>
      </w:r>
      <w:r>
        <w:t>DJSIR</w:t>
      </w:r>
      <w:r w:rsidR="00932420">
        <w:t xml:space="preserve"> </w:t>
      </w:r>
      <w:r>
        <w:t>Annual</w:t>
      </w:r>
      <w:r w:rsidR="00932420">
        <w:t xml:space="preserve"> </w:t>
      </w:r>
      <w:r>
        <w:t>Report.</w:t>
      </w:r>
    </w:p>
    <w:p w14:paraId="55774077" w14:textId="64389D72" w:rsidR="00CA3C5B" w:rsidRDefault="00260033" w:rsidP="0047160D">
      <w:pPr>
        <w:pStyle w:val="Heading2"/>
      </w:pPr>
      <w:bookmarkStart w:id="29" w:name="_Toc152067225"/>
      <w:r>
        <w:t>Indicator:</w:t>
      </w:r>
      <w:r w:rsidR="00932420">
        <w:t xml:space="preserve"> </w:t>
      </w:r>
      <w:r>
        <w:t>Improved</w:t>
      </w:r>
      <w:r w:rsidR="00932420">
        <w:t xml:space="preserve"> </w:t>
      </w: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bookmarkEnd w:id="29"/>
    </w:p>
    <w:p w14:paraId="5AF0EEB2" w14:textId="61E5160D" w:rsidR="00CA3C5B" w:rsidRDefault="00260033" w:rsidP="0047160D">
      <w:pPr>
        <w:pStyle w:val="TableHeading"/>
      </w:pPr>
      <w:r>
        <w:t>Table</w:t>
      </w:r>
      <w:r w:rsidR="00932420">
        <w:t xml:space="preserve"> </w:t>
      </w:r>
      <w:r>
        <w:t>12:</w:t>
      </w:r>
      <w:r w:rsidR="00932420">
        <w:t xml:space="preserve"> </w:t>
      </w:r>
      <w:r>
        <w:t>Improved</w:t>
      </w:r>
      <w:r w:rsidR="00932420">
        <w:t xml:space="preserve"> </w:t>
      </w: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p>
    <w:tbl>
      <w:tblPr>
        <w:tblStyle w:val="TableGrid"/>
        <w:tblW w:w="9638" w:type="dxa"/>
        <w:tblLayout w:type="fixed"/>
        <w:tblLook w:val="0020" w:firstRow="1" w:lastRow="0" w:firstColumn="0" w:lastColumn="0" w:noHBand="0" w:noVBand="0"/>
      </w:tblPr>
      <w:tblGrid>
        <w:gridCol w:w="5102"/>
        <w:gridCol w:w="1134"/>
        <w:gridCol w:w="1134"/>
        <w:gridCol w:w="1134"/>
        <w:gridCol w:w="1134"/>
      </w:tblGrid>
      <w:tr w:rsidR="00CA3C5B" w14:paraId="748B403A" w14:textId="77777777" w:rsidTr="0047160D">
        <w:trPr>
          <w:cantSplit/>
        </w:trPr>
        <w:tc>
          <w:tcPr>
            <w:tcW w:w="5102" w:type="dxa"/>
          </w:tcPr>
          <w:p w14:paraId="6801F7DB" w14:textId="77777777" w:rsidR="00CA3C5B" w:rsidRDefault="00CA3C5B" w:rsidP="0047160D">
            <w:pPr>
              <w:pStyle w:val="TableColumnHeading"/>
            </w:pPr>
            <w:bookmarkStart w:id="30" w:name="ColumnTitle_13"/>
            <w:bookmarkEnd w:id="30"/>
          </w:p>
        </w:tc>
        <w:tc>
          <w:tcPr>
            <w:tcW w:w="1134" w:type="dxa"/>
          </w:tcPr>
          <w:p w14:paraId="2E8E7A8E" w14:textId="77777777" w:rsidR="00CA3C5B" w:rsidRDefault="00260033" w:rsidP="0047160D">
            <w:pPr>
              <w:pStyle w:val="TableColumnHeading"/>
              <w:jc w:val="right"/>
            </w:pPr>
            <w:r>
              <w:t>2019–20</w:t>
            </w:r>
          </w:p>
        </w:tc>
        <w:tc>
          <w:tcPr>
            <w:tcW w:w="1134" w:type="dxa"/>
          </w:tcPr>
          <w:p w14:paraId="2B0065F1" w14:textId="77777777" w:rsidR="00CA3C5B" w:rsidRDefault="00260033" w:rsidP="0047160D">
            <w:pPr>
              <w:pStyle w:val="TableColumnHeading"/>
              <w:jc w:val="right"/>
            </w:pPr>
            <w:r>
              <w:t>2020–21</w:t>
            </w:r>
          </w:p>
        </w:tc>
        <w:tc>
          <w:tcPr>
            <w:tcW w:w="1134" w:type="dxa"/>
          </w:tcPr>
          <w:p w14:paraId="4953858C" w14:textId="77777777" w:rsidR="00CA3C5B" w:rsidRDefault="00260033" w:rsidP="0047160D">
            <w:pPr>
              <w:pStyle w:val="TableColumnHeading"/>
              <w:jc w:val="right"/>
            </w:pPr>
            <w:r>
              <w:t>2021–22</w:t>
            </w:r>
          </w:p>
        </w:tc>
        <w:tc>
          <w:tcPr>
            <w:tcW w:w="1134" w:type="dxa"/>
          </w:tcPr>
          <w:p w14:paraId="24373223" w14:textId="77777777" w:rsidR="00CA3C5B" w:rsidRDefault="00260033" w:rsidP="0047160D">
            <w:pPr>
              <w:pStyle w:val="TableColumnHeading"/>
              <w:jc w:val="right"/>
            </w:pPr>
            <w:r>
              <w:rPr>
                <w:lang w:val="en-US"/>
              </w:rPr>
              <w:t>2022–23</w:t>
            </w:r>
          </w:p>
        </w:tc>
      </w:tr>
      <w:tr w:rsidR="00CA3C5B" w14:paraId="0E637AB2" w14:textId="77777777" w:rsidTr="0047160D">
        <w:trPr>
          <w:cantSplit/>
        </w:trPr>
        <w:tc>
          <w:tcPr>
            <w:tcW w:w="5102" w:type="dxa"/>
          </w:tcPr>
          <w:p w14:paraId="1D2BF745" w14:textId="4635092D" w:rsidR="00CA3C5B" w:rsidRDefault="00260033" w:rsidP="0047160D">
            <w:pPr>
              <w:pStyle w:val="TableCopy"/>
            </w:pP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r w:rsidR="00932420">
              <w:t xml:space="preserve"> </w:t>
            </w:r>
            <w:r>
              <w:t>initiatives</w:t>
            </w:r>
            <w:r w:rsidR="00932420">
              <w:t xml:space="preserve"> </w:t>
            </w:r>
            <w:r>
              <w:t>achieved</w:t>
            </w:r>
            <w:r w:rsidR="00932420">
              <w:t xml:space="preserve"> </w:t>
            </w:r>
            <w:r>
              <w:t>(%)</w:t>
            </w:r>
          </w:p>
        </w:tc>
        <w:tc>
          <w:tcPr>
            <w:tcW w:w="1134" w:type="dxa"/>
          </w:tcPr>
          <w:p w14:paraId="3AB9D1D5" w14:textId="77777777" w:rsidR="00CA3C5B" w:rsidRDefault="00260033" w:rsidP="0047160D">
            <w:pPr>
              <w:pStyle w:val="TableCopy"/>
              <w:jc w:val="right"/>
            </w:pPr>
            <w:r>
              <w:t>N/A</w:t>
            </w:r>
          </w:p>
        </w:tc>
        <w:tc>
          <w:tcPr>
            <w:tcW w:w="1134" w:type="dxa"/>
          </w:tcPr>
          <w:p w14:paraId="05B3A1F6" w14:textId="77777777" w:rsidR="00CA3C5B" w:rsidRDefault="00260033" w:rsidP="0047160D">
            <w:pPr>
              <w:pStyle w:val="TableCopy"/>
              <w:jc w:val="right"/>
            </w:pPr>
            <w:r>
              <w:t>93.3</w:t>
            </w:r>
          </w:p>
        </w:tc>
        <w:tc>
          <w:tcPr>
            <w:tcW w:w="1134" w:type="dxa"/>
          </w:tcPr>
          <w:p w14:paraId="57591C14" w14:textId="77777777" w:rsidR="00CA3C5B" w:rsidRDefault="00260033" w:rsidP="0047160D">
            <w:pPr>
              <w:pStyle w:val="TableCopy"/>
              <w:jc w:val="right"/>
            </w:pPr>
            <w:r>
              <w:t>100</w:t>
            </w:r>
          </w:p>
        </w:tc>
        <w:tc>
          <w:tcPr>
            <w:tcW w:w="1134" w:type="dxa"/>
          </w:tcPr>
          <w:p w14:paraId="10971092" w14:textId="77777777" w:rsidR="00CA3C5B" w:rsidRDefault="00260033" w:rsidP="0047160D">
            <w:pPr>
              <w:pStyle w:val="TableCopy"/>
              <w:jc w:val="right"/>
            </w:pPr>
            <w:r>
              <w:t>100</w:t>
            </w:r>
          </w:p>
        </w:tc>
      </w:tr>
      <w:tr w:rsidR="00CA3C5B" w14:paraId="0DC546DC" w14:textId="77777777" w:rsidTr="0047160D">
        <w:trPr>
          <w:cantSplit/>
        </w:trPr>
        <w:tc>
          <w:tcPr>
            <w:tcW w:w="5102" w:type="dxa"/>
          </w:tcPr>
          <w:p w14:paraId="1966C759" w14:textId="7BADD935" w:rsidR="00CA3C5B" w:rsidRDefault="00260033" w:rsidP="0047160D">
            <w:pPr>
              <w:pStyle w:val="TableCopy"/>
            </w:pPr>
            <w:r>
              <w:t>Recreational</w:t>
            </w:r>
            <w:r w:rsidR="00932420">
              <w:t xml:space="preserve"> </w:t>
            </w:r>
            <w:r>
              <w:t>boating</w:t>
            </w:r>
            <w:r w:rsidR="00932420">
              <w:t xml:space="preserve"> </w:t>
            </w:r>
            <w:r>
              <w:t>and</w:t>
            </w:r>
            <w:r w:rsidR="00932420">
              <w:t xml:space="preserve"> </w:t>
            </w:r>
            <w:r>
              <w:t>fishing</w:t>
            </w:r>
            <w:r w:rsidR="00932420">
              <w:t xml:space="preserve"> </w:t>
            </w:r>
            <w:r>
              <w:t>infrastructure</w:t>
            </w:r>
            <w:r w:rsidR="00932420">
              <w:t xml:space="preserve"> </w:t>
            </w:r>
            <w:r>
              <w:t>improvements</w:t>
            </w:r>
            <w:r w:rsidR="00932420">
              <w:t xml:space="preserve"> </w:t>
            </w:r>
            <w:r>
              <w:t>delivered</w:t>
            </w:r>
            <w:r w:rsidR="00932420">
              <w:t xml:space="preserve"> </w:t>
            </w:r>
            <w:r>
              <w:t>(number)</w:t>
            </w:r>
          </w:p>
        </w:tc>
        <w:tc>
          <w:tcPr>
            <w:tcW w:w="1134" w:type="dxa"/>
          </w:tcPr>
          <w:p w14:paraId="16FA5C27" w14:textId="77777777" w:rsidR="00CA3C5B" w:rsidRDefault="00260033" w:rsidP="0047160D">
            <w:pPr>
              <w:pStyle w:val="TableCopy"/>
              <w:jc w:val="right"/>
            </w:pPr>
            <w:r>
              <w:rPr>
                <w:lang w:val="en-US"/>
              </w:rPr>
              <w:t>0</w:t>
            </w:r>
            <w:r>
              <w:rPr>
                <w:rStyle w:val="FootnoteReference"/>
              </w:rPr>
              <w:t>*</w:t>
            </w:r>
          </w:p>
        </w:tc>
        <w:tc>
          <w:tcPr>
            <w:tcW w:w="1134" w:type="dxa"/>
          </w:tcPr>
          <w:p w14:paraId="1DAE0E33" w14:textId="77777777" w:rsidR="00CA3C5B" w:rsidRDefault="00260033" w:rsidP="0047160D">
            <w:pPr>
              <w:pStyle w:val="TableCopy"/>
              <w:jc w:val="right"/>
            </w:pPr>
            <w:r>
              <w:t>6</w:t>
            </w:r>
          </w:p>
        </w:tc>
        <w:tc>
          <w:tcPr>
            <w:tcW w:w="1134" w:type="dxa"/>
          </w:tcPr>
          <w:p w14:paraId="39637FB0" w14:textId="77777777" w:rsidR="00CA3C5B" w:rsidRDefault="00260033" w:rsidP="0047160D">
            <w:pPr>
              <w:pStyle w:val="TableCopy"/>
              <w:jc w:val="right"/>
            </w:pPr>
            <w:r>
              <w:t>2</w:t>
            </w:r>
          </w:p>
        </w:tc>
        <w:tc>
          <w:tcPr>
            <w:tcW w:w="1134" w:type="dxa"/>
          </w:tcPr>
          <w:p w14:paraId="39264F84" w14:textId="77777777" w:rsidR="00CA3C5B" w:rsidRDefault="00260033" w:rsidP="0047160D">
            <w:pPr>
              <w:pStyle w:val="TableCopy"/>
              <w:jc w:val="right"/>
            </w:pPr>
            <w:r>
              <w:rPr>
                <w:lang w:val="en-US"/>
              </w:rPr>
              <w:t>3</w:t>
            </w:r>
          </w:p>
        </w:tc>
      </w:tr>
    </w:tbl>
    <w:p w14:paraId="472535DA" w14:textId="236A5F63" w:rsidR="00CA3C5B" w:rsidRDefault="0047160D" w:rsidP="0047160D">
      <w:pPr>
        <w:pStyle w:val="FootnoteText"/>
        <w:spacing w:before="120" w:after="280"/>
      </w:pPr>
      <w:r>
        <w:rPr>
          <w:rStyle w:val="FootnoteReference"/>
          <w:i/>
          <w:iCs/>
        </w:rPr>
        <w:t>*</w:t>
      </w:r>
      <w:r>
        <w:t>Expected service delivery was impacted by COVID-19 restrictions</w:t>
      </w:r>
    </w:p>
    <w:p w14:paraId="798FBAF1" w14:textId="04789F2E" w:rsidR="00CA3C5B" w:rsidRDefault="00260033" w:rsidP="0047160D">
      <w:pPr>
        <w:pStyle w:val="FigureHeading"/>
      </w:pPr>
      <w:r>
        <w:t>Figure</w:t>
      </w:r>
      <w:r w:rsidR="00932420">
        <w:t xml:space="preserve"> </w:t>
      </w:r>
      <w:r>
        <w:t>13:</w:t>
      </w:r>
      <w:r w:rsidR="00932420">
        <w:t xml:space="preserve"> </w:t>
      </w: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r w:rsidR="00932420">
        <w:t xml:space="preserve"> </w:t>
      </w:r>
      <w:r>
        <w:t>initiatives</w:t>
      </w:r>
      <w:r w:rsidR="00932420">
        <w:t xml:space="preserve"> </w:t>
      </w:r>
      <w:r>
        <w:t>achieved</w:t>
      </w:r>
    </w:p>
    <w:p w14:paraId="1A03AC16" w14:textId="3166D573" w:rsidR="00CA3C5B" w:rsidRDefault="0047160D" w:rsidP="0047160D">
      <w:r>
        <w:rPr>
          <w:noProof/>
        </w:rPr>
        <w:drawing>
          <wp:inline distT="0" distB="0" distL="0" distR="0" wp14:anchorId="511764C8" wp14:editId="0B07BD8A">
            <wp:extent cx="3235124" cy="2164425"/>
            <wp:effectExtent l="0" t="0" r="3810" b="7620"/>
            <wp:docPr id="13" name="Picture 13" descr="Figure 13: Recreational fishing and boating services and facilities initiatives achieved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13: Recreational fishing and boating services and facilities initiatives achieved graph. Data in table above."/>
                    <pic:cNvPicPr/>
                  </pic:nvPicPr>
                  <pic:blipFill>
                    <a:blip r:embed="rId22"/>
                    <a:stretch>
                      <a:fillRect/>
                    </a:stretch>
                  </pic:blipFill>
                  <pic:spPr>
                    <a:xfrm>
                      <a:off x="0" y="0"/>
                      <a:ext cx="3244718" cy="2170844"/>
                    </a:xfrm>
                    <a:prstGeom prst="rect">
                      <a:avLst/>
                    </a:prstGeom>
                  </pic:spPr>
                </pic:pic>
              </a:graphicData>
            </a:graphic>
          </wp:inline>
        </w:drawing>
      </w:r>
    </w:p>
    <w:p w14:paraId="19ED7746" w14:textId="0E530676" w:rsidR="00CA3C5B" w:rsidRDefault="00260033" w:rsidP="0047160D">
      <w:pPr>
        <w:pStyle w:val="FigureHeading"/>
      </w:pPr>
      <w:r>
        <w:lastRenderedPageBreak/>
        <w:t>Figure</w:t>
      </w:r>
      <w:r w:rsidR="00932420">
        <w:t xml:space="preserve"> </w:t>
      </w:r>
      <w:r>
        <w:t>14:</w:t>
      </w:r>
      <w:r w:rsidR="00932420">
        <w:t xml:space="preserve"> </w:t>
      </w:r>
      <w:r>
        <w:t>Recreational</w:t>
      </w:r>
      <w:r w:rsidR="00932420">
        <w:t xml:space="preserve"> </w:t>
      </w:r>
      <w:r>
        <w:t>fishing</w:t>
      </w:r>
      <w:r w:rsidR="00932420">
        <w:t xml:space="preserve"> </w:t>
      </w:r>
      <w:r>
        <w:t>and</w:t>
      </w:r>
      <w:r w:rsidR="00932420">
        <w:t xml:space="preserve"> </w:t>
      </w:r>
      <w:r>
        <w:t>boating</w:t>
      </w:r>
      <w:r w:rsidR="00932420">
        <w:t xml:space="preserve"> </w:t>
      </w:r>
      <w:r>
        <w:t>services</w:t>
      </w:r>
      <w:r w:rsidR="00932420">
        <w:t xml:space="preserve"> </w:t>
      </w:r>
      <w:r>
        <w:t>and</w:t>
      </w:r>
      <w:r w:rsidR="00932420">
        <w:t xml:space="preserve"> </w:t>
      </w:r>
      <w:r>
        <w:t>facilities</w:t>
      </w:r>
      <w:r w:rsidR="00932420">
        <w:t xml:space="preserve"> </w:t>
      </w:r>
      <w:r>
        <w:t>initiatives</w:t>
      </w:r>
      <w:r w:rsidR="00932420">
        <w:t xml:space="preserve"> </w:t>
      </w:r>
      <w:r>
        <w:t>achieved</w:t>
      </w:r>
    </w:p>
    <w:p w14:paraId="46058382" w14:textId="76B268F0" w:rsidR="00CA3C5B" w:rsidRDefault="0047160D" w:rsidP="0047160D">
      <w:r>
        <w:rPr>
          <w:noProof/>
        </w:rPr>
        <w:drawing>
          <wp:inline distT="0" distB="0" distL="0" distR="0" wp14:anchorId="3570C409" wp14:editId="26544B6E">
            <wp:extent cx="3235124" cy="2164425"/>
            <wp:effectExtent l="0" t="0" r="3810" b="7620"/>
            <wp:docPr id="14" name="Picture 14" descr="Figure 14: Recreational fishing and boating services and facilities initiatives achieved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14: Recreational fishing and boating services and facilities initiatives achieved graph. Data in table above."/>
                    <pic:cNvPicPr/>
                  </pic:nvPicPr>
                  <pic:blipFill>
                    <a:blip r:embed="rId23"/>
                    <a:stretch>
                      <a:fillRect/>
                    </a:stretch>
                  </pic:blipFill>
                  <pic:spPr>
                    <a:xfrm>
                      <a:off x="0" y="0"/>
                      <a:ext cx="3245890" cy="2171628"/>
                    </a:xfrm>
                    <a:prstGeom prst="rect">
                      <a:avLst/>
                    </a:prstGeom>
                  </pic:spPr>
                </pic:pic>
              </a:graphicData>
            </a:graphic>
          </wp:inline>
        </w:drawing>
      </w:r>
    </w:p>
    <w:p w14:paraId="5C92EC37" w14:textId="66DCDB06" w:rsidR="00CA3C5B" w:rsidRDefault="00260033" w:rsidP="0047160D">
      <w:pPr>
        <w:pStyle w:val="Normalbeforebullets"/>
      </w:pPr>
      <w:r>
        <w:t>In</w:t>
      </w:r>
      <w:r w:rsidR="00932420">
        <w:t xml:space="preserve"> </w:t>
      </w:r>
      <w:r>
        <w:t>2022–23,</w:t>
      </w:r>
      <w:r w:rsidR="00932420">
        <w:t xml:space="preserve"> </w:t>
      </w:r>
      <w:r>
        <w:t>the</w:t>
      </w:r>
      <w:r w:rsidR="00932420">
        <w:t xml:space="preserve"> </w:t>
      </w:r>
      <w:r>
        <w:t>Victorian</w:t>
      </w:r>
      <w:r w:rsidR="00932420">
        <w:t xml:space="preserve"> </w:t>
      </w:r>
      <w:r>
        <w:t>Fisheries</w:t>
      </w:r>
      <w:r w:rsidR="00932420">
        <w:t xml:space="preserve"> </w:t>
      </w:r>
      <w:r>
        <w:t>Authority</w:t>
      </w:r>
      <w:r w:rsidR="00932420">
        <w:t xml:space="preserve"> </w:t>
      </w:r>
      <w:r>
        <w:t>(VFA)</w:t>
      </w:r>
      <w:r w:rsidR="00932420">
        <w:t xml:space="preserve"> </w:t>
      </w:r>
      <w:r>
        <w:t>completed</w:t>
      </w:r>
      <w:r w:rsidR="00932420">
        <w:t xml:space="preserve"> </w:t>
      </w:r>
      <w:r>
        <w:t>3</w:t>
      </w:r>
      <w:r w:rsidR="00932420">
        <w:t xml:space="preserve"> </w:t>
      </w:r>
      <w:r>
        <w:t>projects</w:t>
      </w:r>
      <w:r w:rsidR="00932420">
        <w:t xml:space="preserve"> </w:t>
      </w:r>
      <w:r>
        <w:t>aimed</w:t>
      </w:r>
      <w:r w:rsidR="00932420">
        <w:t xml:space="preserve"> </w:t>
      </w:r>
      <w:r>
        <w:t>at</w:t>
      </w:r>
      <w:r w:rsidR="00932420">
        <w:t xml:space="preserve"> </w:t>
      </w:r>
      <w:r>
        <w:t>delivering</w:t>
      </w:r>
      <w:r w:rsidR="00932420">
        <w:t xml:space="preserve"> </w:t>
      </w:r>
      <w:r>
        <w:t>improved</w:t>
      </w:r>
      <w:r w:rsidR="00932420">
        <w:t xml:space="preserve"> </w:t>
      </w:r>
      <w:r>
        <w:t>infrastructure</w:t>
      </w:r>
      <w:r w:rsidR="00932420">
        <w:t xml:space="preserve"> </w:t>
      </w:r>
      <w:r>
        <w:t>to</w:t>
      </w:r>
      <w:r w:rsidR="00932420">
        <w:t xml:space="preserve"> </w:t>
      </w:r>
      <w:r>
        <w:t>make</w:t>
      </w:r>
      <w:r w:rsidR="00932420">
        <w:t xml:space="preserve"> </w:t>
      </w:r>
      <w:r>
        <w:t>it</w:t>
      </w:r>
      <w:r w:rsidR="00932420">
        <w:t xml:space="preserve"> </w:t>
      </w:r>
      <w:r>
        <w:t>easier</w:t>
      </w:r>
      <w:r w:rsidR="00932420">
        <w:t xml:space="preserve"> </w:t>
      </w:r>
      <w:r>
        <w:t>and</w:t>
      </w:r>
      <w:r w:rsidR="00932420">
        <w:t xml:space="preserve"> </w:t>
      </w:r>
      <w:r>
        <w:t>safer</w:t>
      </w:r>
      <w:r w:rsidR="00932420">
        <w:t xml:space="preserve"> </w:t>
      </w:r>
      <w:r>
        <w:t>for</w:t>
      </w:r>
      <w:r w:rsidR="00932420">
        <w:t xml:space="preserve"> </w:t>
      </w:r>
      <w:r>
        <w:t>recreational</w:t>
      </w:r>
      <w:r w:rsidR="00932420">
        <w:t xml:space="preserve"> </w:t>
      </w:r>
      <w:r>
        <w:t>fishers</w:t>
      </w:r>
      <w:r w:rsidR="00932420">
        <w:t xml:space="preserve"> </w:t>
      </w:r>
      <w:r>
        <w:t>and</w:t>
      </w:r>
      <w:r w:rsidR="00932420">
        <w:t xml:space="preserve"> </w:t>
      </w:r>
      <w:r>
        <w:t>boat</w:t>
      </w:r>
      <w:r w:rsidR="00932420">
        <w:t xml:space="preserve"> </w:t>
      </w:r>
      <w:r>
        <w:t>users</w:t>
      </w:r>
      <w:r w:rsidR="00932420">
        <w:t xml:space="preserve"> </w:t>
      </w:r>
      <w:r>
        <w:t>to</w:t>
      </w:r>
      <w:r w:rsidR="00932420">
        <w:t xml:space="preserve"> </w:t>
      </w:r>
      <w:r>
        <w:t>get</w:t>
      </w:r>
      <w:r w:rsidR="00932420">
        <w:t xml:space="preserve"> </w:t>
      </w:r>
      <w:r>
        <w:t>out</w:t>
      </w:r>
      <w:r w:rsidR="00932420">
        <w:t xml:space="preserve"> </w:t>
      </w:r>
      <w:r>
        <w:t>on</w:t>
      </w:r>
      <w:r w:rsidR="00932420">
        <w:t xml:space="preserve"> </w:t>
      </w:r>
      <w:r>
        <w:t>the</w:t>
      </w:r>
      <w:r w:rsidR="00932420">
        <w:t xml:space="preserve"> </w:t>
      </w:r>
      <w:r>
        <w:t>water.</w:t>
      </w:r>
      <w:r w:rsidR="00932420">
        <w:t xml:space="preserve"> </w:t>
      </w:r>
      <w:r>
        <w:t>The</w:t>
      </w:r>
      <w:r w:rsidR="00932420">
        <w:t xml:space="preserve"> </w:t>
      </w:r>
      <w:r>
        <w:t>projects</w:t>
      </w:r>
      <w:r w:rsidR="00932420">
        <w:t xml:space="preserve"> </w:t>
      </w:r>
      <w:r>
        <w:t>were:</w:t>
      </w:r>
    </w:p>
    <w:p w14:paraId="0B7CD998" w14:textId="11DAB073" w:rsidR="00CA3C5B" w:rsidRDefault="00260033" w:rsidP="0047160D">
      <w:pPr>
        <w:pStyle w:val="Bullet"/>
      </w:pPr>
      <w:r>
        <w:t>Replacing</w:t>
      </w:r>
      <w:r w:rsidR="00932420">
        <w:t xml:space="preserve"> </w:t>
      </w:r>
      <w:r>
        <w:t>the</w:t>
      </w:r>
      <w:r w:rsidR="00932420">
        <w:t xml:space="preserve"> </w:t>
      </w:r>
      <w:r>
        <w:t>ageing</w:t>
      </w:r>
      <w:r w:rsidR="00932420">
        <w:t xml:space="preserve"> </w:t>
      </w:r>
      <w:r>
        <w:t>wooden</w:t>
      </w:r>
      <w:r w:rsidR="00932420">
        <w:t xml:space="preserve"> </w:t>
      </w:r>
      <w:r>
        <w:t>jetties</w:t>
      </w:r>
      <w:r w:rsidR="00932420">
        <w:t xml:space="preserve"> </w:t>
      </w:r>
      <w:r>
        <w:t>of</w:t>
      </w:r>
      <w:r w:rsidR="00932420">
        <w:t xml:space="preserve"> </w:t>
      </w:r>
      <w:r>
        <w:t>Warrnambool</w:t>
      </w:r>
      <w:r w:rsidR="00932420">
        <w:t xml:space="preserve"> </w:t>
      </w:r>
      <w:r>
        <w:t>boat</w:t>
      </w:r>
      <w:r w:rsidR="00932420">
        <w:t xml:space="preserve"> </w:t>
      </w:r>
      <w:r>
        <w:t>ramp</w:t>
      </w:r>
      <w:r w:rsidR="00932420">
        <w:t xml:space="preserve"> </w:t>
      </w:r>
      <w:r>
        <w:t>with</w:t>
      </w:r>
      <w:r w:rsidR="00932420">
        <w:t xml:space="preserve"> </w:t>
      </w:r>
      <w:r>
        <w:t>modern</w:t>
      </w:r>
      <w:r w:rsidR="00932420">
        <w:t xml:space="preserve"> </w:t>
      </w:r>
      <w:r>
        <w:t>structures</w:t>
      </w:r>
      <w:r w:rsidR="00932420">
        <w:t xml:space="preserve"> </w:t>
      </w:r>
      <w:r>
        <w:t>and</w:t>
      </w:r>
      <w:r w:rsidR="00932420">
        <w:t xml:space="preserve"> </w:t>
      </w:r>
      <w:r>
        <w:t>a</w:t>
      </w:r>
      <w:r w:rsidR="00932420">
        <w:t xml:space="preserve"> </w:t>
      </w:r>
      <w:r>
        <w:t>new</w:t>
      </w:r>
      <w:r w:rsidR="00932420">
        <w:t xml:space="preserve"> </w:t>
      </w:r>
      <w:r>
        <w:t>grooved</w:t>
      </w:r>
      <w:r w:rsidR="00932420">
        <w:t xml:space="preserve"> </w:t>
      </w:r>
      <w:r>
        <w:t>concrete</w:t>
      </w:r>
      <w:r w:rsidR="00932420">
        <w:t xml:space="preserve"> </w:t>
      </w:r>
      <w:r>
        <w:t>surface.</w:t>
      </w:r>
      <w:r w:rsidR="00932420">
        <w:t xml:space="preserve"> </w:t>
      </w:r>
      <w:r>
        <w:t>Completed</w:t>
      </w:r>
      <w:r w:rsidR="00932420">
        <w:t xml:space="preserve"> </w:t>
      </w:r>
      <w:r>
        <w:t>in</w:t>
      </w:r>
      <w:r w:rsidR="00932420">
        <w:t xml:space="preserve"> </w:t>
      </w:r>
      <w:r>
        <w:t>December</w:t>
      </w:r>
      <w:r w:rsidR="00932420">
        <w:t xml:space="preserve"> </w:t>
      </w:r>
      <w:r>
        <w:t>2022</w:t>
      </w:r>
    </w:p>
    <w:p w14:paraId="4FB44701" w14:textId="47643517" w:rsidR="00CA3C5B" w:rsidRDefault="00260033" w:rsidP="0047160D">
      <w:pPr>
        <w:pStyle w:val="Bullet"/>
      </w:pPr>
      <w:r>
        <w:t>Replacing</w:t>
      </w:r>
      <w:r w:rsidR="00932420">
        <w:t xml:space="preserve"> </w:t>
      </w:r>
      <w:r>
        <w:t>Lake</w:t>
      </w:r>
      <w:r w:rsidR="00932420">
        <w:t xml:space="preserve"> </w:t>
      </w:r>
      <w:r>
        <w:t>Bullen</w:t>
      </w:r>
      <w:r w:rsidR="00932420">
        <w:t xml:space="preserve"> </w:t>
      </w:r>
      <w:r>
        <w:t>Merri’s</w:t>
      </w:r>
      <w:r w:rsidR="00932420">
        <w:t xml:space="preserve"> </w:t>
      </w:r>
      <w:r>
        <w:t>south</w:t>
      </w:r>
      <w:r w:rsidR="00932420">
        <w:t xml:space="preserve"> </w:t>
      </w:r>
      <w:r>
        <w:t>beach</w:t>
      </w:r>
      <w:r w:rsidR="00932420">
        <w:t xml:space="preserve"> </w:t>
      </w:r>
      <w:r>
        <w:t>ramp</w:t>
      </w:r>
      <w:r w:rsidR="00932420">
        <w:t xml:space="preserve"> </w:t>
      </w:r>
      <w:r>
        <w:t>with</w:t>
      </w:r>
      <w:r w:rsidR="00932420">
        <w:t xml:space="preserve"> </w:t>
      </w:r>
      <w:r>
        <w:t>new</w:t>
      </w:r>
      <w:r w:rsidR="00932420">
        <w:t xml:space="preserve"> </w:t>
      </w:r>
      <w:r>
        <w:t>grooved</w:t>
      </w:r>
      <w:r w:rsidR="00932420">
        <w:t xml:space="preserve"> </w:t>
      </w:r>
      <w:r>
        <w:t>concrete</w:t>
      </w:r>
      <w:r w:rsidR="00932420">
        <w:t xml:space="preserve"> </w:t>
      </w:r>
      <w:r>
        <w:t>panels</w:t>
      </w:r>
      <w:r w:rsidR="00932420">
        <w:t xml:space="preserve"> </w:t>
      </w:r>
      <w:r>
        <w:t>and</w:t>
      </w:r>
      <w:r w:rsidR="00932420">
        <w:t xml:space="preserve"> </w:t>
      </w:r>
      <w:r>
        <w:t>a</w:t>
      </w:r>
      <w:r w:rsidR="00932420">
        <w:t xml:space="preserve"> </w:t>
      </w:r>
      <w:r>
        <w:t>central</w:t>
      </w:r>
      <w:r w:rsidR="00932420">
        <w:t xml:space="preserve"> </w:t>
      </w:r>
      <w:r>
        <w:t>pontoon,</w:t>
      </w:r>
      <w:r w:rsidR="00932420">
        <w:t xml:space="preserve"> </w:t>
      </w:r>
      <w:r>
        <w:t>in</w:t>
      </w:r>
      <w:r w:rsidR="00932420">
        <w:t xml:space="preserve"> </w:t>
      </w:r>
      <w:r>
        <w:t>addition</w:t>
      </w:r>
      <w:r w:rsidR="00932420">
        <w:t xml:space="preserve"> </w:t>
      </w:r>
      <w:r>
        <w:t>to</w:t>
      </w:r>
      <w:r w:rsidR="00932420">
        <w:t xml:space="preserve"> </w:t>
      </w:r>
      <w:r>
        <w:t>the</w:t>
      </w:r>
      <w:r w:rsidR="00932420">
        <w:t xml:space="preserve"> </w:t>
      </w:r>
      <w:r>
        <w:t>construction</w:t>
      </w:r>
      <w:r w:rsidR="00932420">
        <w:t xml:space="preserve"> </w:t>
      </w:r>
      <w:r>
        <w:t>of</w:t>
      </w:r>
      <w:r w:rsidR="00932420">
        <w:t xml:space="preserve"> </w:t>
      </w:r>
      <w:r>
        <w:t>an</w:t>
      </w:r>
      <w:r w:rsidR="00932420">
        <w:t xml:space="preserve"> </w:t>
      </w:r>
      <w:r>
        <w:t>underwater</w:t>
      </w:r>
      <w:r w:rsidR="00932420">
        <w:t xml:space="preserve"> </w:t>
      </w:r>
      <w:r>
        <w:t>retaining</w:t>
      </w:r>
      <w:r w:rsidR="00932420">
        <w:t xml:space="preserve"> </w:t>
      </w:r>
      <w:r>
        <w:t>wall.</w:t>
      </w:r>
      <w:r w:rsidR="00932420">
        <w:t xml:space="preserve"> </w:t>
      </w:r>
      <w:r>
        <w:t>Completed</w:t>
      </w:r>
      <w:r w:rsidR="00932420">
        <w:t xml:space="preserve"> </w:t>
      </w:r>
      <w:r>
        <w:t>in</w:t>
      </w:r>
      <w:r w:rsidR="00932420">
        <w:t xml:space="preserve"> </w:t>
      </w:r>
      <w:r>
        <w:t>November</w:t>
      </w:r>
      <w:r w:rsidR="00932420">
        <w:t xml:space="preserve"> </w:t>
      </w:r>
      <w:r>
        <w:t>2022</w:t>
      </w:r>
    </w:p>
    <w:p w14:paraId="5214C056" w14:textId="431023E9" w:rsidR="00CA3C5B" w:rsidRDefault="00260033" w:rsidP="0047160D">
      <w:pPr>
        <w:pStyle w:val="Bulletlast"/>
      </w:pPr>
      <w:r>
        <w:t>Repairing</w:t>
      </w:r>
      <w:r w:rsidR="00932420">
        <w:t xml:space="preserve"> </w:t>
      </w:r>
      <w:r>
        <w:t>the</w:t>
      </w:r>
      <w:r w:rsidR="00932420">
        <w:t xml:space="preserve"> </w:t>
      </w:r>
      <w:r>
        <w:t>Newhaven</w:t>
      </w:r>
      <w:r w:rsidR="00932420">
        <w:t xml:space="preserve"> </w:t>
      </w:r>
      <w:r>
        <w:t>jetty,</w:t>
      </w:r>
      <w:r w:rsidR="00932420">
        <w:t xml:space="preserve"> </w:t>
      </w:r>
      <w:r>
        <w:t>including</w:t>
      </w:r>
      <w:r w:rsidR="00932420">
        <w:t xml:space="preserve"> </w:t>
      </w:r>
      <w:r>
        <w:t>increasing</w:t>
      </w:r>
      <w:r w:rsidR="00932420">
        <w:t xml:space="preserve"> </w:t>
      </w:r>
      <w:r>
        <w:t>the</w:t>
      </w:r>
      <w:r w:rsidR="00932420">
        <w:t xml:space="preserve"> </w:t>
      </w:r>
      <w:r>
        <w:t>height</w:t>
      </w:r>
      <w:r w:rsidR="00932420">
        <w:t xml:space="preserve"> </w:t>
      </w:r>
      <w:r>
        <w:t>of</w:t>
      </w:r>
      <w:r w:rsidR="00932420">
        <w:t xml:space="preserve"> </w:t>
      </w:r>
      <w:r>
        <w:t>the</w:t>
      </w:r>
      <w:r w:rsidR="00932420">
        <w:t xml:space="preserve"> </w:t>
      </w:r>
      <w:r>
        <w:t>lower</w:t>
      </w:r>
      <w:r w:rsidR="00932420">
        <w:t xml:space="preserve"> </w:t>
      </w:r>
      <w:r>
        <w:t>deck,</w:t>
      </w:r>
      <w:r w:rsidR="00932420">
        <w:t xml:space="preserve"> </w:t>
      </w:r>
      <w:r>
        <w:t>replacing</w:t>
      </w:r>
      <w:r w:rsidR="00932420">
        <w:t xml:space="preserve"> </w:t>
      </w:r>
      <w:r>
        <w:t>the</w:t>
      </w:r>
      <w:r w:rsidR="00932420">
        <w:t xml:space="preserve"> </w:t>
      </w:r>
      <w:r>
        <w:t>existing</w:t>
      </w:r>
      <w:r w:rsidR="00932420">
        <w:t xml:space="preserve"> </w:t>
      </w:r>
      <w:r>
        <w:t>upper</w:t>
      </w:r>
      <w:r w:rsidR="00932420">
        <w:t xml:space="preserve"> </w:t>
      </w:r>
      <w:proofErr w:type="gramStart"/>
      <w:r>
        <w:t>deck</w:t>
      </w:r>
      <w:proofErr w:type="gramEnd"/>
      <w:r w:rsidR="00932420">
        <w:t xml:space="preserve"> </w:t>
      </w:r>
      <w:r>
        <w:t>and</w:t>
      </w:r>
      <w:r w:rsidR="00932420">
        <w:t xml:space="preserve"> </w:t>
      </w:r>
      <w:r>
        <w:t>improving</w:t>
      </w:r>
      <w:r w:rsidR="00932420">
        <w:t xml:space="preserve"> </w:t>
      </w:r>
      <w:r>
        <w:t>the</w:t>
      </w:r>
      <w:r w:rsidR="00932420">
        <w:t xml:space="preserve"> </w:t>
      </w:r>
      <w:r>
        <w:t>substructure.</w:t>
      </w:r>
      <w:r w:rsidR="00932420">
        <w:t xml:space="preserve"> </w:t>
      </w:r>
      <w:r>
        <w:t>Completed</w:t>
      </w:r>
      <w:r w:rsidR="00932420">
        <w:t xml:space="preserve"> </w:t>
      </w:r>
      <w:r>
        <w:t>in</w:t>
      </w:r>
      <w:r w:rsidR="00932420">
        <w:t xml:space="preserve"> </w:t>
      </w:r>
      <w:r>
        <w:t>February</w:t>
      </w:r>
      <w:r w:rsidR="00932420">
        <w:t xml:space="preserve"> </w:t>
      </w:r>
      <w:r>
        <w:t>2022.</w:t>
      </w:r>
    </w:p>
    <w:p w14:paraId="01238E52" w14:textId="1813D6D8" w:rsidR="00CA3C5B" w:rsidRDefault="00260033" w:rsidP="0047160D">
      <w:pPr>
        <w:pStyle w:val="Heading2"/>
      </w:pPr>
      <w:bookmarkStart w:id="31" w:name="_Toc152067226"/>
      <w:r>
        <w:t>Performance</w:t>
      </w:r>
      <w:r w:rsidR="00932420">
        <w:t xml:space="preserve"> </w:t>
      </w:r>
      <w:r>
        <w:t>against</w:t>
      </w:r>
      <w:r w:rsidR="00932420">
        <w:t xml:space="preserve"> </w:t>
      </w:r>
      <w:r>
        <w:t>output</w:t>
      </w:r>
      <w:r w:rsidR="00932420">
        <w:t xml:space="preserve"> </w:t>
      </w:r>
      <w:r>
        <w:t>performance</w:t>
      </w:r>
      <w:r w:rsidR="00932420">
        <w:t xml:space="preserve"> </w:t>
      </w:r>
      <w:r>
        <w:t>measures</w:t>
      </w:r>
      <w:bookmarkEnd w:id="31"/>
    </w:p>
    <w:p w14:paraId="4C17828E" w14:textId="7714B885" w:rsidR="00CA3C5B" w:rsidRDefault="00260033" w:rsidP="0074486D">
      <w:r>
        <w:t>Table</w:t>
      </w:r>
      <w:r w:rsidR="00932420">
        <w:t xml:space="preserve"> </w:t>
      </w:r>
      <w:r>
        <w:t>13</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Fishing,</w:t>
      </w:r>
      <w:r w:rsidR="00932420">
        <w:t xml:space="preserve"> </w:t>
      </w:r>
      <w:r>
        <w:t>Boating</w:t>
      </w:r>
      <w:r w:rsidR="00932420">
        <w:t xml:space="preserve"> </w:t>
      </w:r>
      <w:r>
        <w:t>and</w:t>
      </w:r>
      <w:r w:rsidR="00932420">
        <w:t xml:space="preserve"> </w:t>
      </w:r>
      <w:r>
        <w:t>Game</w:t>
      </w:r>
      <w:r w:rsidR="00932420">
        <w:t xml:space="preserve"> </w:t>
      </w:r>
      <w:r>
        <w:t>Management</w:t>
      </w:r>
      <w:r w:rsidR="00932420">
        <w:t xml:space="preserve"> </w:t>
      </w:r>
      <w:r>
        <w:t>output.</w:t>
      </w:r>
      <w:r w:rsidR="00932420">
        <w:t xml:space="preserve"> </w:t>
      </w:r>
      <w:r>
        <w:t>This</w:t>
      </w:r>
      <w:r w:rsidR="00932420">
        <w:t xml:space="preserve"> </w:t>
      </w:r>
      <w:r>
        <w:t>output</w:t>
      </w:r>
      <w:r w:rsidR="00932420">
        <w:t xml:space="preserve"> </w:t>
      </w:r>
      <w:r>
        <w:t>creates</w:t>
      </w:r>
      <w:r w:rsidR="00932420">
        <w:t xml:space="preserve"> </w:t>
      </w:r>
      <w:r>
        <w:t>the</w:t>
      </w:r>
      <w:r w:rsidR="00932420">
        <w:t xml:space="preserve"> </w:t>
      </w:r>
      <w:r>
        <w:t>conditions</w:t>
      </w:r>
      <w:r w:rsidR="00932420">
        <w:t xml:space="preserve"> </w:t>
      </w:r>
      <w:r>
        <w:t>to</w:t>
      </w:r>
      <w:r w:rsidR="00932420">
        <w:t xml:space="preserve"> </w:t>
      </w:r>
      <w:r>
        <w:t>ensure</w:t>
      </w:r>
      <w:r w:rsidR="00932420">
        <w:t xml:space="preserve"> </w:t>
      </w:r>
      <w:r>
        <w:t>Victoria’s</w:t>
      </w:r>
      <w:r w:rsidR="00932420">
        <w:t xml:space="preserve"> </w:t>
      </w:r>
      <w:r>
        <w:t>fisheries</w:t>
      </w:r>
      <w:r w:rsidR="00932420">
        <w:t xml:space="preserve"> </w:t>
      </w:r>
      <w:r>
        <w:t>and</w:t>
      </w:r>
      <w:r w:rsidR="00932420">
        <w:t xml:space="preserve"> </w:t>
      </w:r>
      <w:r>
        <w:t>game</w:t>
      </w:r>
      <w:r w:rsidR="00932420">
        <w:t xml:space="preserve"> </w:t>
      </w:r>
      <w:r>
        <w:t>resources</w:t>
      </w:r>
      <w:r w:rsidR="00932420">
        <w:t xml:space="preserve"> </w:t>
      </w:r>
      <w:r>
        <w:t>are</w:t>
      </w:r>
      <w:r w:rsidR="00932420">
        <w:t xml:space="preserve"> </w:t>
      </w:r>
      <w:r>
        <w:t>sustainably</w:t>
      </w:r>
      <w:r w:rsidR="00932420">
        <w:t xml:space="preserve"> </w:t>
      </w:r>
      <w:r>
        <w:t>used</w:t>
      </w:r>
      <w:r w:rsidR="00932420">
        <w:t xml:space="preserve"> </w:t>
      </w:r>
      <w:r>
        <w:t>for</w:t>
      </w:r>
      <w:r w:rsidR="00932420">
        <w:t xml:space="preserve"> </w:t>
      </w:r>
      <w:r>
        <w:t>both</w:t>
      </w:r>
      <w:r w:rsidR="00932420">
        <w:t xml:space="preserve"> </w:t>
      </w:r>
      <w:r>
        <w:t>recreational</w:t>
      </w:r>
      <w:r w:rsidR="00932420">
        <w:t xml:space="preserve"> </w:t>
      </w:r>
      <w:r>
        <w:t>and</w:t>
      </w:r>
      <w:r w:rsidR="00932420">
        <w:t xml:space="preserve"> </w:t>
      </w:r>
      <w:r>
        <w:t>commercial</w:t>
      </w:r>
      <w:r w:rsidR="00932420">
        <w:t xml:space="preserve"> </w:t>
      </w:r>
      <w:r>
        <w:t>purposes.</w:t>
      </w:r>
      <w:r w:rsidR="00932420">
        <w:t xml:space="preserve"> </w:t>
      </w:r>
      <w:r>
        <w:t>This</w:t>
      </w:r>
      <w:r w:rsidR="00932420">
        <w:t xml:space="preserve"> </w:t>
      </w:r>
      <w:r>
        <w:t>output</w:t>
      </w:r>
      <w:r w:rsidR="00932420">
        <w:t xml:space="preserve"> </w:t>
      </w:r>
      <w:r>
        <w:t>delivers</w:t>
      </w:r>
      <w:r w:rsidR="00932420">
        <w:t xml:space="preserve"> </w:t>
      </w:r>
      <w:r>
        <w:t>improved</w:t>
      </w:r>
      <w:r w:rsidR="00932420">
        <w:t xml:space="preserve"> </w:t>
      </w:r>
      <w:r>
        <w:t>recreational</w:t>
      </w:r>
      <w:r w:rsidR="00932420">
        <w:t xml:space="preserve"> </w:t>
      </w:r>
      <w:r>
        <w:t>boating</w:t>
      </w:r>
      <w:r w:rsidR="00932420">
        <w:t xml:space="preserve"> </w:t>
      </w:r>
      <w:r>
        <w:t>and</w:t>
      </w:r>
      <w:r w:rsidR="00932420">
        <w:t xml:space="preserve"> </w:t>
      </w:r>
      <w:r>
        <w:t>fishing</w:t>
      </w:r>
      <w:r w:rsidR="00932420">
        <w:t xml:space="preserve"> </w:t>
      </w:r>
      <w:r>
        <w:t>services</w:t>
      </w:r>
      <w:r w:rsidR="00932420">
        <w:t xml:space="preserve"> </w:t>
      </w:r>
      <w:r>
        <w:t>and</w:t>
      </w:r>
      <w:r w:rsidR="00932420">
        <w:t xml:space="preserve"> </w:t>
      </w:r>
      <w:r>
        <w:t>facilities.</w:t>
      </w:r>
    </w:p>
    <w:p w14:paraId="3CF86637" w14:textId="26E5ECA0" w:rsidR="00CA3C5B" w:rsidRDefault="00260033" w:rsidP="0074486D">
      <w:pPr>
        <w:pStyle w:val="TableHeading"/>
      </w:pPr>
      <w:r>
        <w:lastRenderedPageBreak/>
        <w:t>Table</w:t>
      </w:r>
      <w:r w:rsidR="00932420">
        <w:t xml:space="preserve"> </w:t>
      </w:r>
      <w:r>
        <w:t>13:</w:t>
      </w:r>
      <w:r w:rsidR="00932420">
        <w:t xml:space="preserve"> </w:t>
      </w:r>
      <w:r>
        <w:t>Output</w:t>
      </w:r>
      <w:r w:rsidR="00932420">
        <w:t xml:space="preserve"> </w:t>
      </w:r>
      <w:r>
        <w:t>–</w:t>
      </w:r>
      <w:r w:rsidR="00932420">
        <w:t xml:space="preserve"> </w:t>
      </w:r>
      <w:r>
        <w:t>Fishing,</w:t>
      </w:r>
      <w:r w:rsidR="00932420">
        <w:t xml:space="preserve"> </w:t>
      </w:r>
      <w:r>
        <w:t>Boating</w:t>
      </w:r>
      <w:r w:rsidR="00932420">
        <w:t xml:space="preserve"> </w:t>
      </w:r>
      <w:r>
        <w:t>and</w:t>
      </w:r>
      <w:r w:rsidR="00932420">
        <w:t xml:space="preserve"> </w:t>
      </w:r>
      <w:r>
        <w:t>Game</w:t>
      </w:r>
      <w:r w:rsidR="00932420">
        <w:t xml:space="preserve"> </w:t>
      </w:r>
      <w:r>
        <w:t>Management</w:t>
      </w:r>
    </w:p>
    <w:tbl>
      <w:tblPr>
        <w:tblStyle w:val="TableGrid"/>
        <w:tblW w:w="9776" w:type="dxa"/>
        <w:tblLayout w:type="fixed"/>
        <w:tblLook w:val="0020" w:firstRow="1" w:lastRow="0" w:firstColumn="0" w:lastColumn="0" w:noHBand="0" w:noVBand="0"/>
      </w:tblPr>
      <w:tblGrid>
        <w:gridCol w:w="4531"/>
        <w:gridCol w:w="1092"/>
        <w:gridCol w:w="963"/>
        <w:gridCol w:w="953"/>
        <w:gridCol w:w="1428"/>
        <w:gridCol w:w="809"/>
      </w:tblGrid>
      <w:tr w:rsidR="00CA3C5B" w:rsidRPr="0074486D" w14:paraId="758ABD1B" w14:textId="77777777" w:rsidTr="00770C0E">
        <w:trPr>
          <w:cantSplit/>
          <w:tblHeader/>
        </w:trPr>
        <w:tc>
          <w:tcPr>
            <w:tcW w:w="4531" w:type="dxa"/>
          </w:tcPr>
          <w:p w14:paraId="20762F1D" w14:textId="4B5397AA" w:rsidR="00CA3C5B" w:rsidRPr="0074486D" w:rsidRDefault="00260033" w:rsidP="0074486D">
            <w:pPr>
              <w:pStyle w:val="TableColumnHeading"/>
              <w:rPr>
                <w:sz w:val="21"/>
                <w:szCs w:val="21"/>
              </w:rPr>
            </w:pPr>
            <w:bookmarkStart w:id="32" w:name="ColumnTitle_14"/>
            <w:bookmarkEnd w:id="32"/>
            <w:r w:rsidRPr="0074486D">
              <w:rPr>
                <w:sz w:val="21"/>
                <w:szCs w:val="21"/>
              </w:rPr>
              <w:t>Performance</w:t>
            </w:r>
            <w:r w:rsidR="00932420" w:rsidRPr="0074486D">
              <w:rPr>
                <w:sz w:val="21"/>
                <w:szCs w:val="21"/>
              </w:rPr>
              <w:t xml:space="preserve"> </w:t>
            </w:r>
            <w:r w:rsidRPr="0074486D">
              <w:rPr>
                <w:sz w:val="21"/>
                <w:szCs w:val="21"/>
              </w:rPr>
              <w:t>measures</w:t>
            </w:r>
          </w:p>
        </w:tc>
        <w:tc>
          <w:tcPr>
            <w:tcW w:w="1092" w:type="dxa"/>
          </w:tcPr>
          <w:p w14:paraId="70FA2AEC" w14:textId="2C10C9B7" w:rsidR="00CA3C5B" w:rsidRPr="0074486D" w:rsidRDefault="00260033" w:rsidP="0074486D">
            <w:pPr>
              <w:pStyle w:val="TableColumnHeading"/>
              <w:rPr>
                <w:sz w:val="21"/>
                <w:szCs w:val="21"/>
              </w:rPr>
            </w:pPr>
            <w:r w:rsidRPr="0074486D">
              <w:rPr>
                <w:sz w:val="21"/>
                <w:szCs w:val="21"/>
              </w:rPr>
              <w:t>Unit</w:t>
            </w:r>
            <w:r w:rsidR="00932420" w:rsidRPr="0074486D">
              <w:rPr>
                <w:sz w:val="21"/>
                <w:szCs w:val="21"/>
              </w:rPr>
              <w:t xml:space="preserve"> </w:t>
            </w:r>
            <w:r w:rsidRPr="0074486D">
              <w:rPr>
                <w:sz w:val="21"/>
                <w:szCs w:val="21"/>
              </w:rPr>
              <w:t>of</w:t>
            </w:r>
            <w:r w:rsidR="00932420" w:rsidRPr="0074486D">
              <w:rPr>
                <w:sz w:val="21"/>
                <w:szCs w:val="21"/>
              </w:rPr>
              <w:t xml:space="preserve"> </w:t>
            </w:r>
            <w:r w:rsidRPr="0074486D">
              <w:rPr>
                <w:sz w:val="21"/>
                <w:szCs w:val="21"/>
              </w:rPr>
              <w:t>Measure</w:t>
            </w:r>
          </w:p>
        </w:tc>
        <w:tc>
          <w:tcPr>
            <w:tcW w:w="963" w:type="dxa"/>
          </w:tcPr>
          <w:p w14:paraId="484D9333" w14:textId="3619350E" w:rsidR="00CA3C5B" w:rsidRPr="0074486D" w:rsidRDefault="00260033" w:rsidP="00770C0E">
            <w:pPr>
              <w:pStyle w:val="TableColumnHeading"/>
              <w:jc w:val="right"/>
              <w:rPr>
                <w:sz w:val="21"/>
                <w:szCs w:val="21"/>
              </w:rPr>
            </w:pPr>
            <w:r w:rsidRPr="0074486D">
              <w:rPr>
                <w:sz w:val="21"/>
                <w:szCs w:val="21"/>
              </w:rPr>
              <w:t>2022–23</w:t>
            </w:r>
            <w:r w:rsidR="0074486D">
              <w:rPr>
                <w:sz w:val="21"/>
                <w:szCs w:val="21"/>
              </w:rPr>
              <w:t xml:space="preserve"> </w:t>
            </w:r>
            <w:r w:rsidRPr="0074486D">
              <w:rPr>
                <w:sz w:val="21"/>
                <w:szCs w:val="21"/>
              </w:rPr>
              <w:t>Actual</w:t>
            </w:r>
          </w:p>
        </w:tc>
        <w:tc>
          <w:tcPr>
            <w:tcW w:w="953" w:type="dxa"/>
          </w:tcPr>
          <w:p w14:paraId="6314E1EB" w14:textId="645E80BD" w:rsidR="00CA3C5B" w:rsidRPr="0074486D" w:rsidRDefault="00260033" w:rsidP="00770C0E">
            <w:pPr>
              <w:pStyle w:val="TableColumnHeading"/>
              <w:jc w:val="right"/>
              <w:rPr>
                <w:sz w:val="21"/>
                <w:szCs w:val="21"/>
              </w:rPr>
            </w:pPr>
            <w:r w:rsidRPr="0074486D">
              <w:rPr>
                <w:sz w:val="21"/>
                <w:szCs w:val="21"/>
              </w:rPr>
              <w:t>2022–23</w:t>
            </w:r>
            <w:r w:rsidR="00932420" w:rsidRPr="0074486D">
              <w:rPr>
                <w:sz w:val="21"/>
                <w:szCs w:val="21"/>
              </w:rPr>
              <w:t xml:space="preserve"> </w:t>
            </w:r>
            <w:r w:rsidRPr="0074486D">
              <w:rPr>
                <w:sz w:val="21"/>
                <w:szCs w:val="21"/>
              </w:rPr>
              <w:t>Target</w:t>
            </w:r>
          </w:p>
        </w:tc>
        <w:tc>
          <w:tcPr>
            <w:tcW w:w="1428" w:type="dxa"/>
          </w:tcPr>
          <w:p w14:paraId="332BDEC5" w14:textId="5ABB8B9C" w:rsidR="00CA3C5B" w:rsidRPr="0074486D" w:rsidRDefault="00260033" w:rsidP="00770C0E">
            <w:pPr>
              <w:pStyle w:val="TableColumnHeading"/>
              <w:jc w:val="right"/>
              <w:rPr>
                <w:sz w:val="21"/>
                <w:szCs w:val="21"/>
              </w:rPr>
            </w:pPr>
            <w:r w:rsidRPr="0074486D">
              <w:rPr>
                <w:sz w:val="21"/>
                <w:szCs w:val="21"/>
              </w:rPr>
              <w:t>Performance</w:t>
            </w:r>
            <w:r w:rsidR="00932420" w:rsidRPr="0074486D">
              <w:rPr>
                <w:sz w:val="21"/>
                <w:szCs w:val="21"/>
              </w:rPr>
              <w:t xml:space="preserve"> </w:t>
            </w:r>
            <w:r w:rsidRPr="0074486D">
              <w:rPr>
                <w:sz w:val="21"/>
                <w:szCs w:val="21"/>
              </w:rPr>
              <w:t>variation</w:t>
            </w:r>
            <w:r w:rsidR="00932420" w:rsidRPr="0074486D">
              <w:rPr>
                <w:sz w:val="21"/>
                <w:szCs w:val="21"/>
              </w:rPr>
              <w:t xml:space="preserve"> </w:t>
            </w:r>
            <w:r w:rsidRPr="0074486D">
              <w:rPr>
                <w:sz w:val="21"/>
                <w:szCs w:val="21"/>
              </w:rPr>
              <w:t>(%)</w:t>
            </w:r>
          </w:p>
        </w:tc>
        <w:tc>
          <w:tcPr>
            <w:tcW w:w="809" w:type="dxa"/>
          </w:tcPr>
          <w:p w14:paraId="350E02B6" w14:textId="77777777" w:rsidR="00CA3C5B" w:rsidRPr="0074486D" w:rsidRDefault="00260033" w:rsidP="00770C0E">
            <w:pPr>
              <w:pStyle w:val="TableColumnHeading"/>
              <w:jc w:val="right"/>
              <w:rPr>
                <w:sz w:val="21"/>
                <w:szCs w:val="21"/>
              </w:rPr>
            </w:pPr>
            <w:r w:rsidRPr="0074486D">
              <w:rPr>
                <w:sz w:val="21"/>
                <w:szCs w:val="21"/>
              </w:rPr>
              <w:t>Result</w:t>
            </w:r>
          </w:p>
        </w:tc>
      </w:tr>
      <w:tr w:rsidR="0074486D" w14:paraId="4508EBC5" w14:textId="77777777" w:rsidTr="00770C0E">
        <w:trPr>
          <w:cantSplit/>
        </w:trPr>
        <w:tc>
          <w:tcPr>
            <w:tcW w:w="4531" w:type="dxa"/>
          </w:tcPr>
          <w:p w14:paraId="22EC4707" w14:textId="0053F658" w:rsidR="0074486D" w:rsidRDefault="0074486D" w:rsidP="0074486D">
            <w:pPr>
              <w:pStyle w:val="TableHeading"/>
            </w:pPr>
            <w:r>
              <w:t>Quantity</w:t>
            </w:r>
          </w:p>
        </w:tc>
        <w:tc>
          <w:tcPr>
            <w:tcW w:w="1092" w:type="dxa"/>
          </w:tcPr>
          <w:p w14:paraId="5D6D8EEA" w14:textId="77777777" w:rsidR="0074486D" w:rsidRPr="0074486D" w:rsidRDefault="0074486D" w:rsidP="0074486D">
            <w:pPr>
              <w:pStyle w:val="TableCopy"/>
            </w:pPr>
          </w:p>
        </w:tc>
        <w:tc>
          <w:tcPr>
            <w:tcW w:w="963" w:type="dxa"/>
          </w:tcPr>
          <w:p w14:paraId="4F1089C3" w14:textId="77777777" w:rsidR="0074486D" w:rsidRPr="0074486D" w:rsidRDefault="0074486D" w:rsidP="00770C0E">
            <w:pPr>
              <w:pStyle w:val="TableCopy"/>
              <w:jc w:val="right"/>
            </w:pPr>
          </w:p>
        </w:tc>
        <w:tc>
          <w:tcPr>
            <w:tcW w:w="953" w:type="dxa"/>
          </w:tcPr>
          <w:p w14:paraId="4881E71D" w14:textId="77777777" w:rsidR="0074486D" w:rsidRPr="0074486D" w:rsidRDefault="0074486D" w:rsidP="00770C0E">
            <w:pPr>
              <w:pStyle w:val="TableCopy"/>
              <w:jc w:val="right"/>
            </w:pPr>
          </w:p>
        </w:tc>
        <w:tc>
          <w:tcPr>
            <w:tcW w:w="1428" w:type="dxa"/>
          </w:tcPr>
          <w:p w14:paraId="3A8C253E" w14:textId="77777777" w:rsidR="0074486D" w:rsidRPr="0074486D" w:rsidRDefault="0074486D" w:rsidP="00770C0E">
            <w:pPr>
              <w:pStyle w:val="TableCopy"/>
              <w:jc w:val="right"/>
            </w:pPr>
          </w:p>
        </w:tc>
        <w:tc>
          <w:tcPr>
            <w:tcW w:w="809" w:type="dxa"/>
          </w:tcPr>
          <w:p w14:paraId="2D7D8FF8" w14:textId="77777777" w:rsidR="0074486D" w:rsidRPr="0074486D" w:rsidRDefault="0074486D" w:rsidP="00770C0E">
            <w:pPr>
              <w:pStyle w:val="TableCopy"/>
              <w:jc w:val="right"/>
            </w:pPr>
          </w:p>
        </w:tc>
      </w:tr>
      <w:tr w:rsidR="00CA3C5B" w14:paraId="441C6345" w14:textId="77777777" w:rsidTr="00770C0E">
        <w:trPr>
          <w:cantSplit/>
        </w:trPr>
        <w:tc>
          <w:tcPr>
            <w:tcW w:w="4531" w:type="dxa"/>
          </w:tcPr>
          <w:p w14:paraId="47582731" w14:textId="53722BCA" w:rsidR="00CA3C5B" w:rsidRDefault="00260033" w:rsidP="0074486D">
            <w:pPr>
              <w:pStyle w:val="TableCopy"/>
              <w:keepNext/>
            </w:pPr>
            <w:r>
              <w:t>Community</w:t>
            </w:r>
            <w:r w:rsidR="00932420">
              <w:t xml:space="preserve"> </w:t>
            </w:r>
            <w:r>
              <w:t>and</w:t>
            </w:r>
            <w:r w:rsidR="00932420">
              <w:t xml:space="preserve"> </w:t>
            </w:r>
            <w:r>
              <w:t>stakeholder</w:t>
            </w:r>
            <w:r w:rsidR="00932420">
              <w:t xml:space="preserve"> </w:t>
            </w:r>
            <w:r>
              <w:t>engagement</w:t>
            </w:r>
            <w:r w:rsidR="00932420">
              <w:t xml:space="preserve"> </w:t>
            </w:r>
            <w:r>
              <w:t>information</w:t>
            </w:r>
            <w:r w:rsidR="00932420">
              <w:t xml:space="preserve"> </w:t>
            </w:r>
            <w:r>
              <w:t>forums</w:t>
            </w:r>
            <w:r w:rsidR="00932420">
              <w:t xml:space="preserve"> </w:t>
            </w:r>
            <w:r>
              <w:t>–</w:t>
            </w:r>
            <w:r w:rsidR="00932420">
              <w:t xml:space="preserve"> </w:t>
            </w:r>
            <w:r>
              <w:t>Fisheries</w:t>
            </w:r>
          </w:p>
        </w:tc>
        <w:tc>
          <w:tcPr>
            <w:tcW w:w="1092" w:type="dxa"/>
          </w:tcPr>
          <w:p w14:paraId="1BE4578C" w14:textId="77777777" w:rsidR="00CA3C5B" w:rsidRDefault="00260033" w:rsidP="0074486D">
            <w:pPr>
              <w:pStyle w:val="TableCopy"/>
              <w:keepNext/>
            </w:pPr>
            <w:r>
              <w:t>number</w:t>
            </w:r>
          </w:p>
        </w:tc>
        <w:tc>
          <w:tcPr>
            <w:tcW w:w="963" w:type="dxa"/>
          </w:tcPr>
          <w:p w14:paraId="21FF5A0C" w14:textId="77777777" w:rsidR="00CA3C5B" w:rsidRDefault="00260033" w:rsidP="00770C0E">
            <w:pPr>
              <w:pStyle w:val="TableCopy"/>
              <w:keepNext/>
              <w:jc w:val="right"/>
            </w:pPr>
            <w:r>
              <w:t>10</w:t>
            </w:r>
          </w:p>
        </w:tc>
        <w:tc>
          <w:tcPr>
            <w:tcW w:w="953" w:type="dxa"/>
          </w:tcPr>
          <w:p w14:paraId="5C2E3D13" w14:textId="77777777" w:rsidR="00CA3C5B" w:rsidRDefault="00260033" w:rsidP="00770C0E">
            <w:pPr>
              <w:pStyle w:val="TableCopy"/>
              <w:keepNext/>
              <w:jc w:val="right"/>
            </w:pPr>
            <w:r>
              <w:t>10</w:t>
            </w:r>
          </w:p>
        </w:tc>
        <w:tc>
          <w:tcPr>
            <w:tcW w:w="1428" w:type="dxa"/>
          </w:tcPr>
          <w:p w14:paraId="74E9DD03" w14:textId="77777777" w:rsidR="00CA3C5B" w:rsidRDefault="00260033" w:rsidP="00770C0E">
            <w:pPr>
              <w:pStyle w:val="TableCopy"/>
              <w:keepNext/>
              <w:jc w:val="right"/>
            </w:pPr>
            <w:r>
              <w:t>0.0%</w:t>
            </w:r>
          </w:p>
        </w:tc>
        <w:tc>
          <w:tcPr>
            <w:tcW w:w="809" w:type="dxa"/>
          </w:tcPr>
          <w:p w14:paraId="4AD0B77F" w14:textId="6C4CABD9" w:rsidR="00CA3C5B" w:rsidRPr="00770C0E" w:rsidRDefault="00770C0E" w:rsidP="00770C0E">
            <w:pPr>
              <w:pStyle w:val="TableCopy"/>
              <w:jc w:val="right"/>
            </w:pPr>
            <w:r w:rsidRPr="00770C0E">
              <w:t>1</w:t>
            </w:r>
          </w:p>
        </w:tc>
      </w:tr>
      <w:tr w:rsidR="00CA3C5B" w14:paraId="5919B174" w14:textId="77777777" w:rsidTr="00770C0E">
        <w:trPr>
          <w:cantSplit/>
        </w:trPr>
        <w:tc>
          <w:tcPr>
            <w:tcW w:w="4531" w:type="dxa"/>
          </w:tcPr>
          <w:p w14:paraId="101929A2" w14:textId="22A115E3" w:rsidR="00CA3C5B" w:rsidRDefault="00260033" w:rsidP="0074486D">
            <w:pPr>
              <w:pStyle w:val="TableCopy"/>
            </w:pPr>
            <w:r>
              <w:t>Complete</w:t>
            </w:r>
            <w:r w:rsidR="00932420">
              <w:t xml:space="preserve"> </w:t>
            </w:r>
            <w:r>
              <w:t>quota</w:t>
            </w:r>
            <w:r w:rsidR="00932420">
              <w:t xml:space="preserve"> </w:t>
            </w:r>
            <w:r>
              <w:t>setting</w:t>
            </w:r>
            <w:r w:rsidR="00932420">
              <w:t xml:space="preserve"> </w:t>
            </w:r>
            <w:r>
              <w:t>processes</w:t>
            </w:r>
            <w:r w:rsidR="00932420">
              <w:t xml:space="preserve"> </w:t>
            </w:r>
            <w:r>
              <w:t>for</w:t>
            </w:r>
            <w:r w:rsidR="00932420">
              <w:t xml:space="preserve"> </w:t>
            </w:r>
            <w:r>
              <w:t>key</w:t>
            </w:r>
            <w:r w:rsidR="00932420">
              <w:t xml:space="preserve"> </w:t>
            </w:r>
            <w:r>
              <w:t>quota</w:t>
            </w:r>
            <w:r w:rsidR="00932420">
              <w:t xml:space="preserve"> </w:t>
            </w:r>
            <w:r>
              <w:t>managed</w:t>
            </w:r>
            <w:r w:rsidR="00932420">
              <w:t xml:space="preserve"> </w:t>
            </w:r>
            <w:r>
              <w:t>fish</w:t>
            </w:r>
            <w:r w:rsidR="00932420">
              <w:t xml:space="preserve"> </w:t>
            </w:r>
            <w:r>
              <w:t>stocks</w:t>
            </w:r>
          </w:p>
        </w:tc>
        <w:tc>
          <w:tcPr>
            <w:tcW w:w="1092" w:type="dxa"/>
          </w:tcPr>
          <w:p w14:paraId="305EDDFB" w14:textId="77777777" w:rsidR="00CA3C5B" w:rsidRDefault="00260033" w:rsidP="0074486D">
            <w:pPr>
              <w:pStyle w:val="TableCopy"/>
            </w:pPr>
            <w:r>
              <w:t>number</w:t>
            </w:r>
          </w:p>
        </w:tc>
        <w:tc>
          <w:tcPr>
            <w:tcW w:w="963" w:type="dxa"/>
          </w:tcPr>
          <w:p w14:paraId="4276AD84" w14:textId="77777777" w:rsidR="00CA3C5B" w:rsidRDefault="00260033" w:rsidP="00770C0E">
            <w:pPr>
              <w:pStyle w:val="TableCopy"/>
              <w:jc w:val="right"/>
            </w:pPr>
            <w:r>
              <w:t>3</w:t>
            </w:r>
          </w:p>
        </w:tc>
        <w:tc>
          <w:tcPr>
            <w:tcW w:w="953" w:type="dxa"/>
          </w:tcPr>
          <w:p w14:paraId="5DEB77CB" w14:textId="77777777" w:rsidR="00CA3C5B" w:rsidRDefault="00260033" w:rsidP="00770C0E">
            <w:pPr>
              <w:pStyle w:val="TableCopy"/>
              <w:jc w:val="right"/>
            </w:pPr>
            <w:r>
              <w:t>3</w:t>
            </w:r>
          </w:p>
        </w:tc>
        <w:tc>
          <w:tcPr>
            <w:tcW w:w="1428" w:type="dxa"/>
          </w:tcPr>
          <w:p w14:paraId="2D5F9498" w14:textId="77777777" w:rsidR="00CA3C5B" w:rsidRDefault="00260033" w:rsidP="00770C0E">
            <w:pPr>
              <w:pStyle w:val="TableCopy"/>
              <w:jc w:val="right"/>
            </w:pPr>
            <w:r>
              <w:t>0.0%</w:t>
            </w:r>
          </w:p>
        </w:tc>
        <w:tc>
          <w:tcPr>
            <w:tcW w:w="809" w:type="dxa"/>
          </w:tcPr>
          <w:p w14:paraId="46D449A2" w14:textId="2B5EC191" w:rsidR="00CA3C5B" w:rsidRDefault="00770C0E" w:rsidP="00770C0E">
            <w:pPr>
              <w:pStyle w:val="TableCopy"/>
              <w:jc w:val="right"/>
            </w:pPr>
            <w:r w:rsidRPr="00770C0E">
              <w:t>1</w:t>
            </w:r>
          </w:p>
        </w:tc>
      </w:tr>
      <w:tr w:rsidR="00CA3C5B" w14:paraId="3EDC2AF2" w14:textId="77777777" w:rsidTr="00770C0E">
        <w:trPr>
          <w:cantSplit/>
        </w:trPr>
        <w:tc>
          <w:tcPr>
            <w:tcW w:w="4531" w:type="dxa"/>
          </w:tcPr>
          <w:p w14:paraId="49B994AB" w14:textId="10F010A4" w:rsidR="00CA3C5B" w:rsidRDefault="00260033" w:rsidP="0074486D">
            <w:pPr>
              <w:pStyle w:val="TableCopy"/>
            </w:pPr>
            <w:r>
              <w:t>Complete</w:t>
            </w:r>
            <w:r w:rsidR="00932420">
              <w:t xml:space="preserve"> </w:t>
            </w:r>
            <w:r>
              <w:t>stock</w:t>
            </w:r>
            <w:r w:rsidR="00932420">
              <w:t xml:space="preserve"> </w:t>
            </w:r>
            <w:r>
              <w:t>assessment</w:t>
            </w:r>
            <w:r w:rsidR="00932420">
              <w:t xml:space="preserve"> </w:t>
            </w:r>
            <w:r>
              <w:t>for</w:t>
            </w:r>
            <w:r w:rsidR="00932420">
              <w:t xml:space="preserve"> </w:t>
            </w:r>
            <w:r>
              <w:t>key</w:t>
            </w:r>
            <w:r w:rsidR="00932420">
              <w:t xml:space="preserve"> </w:t>
            </w:r>
            <w:r>
              <w:t>quota</w:t>
            </w:r>
            <w:r w:rsidR="00932420">
              <w:t xml:space="preserve"> </w:t>
            </w:r>
            <w:r>
              <w:t>managed</w:t>
            </w:r>
            <w:r w:rsidR="00932420">
              <w:t xml:space="preserve"> </w:t>
            </w:r>
            <w:r>
              <w:t>fish</w:t>
            </w:r>
            <w:r w:rsidR="00932420">
              <w:t xml:space="preserve"> </w:t>
            </w:r>
            <w:r>
              <w:t>stocks</w:t>
            </w:r>
          </w:p>
        </w:tc>
        <w:tc>
          <w:tcPr>
            <w:tcW w:w="1092" w:type="dxa"/>
          </w:tcPr>
          <w:p w14:paraId="6F8942AE" w14:textId="77777777" w:rsidR="00CA3C5B" w:rsidRDefault="00260033" w:rsidP="0074486D">
            <w:pPr>
              <w:pStyle w:val="TableCopy"/>
            </w:pPr>
            <w:r>
              <w:t>number</w:t>
            </w:r>
          </w:p>
        </w:tc>
        <w:tc>
          <w:tcPr>
            <w:tcW w:w="963" w:type="dxa"/>
          </w:tcPr>
          <w:p w14:paraId="7FCFEFE3" w14:textId="77777777" w:rsidR="00CA3C5B" w:rsidRDefault="00260033" w:rsidP="00770C0E">
            <w:pPr>
              <w:pStyle w:val="TableCopy"/>
              <w:jc w:val="right"/>
            </w:pPr>
            <w:r>
              <w:t>3</w:t>
            </w:r>
          </w:p>
        </w:tc>
        <w:tc>
          <w:tcPr>
            <w:tcW w:w="953" w:type="dxa"/>
          </w:tcPr>
          <w:p w14:paraId="6732E035" w14:textId="77777777" w:rsidR="00CA3C5B" w:rsidRDefault="00260033" w:rsidP="00770C0E">
            <w:pPr>
              <w:pStyle w:val="TableCopy"/>
              <w:jc w:val="right"/>
            </w:pPr>
            <w:r>
              <w:t>3</w:t>
            </w:r>
          </w:p>
        </w:tc>
        <w:tc>
          <w:tcPr>
            <w:tcW w:w="1428" w:type="dxa"/>
          </w:tcPr>
          <w:p w14:paraId="25D03E20" w14:textId="77777777" w:rsidR="00CA3C5B" w:rsidRDefault="00260033" w:rsidP="00770C0E">
            <w:pPr>
              <w:pStyle w:val="TableCopy"/>
              <w:jc w:val="right"/>
            </w:pPr>
            <w:r>
              <w:t>0.0%</w:t>
            </w:r>
          </w:p>
        </w:tc>
        <w:tc>
          <w:tcPr>
            <w:tcW w:w="809" w:type="dxa"/>
          </w:tcPr>
          <w:p w14:paraId="40EC288B" w14:textId="18AD9096" w:rsidR="00CA3C5B" w:rsidRDefault="00770C0E" w:rsidP="00770C0E">
            <w:pPr>
              <w:pStyle w:val="TableCopy"/>
              <w:jc w:val="right"/>
            </w:pPr>
            <w:r w:rsidRPr="00770C0E">
              <w:t>1</w:t>
            </w:r>
          </w:p>
        </w:tc>
      </w:tr>
      <w:tr w:rsidR="00CA3C5B" w14:paraId="14E77C96" w14:textId="77777777" w:rsidTr="00770C0E">
        <w:trPr>
          <w:cantSplit/>
        </w:trPr>
        <w:tc>
          <w:tcPr>
            <w:tcW w:w="4531" w:type="dxa"/>
          </w:tcPr>
          <w:p w14:paraId="1F686693" w14:textId="71CD3FAA" w:rsidR="00CA3C5B" w:rsidRDefault="00260033" w:rsidP="0074486D">
            <w:pPr>
              <w:pStyle w:val="TableCopy"/>
            </w:pPr>
            <w:r>
              <w:t>Develop,</w:t>
            </w:r>
            <w:r w:rsidR="00932420">
              <w:t xml:space="preserve"> </w:t>
            </w:r>
            <w:proofErr w:type="gramStart"/>
            <w:r>
              <w:t>implement</w:t>
            </w:r>
            <w:proofErr w:type="gramEnd"/>
            <w:r w:rsidR="00932420">
              <w:t xml:space="preserve"> </w:t>
            </w:r>
            <w:r>
              <w:t>and</w:t>
            </w:r>
            <w:r w:rsidR="00932420">
              <w:t xml:space="preserve"> </w:t>
            </w:r>
            <w:r>
              <w:t>review</w:t>
            </w:r>
            <w:r w:rsidR="00932420">
              <w:t xml:space="preserve"> </w:t>
            </w:r>
            <w:r>
              <w:t>overarching</w:t>
            </w:r>
            <w:r w:rsidR="00932420">
              <w:t xml:space="preserve"> </w:t>
            </w:r>
            <w:r>
              <w:t>fisheries</w:t>
            </w:r>
            <w:r w:rsidR="00932420">
              <w:t xml:space="preserve"> </w:t>
            </w:r>
            <w:r>
              <w:t>compliance</w:t>
            </w:r>
            <w:r w:rsidR="00932420">
              <w:t xml:space="preserve"> </w:t>
            </w:r>
            <w:r>
              <w:t>strategy</w:t>
            </w:r>
          </w:p>
        </w:tc>
        <w:tc>
          <w:tcPr>
            <w:tcW w:w="1092" w:type="dxa"/>
          </w:tcPr>
          <w:p w14:paraId="0333D505" w14:textId="77777777" w:rsidR="00CA3C5B" w:rsidRDefault="00260033" w:rsidP="0074486D">
            <w:pPr>
              <w:pStyle w:val="TableCopy"/>
            </w:pPr>
            <w:r>
              <w:t>number</w:t>
            </w:r>
          </w:p>
        </w:tc>
        <w:tc>
          <w:tcPr>
            <w:tcW w:w="963" w:type="dxa"/>
          </w:tcPr>
          <w:p w14:paraId="767FDC75" w14:textId="77777777" w:rsidR="00CA3C5B" w:rsidRDefault="00260033" w:rsidP="00770C0E">
            <w:pPr>
              <w:pStyle w:val="TableCopy"/>
              <w:jc w:val="right"/>
            </w:pPr>
            <w:r>
              <w:t>1</w:t>
            </w:r>
          </w:p>
        </w:tc>
        <w:tc>
          <w:tcPr>
            <w:tcW w:w="953" w:type="dxa"/>
          </w:tcPr>
          <w:p w14:paraId="223964D3" w14:textId="77777777" w:rsidR="00CA3C5B" w:rsidRDefault="00260033" w:rsidP="00770C0E">
            <w:pPr>
              <w:pStyle w:val="TableCopy"/>
              <w:jc w:val="right"/>
            </w:pPr>
            <w:r>
              <w:t>1</w:t>
            </w:r>
          </w:p>
        </w:tc>
        <w:tc>
          <w:tcPr>
            <w:tcW w:w="1428" w:type="dxa"/>
          </w:tcPr>
          <w:p w14:paraId="0EDDC7D9" w14:textId="77777777" w:rsidR="00CA3C5B" w:rsidRDefault="00260033" w:rsidP="00770C0E">
            <w:pPr>
              <w:pStyle w:val="TableCopy"/>
              <w:jc w:val="right"/>
            </w:pPr>
            <w:r>
              <w:t>0.0%</w:t>
            </w:r>
          </w:p>
        </w:tc>
        <w:tc>
          <w:tcPr>
            <w:tcW w:w="809" w:type="dxa"/>
          </w:tcPr>
          <w:p w14:paraId="6D489776" w14:textId="24BE9370" w:rsidR="00CA3C5B" w:rsidRDefault="00770C0E" w:rsidP="00770C0E">
            <w:pPr>
              <w:pStyle w:val="TableCopy"/>
              <w:jc w:val="right"/>
            </w:pPr>
            <w:r w:rsidRPr="00770C0E">
              <w:t>1</w:t>
            </w:r>
          </w:p>
        </w:tc>
      </w:tr>
      <w:tr w:rsidR="00CA3C5B" w14:paraId="239938E1" w14:textId="77777777" w:rsidTr="00770C0E">
        <w:trPr>
          <w:cantSplit/>
        </w:trPr>
        <w:tc>
          <w:tcPr>
            <w:tcW w:w="4531" w:type="dxa"/>
          </w:tcPr>
          <w:p w14:paraId="514B6FD6" w14:textId="77777777" w:rsidR="00CA3C5B" w:rsidRDefault="00260033" w:rsidP="0074486D">
            <w:pPr>
              <w:pStyle w:val="TableCopy"/>
            </w:pPr>
            <w:r>
              <w:t>Enhance</w:t>
            </w:r>
            <w:r w:rsidR="00932420">
              <w:t xml:space="preserve"> </w:t>
            </w:r>
            <w:r>
              <w:t>levels</w:t>
            </w:r>
            <w:r w:rsidR="00932420">
              <w:t xml:space="preserve"> </w:t>
            </w:r>
            <w:r>
              <w:t>of</w:t>
            </w:r>
            <w:r w:rsidR="00932420">
              <w:t xml:space="preserve"> </w:t>
            </w:r>
            <w:r>
              <w:t>community</w:t>
            </w:r>
            <w:r w:rsidR="00932420">
              <w:t xml:space="preserve"> </w:t>
            </w:r>
            <w:r>
              <w:t>participation</w:t>
            </w:r>
            <w:r w:rsidR="00932420">
              <w:t xml:space="preserve"> </w:t>
            </w:r>
            <w:r>
              <w:t>in</w:t>
            </w:r>
            <w:r w:rsidR="00932420">
              <w:t xml:space="preserve"> </w:t>
            </w:r>
            <w:r>
              <w:t>achieving</w:t>
            </w:r>
            <w:r w:rsidR="00932420">
              <w:t xml:space="preserve"> </w:t>
            </w:r>
            <w:r>
              <w:t>fisheries</w:t>
            </w:r>
            <w:r w:rsidR="00932420">
              <w:t xml:space="preserve"> </w:t>
            </w:r>
            <w:r>
              <w:t>compliance</w:t>
            </w:r>
            <w:r w:rsidR="00932420">
              <w:t xml:space="preserve"> </w:t>
            </w:r>
            <w:r>
              <w:t>through</w:t>
            </w:r>
            <w:r w:rsidR="00932420">
              <w:t xml:space="preserve"> </w:t>
            </w:r>
            <w:r>
              <w:t>calls</w:t>
            </w:r>
            <w:r w:rsidR="00932420">
              <w:t xml:space="preserve"> </w:t>
            </w:r>
            <w:r>
              <w:t>to</w:t>
            </w:r>
            <w:r w:rsidR="00932420">
              <w:t xml:space="preserve"> </w:t>
            </w:r>
            <w:r>
              <w:t>the</w:t>
            </w:r>
            <w:r w:rsidR="00932420">
              <w:t xml:space="preserve"> </w:t>
            </w:r>
            <w:r>
              <w:t>13FISH</w:t>
            </w:r>
            <w:r w:rsidR="00932420">
              <w:t xml:space="preserve"> </w:t>
            </w:r>
            <w:r>
              <w:t>reporting</w:t>
            </w:r>
            <w:r w:rsidR="00932420">
              <w:t xml:space="preserve"> </w:t>
            </w:r>
            <w:r>
              <w:t>line</w:t>
            </w:r>
          </w:p>
          <w:p w14:paraId="0FA33D91" w14:textId="76C637CB" w:rsidR="0074486D" w:rsidRPr="0074486D" w:rsidRDefault="0074486D" w:rsidP="0074486D">
            <w:pPr>
              <w:pStyle w:val="TableCopy"/>
              <w:rPr>
                <w:i/>
                <w:iCs/>
              </w:rPr>
            </w:pPr>
            <w:r w:rsidRPr="0074486D">
              <w:rPr>
                <w:i/>
                <w:iCs/>
              </w:rPr>
              <w:t>Lower result as call volumes can be influenced by the duration and location of major compliance operations, Fisheries Officer patrol patterns, the VFA’s increasing social media presence and subsequent education of the public of the needs for fisheries rules and regulations.</w:t>
            </w:r>
          </w:p>
        </w:tc>
        <w:tc>
          <w:tcPr>
            <w:tcW w:w="1092" w:type="dxa"/>
          </w:tcPr>
          <w:p w14:paraId="047DAA90" w14:textId="77777777" w:rsidR="00CA3C5B" w:rsidRDefault="00260033" w:rsidP="0074486D">
            <w:pPr>
              <w:pStyle w:val="TableCopy"/>
            </w:pPr>
            <w:r>
              <w:t>number</w:t>
            </w:r>
          </w:p>
        </w:tc>
        <w:tc>
          <w:tcPr>
            <w:tcW w:w="963" w:type="dxa"/>
          </w:tcPr>
          <w:p w14:paraId="64050358" w14:textId="77777777" w:rsidR="00CA3C5B" w:rsidRDefault="00260033" w:rsidP="00770C0E">
            <w:pPr>
              <w:pStyle w:val="TableCopy"/>
              <w:jc w:val="right"/>
            </w:pPr>
            <w:r>
              <w:t>1,816</w:t>
            </w:r>
          </w:p>
        </w:tc>
        <w:tc>
          <w:tcPr>
            <w:tcW w:w="953" w:type="dxa"/>
          </w:tcPr>
          <w:p w14:paraId="2F5E272E" w14:textId="77777777" w:rsidR="00CA3C5B" w:rsidRDefault="00260033" w:rsidP="00770C0E">
            <w:pPr>
              <w:pStyle w:val="TableCopy"/>
              <w:jc w:val="right"/>
            </w:pPr>
            <w:r>
              <w:t>1,950</w:t>
            </w:r>
          </w:p>
        </w:tc>
        <w:tc>
          <w:tcPr>
            <w:tcW w:w="1428" w:type="dxa"/>
          </w:tcPr>
          <w:p w14:paraId="4A11CBE1" w14:textId="77777777" w:rsidR="00CA3C5B" w:rsidRDefault="00260033" w:rsidP="00770C0E">
            <w:pPr>
              <w:pStyle w:val="TableCopy"/>
              <w:jc w:val="right"/>
            </w:pPr>
            <w:r>
              <w:t>-6.9%</w:t>
            </w:r>
          </w:p>
        </w:tc>
        <w:tc>
          <w:tcPr>
            <w:tcW w:w="809" w:type="dxa"/>
          </w:tcPr>
          <w:p w14:paraId="27C74B1C" w14:textId="6E0D1A02" w:rsidR="00CA3C5B" w:rsidRPr="00770C0E" w:rsidRDefault="00770C0E" w:rsidP="00770C0E">
            <w:pPr>
              <w:pStyle w:val="TableCopy"/>
              <w:jc w:val="right"/>
            </w:pPr>
            <w:r w:rsidRPr="00770C0E">
              <w:t>3</w:t>
            </w:r>
          </w:p>
        </w:tc>
      </w:tr>
      <w:tr w:rsidR="00CA3C5B" w14:paraId="551B7217" w14:textId="77777777" w:rsidTr="00770C0E">
        <w:trPr>
          <w:cantSplit/>
        </w:trPr>
        <w:tc>
          <w:tcPr>
            <w:tcW w:w="4531" w:type="dxa"/>
          </w:tcPr>
          <w:p w14:paraId="241B3997" w14:textId="5DC71772" w:rsidR="00CA3C5B" w:rsidRDefault="00260033" w:rsidP="0074486D">
            <w:pPr>
              <w:pStyle w:val="TableCopy"/>
            </w:pPr>
            <w:r>
              <w:t>Key</w:t>
            </w:r>
            <w:r w:rsidR="00932420">
              <w:t xml:space="preserve"> </w:t>
            </w:r>
            <w:r>
              <w:t>fisheries</w:t>
            </w:r>
            <w:r w:rsidR="00932420">
              <w:t xml:space="preserve"> </w:t>
            </w:r>
            <w:r>
              <w:t>managed</w:t>
            </w:r>
            <w:r w:rsidR="00932420">
              <w:t xml:space="preserve"> </w:t>
            </w:r>
            <w:r>
              <w:t>in</w:t>
            </w:r>
            <w:r w:rsidR="00932420">
              <w:t xml:space="preserve"> </w:t>
            </w:r>
            <w:r>
              <w:t>accordance</w:t>
            </w:r>
            <w:r w:rsidR="00932420">
              <w:t xml:space="preserve"> </w:t>
            </w:r>
            <w:r>
              <w:t>with</w:t>
            </w:r>
            <w:r w:rsidR="00932420">
              <w:t xml:space="preserve"> </w:t>
            </w:r>
            <w:r>
              <w:t>Fishery</w:t>
            </w:r>
            <w:r w:rsidR="00932420">
              <w:t xml:space="preserve"> </w:t>
            </w:r>
            <w:r>
              <w:t>Management</w:t>
            </w:r>
            <w:r w:rsidR="00932420">
              <w:t xml:space="preserve"> </w:t>
            </w:r>
            <w:r>
              <w:t>Plans</w:t>
            </w:r>
          </w:p>
        </w:tc>
        <w:tc>
          <w:tcPr>
            <w:tcW w:w="1092" w:type="dxa"/>
          </w:tcPr>
          <w:p w14:paraId="437D29DA" w14:textId="77777777" w:rsidR="00CA3C5B" w:rsidRDefault="00260033" w:rsidP="0074486D">
            <w:pPr>
              <w:pStyle w:val="TableCopy"/>
            </w:pPr>
            <w:r>
              <w:t>number</w:t>
            </w:r>
          </w:p>
        </w:tc>
        <w:tc>
          <w:tcPr>
            <w:tcW w:w="963" w:type="dxa"/>
          </w:tcPr>
          <w:p w14:paraId="33BB5B6D" w14:textId="77777777" w:rsidR="00CA3C5B" w:rsidRDefault="00260033" w:rsidP="00770C0E">
            <w:pPr>
              <w:pStyle w:val="TableCopy"/>
              <w:jc w:val="right"/>
            </w:pPr>
            <w:r>
              <w:t>6</w:t>
            </w:r>
          </w:p>
        </w:tc>
        <w:tc>
          <w:tcPr>
            <w:tcW w:w="953" w:type="dxa"/>
          </w:tcPr>
          <w:p w14:paraId="35AF2629" w14:textId="77777777" w:rsidR="00CA3C5B" w:rsidRDefault="00260033" w:rsidP="00770C0E">
            <w:pPr>
              <w:pStyle w:val="TableCopy"/>
              <w:jc w:val="right"/>
            </w:pPr>
            <w:r>
              <w:t>6</w:t>
            </w:r>
          </w:p>
        </w:tc>
        <w:tc>
          <w:tcPr>
            <w:tcW w:w="1428" w:type="dxa"/>
          </w:tcPr>
          <w:p w14:paraId="1B57CA43" w14:textId="77777777" w:rsidR="00CA3C5B" w:rsidRDefault="00260033" w:rsidP="00770C0E">
            <w:pPr>
              <w:pStyle w:val="TableCopy"/>
              <w:jc w:val="right"/>
            </w:pPr>
            <w:r>
              <w:t>0.0%</w:t>
            </w:r>
          </w:p>
        </w:tc>
        <w:tc>
          <w:tcPr>
            <w:tcW w:w="809" w:type="dxa"/>
          </w:tcPr>
          <w:p w14:paraId="11F73E3D" w14:textId="11C36C9E" w:rsidR="00CA3C5B" w:rsidRDefault="00770C0E" w:rsidP="00770C0E">
            <w:pPr>
              <w:pStyle w:val="TableCopy"/>
              <w:jc w:val="right"/>
            </w:pPr>
            <w:r w:rsidRPr="00770C0E">
              <w:t>1</w:t>
            </w:r>
          </w:p>
        </w:tc>
      </w:tr>
      <w:tr w:rsidR="00CA3C5B" w14:paraId="2760DA22" w14:textId="77777777" w:rsidTr="00770C0E">
        <w:trPr>
          <w:cantSplit/>
        </w:trPr>
        <w:tc>
          <w:tcPr>
            <w:tcW w:w="4531" w:type="dxa"/>
          </w:tcPr>
          <w:p w14:paraId="3E97F8AC" w14:textId="77777777" w:rsidR="00CA3C5B" w:rsidRDefault="00260033" w:rsidP="0074486D">
            <w:pPr>
              <w:pStyle w:val="TableCopy"/>
            </w:pPr>
            <w:r>
              <w:t>Minimum</w:t>
            </w:r>
            <w:r w:rsidR="00932420">
              <w:t xml:space="preserve"> </w:t>
            </w:r>
            <w:r>
              <w:t>uniformed</w:t>
            </w:r>
            <w:r w:rsidR="00932420">
              <w:t xml:space="preserve"> </w:t>
            </w:r>
            <w:r>
              <w:t>fisheries</w:t>
            </w:r>
            <w:r w:rsidR="00932420">
              <w:t xml:space="preserve"> </w:t>
            </w:r>
            <w:r>
              <w:t>officers</w:t>
            </w:r>
            <w:r w:rsidR="00932420">
              <w:t xml:space="preserve"> </w:t>
            </w:r>
            <w:r>
              <w:t>maintaining</w:t>
            </w:r>
            <w:r w:rsidR="00932420">
              <w:t xml:space="preserve"> </w:t>
            </w:r>
            <w:r>
              <w:t>operational</w:t>
            </w:r>
            <w:r w:rsidR="00932420">
              <w:t xml:space="preserve"> </w:t>
            </w:r>
            <w:r>
              <w:t>coverage</w:t>
            </w:r>
            <w:r w:rsidR="00932420">
              <w:t xml:space="preserve"> </w:t>
            </w:r>
            <w:r>
              <w:t>during</w:t>
            </w:r>
            <w:r w:rsidR="00932420">
              <w:t xml:space="preserve"> </w:t>
            </w:r>
            <w:r>
              <w:t>priority</w:t>
            </w:r>
            <w:r w:rsidR="00932420">
              <w:t xml:space="preserve"> </w:t>
            </w:r>
            <w:r>
              <w:t>fishing</w:t>
            </w:r>
            <w:r w:rsidR="00932420">
              <w:t xml:space="preserve"> </w:t>
            </w:r>
            <w:r>
              <w:t>periods</w:t>
            </w:r>
          </w:p>
          <w:p w14:paraId="18F4C495" w14:textId="17A0F2FE" w:rsidR="0074486D" w:rsidRPr="0074486D" w:rsidRDefault="0074486D" w:rsidP="0074486D">
            <w:pPr>
              <w:pStyle w:val="TableCopy"/>
              <w:rPr>
                <w:i/>
                <w:iCs/>
              </w:rPr>
            </w:pPr>
            <w:r w:rsidRPr="0074486D">
              <w:rPr>
                <w:i/>
                <w:iCs/>
              </w:rPr>
              <w:t>Lower result due to existing VFA staff vacancies and extensive flood response assistance provided by VFA staff through 2022–23.</w:t>
            </w:r>
          </w:p>
        </w:tc>
        <w:tc>
          <w:tcPr>
            <w:tcW w:w="1092" w:type="dxa"/>
          </w:tcPr>
          <w:p w14:paraId="01265502" w14:textId="77777777" w:rsidR="00CA3C5B" w:rsidRDefault="00260033" w:rsidP="0074486D">
            <w:pPr>
              <w:pStyle w:val="TableCopy"/>
            </w:pPr>
            <w:r>
              <w:t>number</w:t>
            </w:r>
          </w:p>
        </w:tc>
        <w:tc>
          <w:tcPr>
            <w:tcW w:w="963" w:type="dxa"/>
          </w:tcPr>
          <w:p w14:paraId="3697EF24" w14:textId="77777777" w:rsidR="00CA3C5B" w:rsidRDefault="00260033" w:rsidP="00770C0E">
            <w:pPr>
              <w:pStyle w:val="TableCopy"/>
              <w:jc w:val="right"/>
            </w:pPr>
            <w:r>
              <w:t>19</w:t>
            </w:r>
          </w:p>
        </w:tc>
        <w:tc>
          <w:tcPr>
            <w:tcW w:w="953" w:type="dxa"/>
          </w:tcPr>
          <w:p w14:paraId="7DBE0181" w14:textId="77777777" w:rsidR="00CA3C5B" w:rsidRDefault="00260033" w:rsidP="00770C0E">
            <w:pPr>
              <w:pStyle w:val="TableCopy"/>
              <w:jc w:val="right"/>
            </w:pPr>
            <w:r>
              <w:t>20</w:t>
            </w:r>
          </w:p>
        </w:tc>
        <w:tc>
          <w:tcPr>
            <w:tcW w:w="1428" w:type="dxa"/>
          </w:tcPr>
          <w:p w14:paraId="7D4CBDD3" w14:textId="77777777" w:rsidR="00CA3C5B" w:rsidRDefault="00260033" w:rsidP="00770C0E">
            <w:pPr>
              <w:pStyle w:val="TableCopy"/>
              <w:jc w:val="right"/>
            </w:pPr>
            <w:r>
              <w:t>-5.0%</w:t>
            </w:r>
          </w:p>
        </w:tc>
        <w:tc>
          <w:tcPr>
            <w:tcW w:w="809" w:type="dxa"/>
          </w:tcPr>
          <w:p w14:paraId="041B538C" w14:textId="16747896" w:rsidR="00CA3C5B" w:rsidRDefault="00770C0E" w:rsidP="00770C0E">
            <w:pPr>
              <w:pStyle w:val="TableCopy"/>
              <w:jc w:val="right"/>
            </w:pPr>
            <w:r w:rsidRPr="00770C0E">
              <w:t>3</w:t>
            </w:r>
          </w:p>
        </w:tc>
      </w:tr>
      <w:tr w:rsidR="00CA3C5B" w14:paraId="35D78577" w14:textId="77777777" w:rsidTr="00770C0E">
        <w:trPr>
          <w:cantSplit/>
        </w:trPr>
        <w:tc>
          <w:tcPr>
            <w:tcW w:w="4531" w:type="dxa"/>
          </w:tcPr>
          <w:p w14:paraId="268B3746" w14:textId="77777777" w:rsidR="00CA3C5B" w:rsidRDefault="00260033" w:rsidP="0074486D">
            <w:pPr>
              <w:pStyle w:val="TableCopy"/>
            </w:pPr>
            <w:r>
              <w:lastRenderedPageBreak/>
              <w:t>Native</w:t>
            </w:r>
            <w:r w:rsidR="00932420">
              <w:t xml:space="preserve"> </w:t>
            </w:r>
            <w:r>
              <w:t>and</w:t>
            </w:r>
            <w:r w:rsidR="00932420">
              <w:t xml:space="preserve"> </w:t>
            </w:r>
            <w:r>
              <w:t>salmonid</w:t>
            </w:r>
            <w:r w:rsidR="00932420">
              <w:t xml:space="preserve"> </w:t>
            </w:r>
            <w:r>
              <w:t>fish</w:t>
            </w:r>
            <w:r w:rsidR="00932420">
              <w:t xml:space="preserve"> </w:t>
            </w:r>
            <w:r>
              <w:t>stocked</w:t>
            </w:r>
          </w:p>
          <w:p w14:paraId="72B2A341" w14:textId="71CEA363" w:rsidR="0074486D" w:rsidRPr="0074486D" w:rsidRDefault="0074486D" w:rsidP="0074486D">
            <w:pPr>
              <w:pStyle w:val="TableCopy"/>
              <w:rPr>
                <w:i/>
                <w:iCs/>
              </w:rPr>
            </w:pPr>
            <w:r w:rsidRPr="0074486D">
              <w:rPr>
                <w:i/>
                <w:iCs/>
              </w:rPr>
              <w:t>Lower result as the fish production year was impacted by unseasonal cold conditions and the state-wide floods that occurred in the spring/summer of 2022–23. These conditions impacted the breeding ability of fish from VFA and private hatcheries and therefore fish availability for stocking into public waters.</w:t>
            </w:r>
          </w:p>
        </w:tc>
        <w:tc>
          <w:tcPr>
            <w:tcW w:w="1092" w:type="dxa"/>
          </w:tcPr>
          <w:p w14:paraId="4A2DEB86" w14:textId="36979D03" w:rsidR="00CA3C5B" w:rsidRDefault="0074486D" w:rsidP="0074486D">
            <w:pPr>
              <w:pStyle w:val="TableCopy"/>
            </w:pPr>
            <w:r>
              <w:t>N</w:t>
            </w:r>
            <w:r w:rsidR="00260033">
              <w:t>umber</w:t>
            </w:r>
            <w:r>
              <w:t xml:space="preserve"> </w:t>
            </w:r>
            <w:r w:rsidR="00260033">
              <w:t>(000)</w:t>
            </w:r>
          </w:p>
        </w:tc>
        <w:tc>
          <w:tcPr>
            <w:tcW w:w="963" w:type="dxa"/>
          </w:tcPr>
          <w:p w14:paraId="5EB157B5" w14:textId="77777777" w:rsidR="00CA3C5B" w:rsidRDefault="00260033" w:rsidP="00770C0E">
            <w:pPr>
              <w:pStyle w:val="TableCopy"/>
              <w:jc w:val="right"/>
            </w:pPr>
            <w:r>
              <w:t>8,016</w:t>
            </w:r>
          </w:p>
        </w:tc>
        <w:tc>
          <w:tcPr>
            <w:tcW w:w="953" w:type="dxa"/>
          </w:tcPr>
          <w:p w14:paraId="547EA766" w14:textId="77777777" w:rsidR="00CA3C5B" w:rsidRDefault="00260033" w:rsidP="00770C0E">
            <w:pPr>
              <w:pStyle w:val="TableCopy"/>
              <w:jc w:val="right"/>
            </w:pPr>
            <w:r>
              <w:t>10,000</w:t>
            </w:r>
          </w:p>
        </w:tc>
        <w:tc>
          <w:tcPr>
            <w:tcW w:w="1428" w:type="dxa"/>
          </w:tcPr>
          <w:p w14:paraId="19E8DC6F" w14:textId="77777777" w:rsidR="00CA3C5B" w:rsidRDefault="00260033" w:rsidP="00770C0E">
            <w:pPr>
              <w:pStyle w:val="TableCopy"/>
              <w:jc w:val="right"/>
            </w:pPr>
            <w:r>
              <w:t>-19.8%</w:t>
            </w:r>
          </w:p>
        </w:tc>
        <w:tc>
          <w:tcPr>
            <w:tcW w:w="809" w:type="dxa"/>
          </w:tcPr>
          <w:p w14:paraId="155D42C7" w14:textId="5483BA58" w:rsidR="00CA3C5B" w:rsidRDefault="00770C0E" w:rsidP="00770C0E">
            <w:pPr>
              <w:pStyle w:val="TableCopy"/>
              <w:jc w:val="right"/>
            </w:pPr>
            <w:r w:rsidRPr="00770C0E">
              <w:t>3</w:t>
            </w:r>
          </w:p>
        </w:tc>
      </w:tr>
      <w:tr w:rsidR="00CA3C5B" w14:paraId="3FAC6413" w14:textId="77777777" w:rsidTr="00770C0E">
        <w:trPr>
          <w:cantSplit/>
        </w:trPr>
        <w:tc>
          <w:tcPr>
            <w:tcW w:w="4531" w:type="dxa"/>
          </w:tcPr>
          <w:p w14:paraId="453B71DC" w14:textId="6EED59E7" w:rsidR="00CA3C5B" w:rsidRDefault="00260033" w:rsidP="0074486D">
            <w:pPr>
              <w:pStyle w:val="TableCopy"/>
            </w:pPr>
            <w:r>
              <w:t>Recreational</w:t>
            </w:r>
            <w:r w:rsidR="00932420">
              <w:t xml:space="preserve"> </w:t>
            </w:r>
            <w:r>
              <w:t>boating</w:t>
            </w:r>
            <w:r w:rsidR="00932420">
              <w:t xml:space="preserve"> </w:t>
            </w:r>
            <w:r>
              <w:t>and</w:t>
            </w:r>
            <w:r w:rsidR="00932420">
              <w:t xml:space="preserve"> </w:t>
            </w:r>
            <w:r>
              <w:t>fishing</w:t>
            </w:r>
            <w:r w:rsidR="00932420">
              <w:t xml:space="preserve"> </w:t>
            </w:r>
            <w:r>
              <w:t>infrastructure</w:t>
            </w:r>
            <w:r w:rsidR="00932420">
              <w:t xml:space="preserve"> </w:t>
            </w:r>
            <w:r>
              <w:t>improvements</w:t>
            </w:r>
            <w:r w:rsidR="00932420">
              <w:t xml:space="preserve"> </w:t>
            </w:r>
            <w:r>
              <w:t>delivered</w:t>
            </w:r>
          </w:p>
        </w:tc>
        <w:tc>
          <w:tcPr>
            <w:tcW w:w="1092" w:type="dxa"/>
          </w:tcPr>
          <w:p w14:paraId="148BD194" w14:textId="77777777" w:rsidR="00CA3C5B" w:rsidRDefault="00260033" w:rsidP="0074486D">
            <w:pPr>
              <w:pStyle w:val="TableCopy"/>
            </w:pPr>
            <w:r>
              <w:t>number</w:t>
            </w:r>
          </w:p>
        </w:tc>
        <w:tc>
          <w:tcPr>
            <w:tcW w:w="963" w:type="dxa"/>
          </w:tcPr>
          <w:p w14:paraId="52F3C746" w14:textId="77777777" w:rsidR="00CA3C5B" w:rsidRDefault="00260033" w:rsidP="00770C0E">
            <w:pPr>
              <w:pStyle w:val="TableCopy"/>
              <w:jc w:val="right"/>
            </w:pPr>
            <w:r>
              <w:t>3</w:t>
            </w:r>
          </w:p>
        </w:tc>
        <w:tc>
          <w:tcPr>
            <w:tcW w:w="953" w:type="dxa"/>
          </w:tcPr>
          <w:p w14:paraId="6D309E38" w14:textId="77777777" w:rsidR="00CA3C5B" w:rsidRDefault="00260033" w:rsidP="00770C0E">
            <w:pPr>
              <w:pStyle w:val="TableCopy"/>
              <w:jc w:val="right"/>
            </w:pPr>
            <w:r>
              <w:t>3</w:t>
            </w:r>
          </w:p>
        </w:tc>
        <w:tc>
          <w:tcPr>
            <w:tcW w:w="1428" w:type="dxa"/>
          </w:tcPr>
          <w:p w14:paraId="7D32C9B8" w14:textId="77777777" w:rsidR="00CA3C5B" w:rsidRDefault="00260033" w:rsidP="00770C0E">
            <w:pPr>
              <w:pStyle w:val="TableCopy"/>
              <w:jc w:val="right"/>
            </w:pPr>
            <w:r>
              <w:t>0.0%</w:t>
            </w:r>
          </w:p>
        </w:tc>
        <w:tc>
          <w:tcPr>
            <w:tcW w:w="809" w:type="dxa"/>
          </w:tcPr>
          <w:p w14:paraId="20718FF5" w14:textId="2CB9B910" w:rsidR="00CA3C5B" w:rsidRDefault="00770C0E" w:rsidP="00770C0E">
            <w:pPr>
              <w:pStyle w:val="TableCopy"/>
              <w:jc w:val="right"/>
            </w:pPr>
            <w:r w:rsidRPr="00770C0E">
              <w:t>1</w:t>
            </w:r>
          </w:p>
        </w:tc>
      </w:tr>
      <w:tr w:rsidR="0074486D" w14:paraId="65566595" w14:textId="77777777" w:rsidTr="00770C0E">
        <w:trPr>
          <w:cantSplit/>
        </w:trPr>
        <w:tc>
          <w:tcPr>
            <w:tcW w:w="4531" w:type="dxa"/>
          </w:tcPr>
          <w:p w14:paraId="72475882" w14:textId="0BEB314D" w:rsidR="0074486D" w:rsidRDefault="0074486D" w:rsidP="0074486D">
            <w:pPr>
              <w:pStyle w:val="TableHeading"/>
            </w:pPr>
            <w:r>
              <w:t>Quality</w:t>
            </w:r>
          </w:p>
        </w:tc>
        <w:tc>
          <w:tcPr>
            <w:tcW w:w="1092" w:type="dxa"/>
          </w:tcPr>
          <w:p w14:paraId="361B7321" w14:textId="77777777" w:rsidR="0074486D" w:rsidRPr="0074486D" w:rsidRDefault="0074486D" w:rsidP="0074486D">
            <w:pPr>
              <w:pStyle w:val="TableCopy"/>
            </w:pPr>
          </w:p>
        </w:tc>
        <w:tc>
          <w:tcPr>
            <w:tcW w:w="963" w:type="dxa"/>
          </w:tcPr>
          <w:p w14:paraId="561C9539" w14:textId="77777777" w:rsidR="0074486D" w:rsidRPr="0074486D" w:rsidRDefault="0074486D" w:rsidP="00770C0E">
            <w:pPr>
              <w:pStyle w:val="TableCopy"/>
              <w:jc w:val="right"/>
            </w:pPr>
          </w:p>
        </w:tc>
        <w:tc>
          <w:tcPr>
            <w:tcW w:w="953" w:type="dxa"/>
          </w:tcPr>
          <w:p w14:paraId="21959C8D" w14:textId="77777777" w:rsidR="0074486D" w:rsidRPr="0074486D" w:rsidRDefault="0074486D" w:rsidP="00770C0E">
            <w:pPr>
              <w:pStyle w:val="TableCopy"/>
              <w:jc w:val="right"/>
            </w:pPr>
          </w:p>
        </w:tc>
        <w:tc>
          <w:tcPr>
            <w:tcW w:w="1428" w:type="dxa"/>
          </w:tcPr>
          <w:p w14:paraId="03A395D5" w14:textId="77777777" w:rsidR="0074486D" w:rsidRPr="0074486D" w:rsidRDefault="0074486D" w:rsidP="00770C0E">
            <w:pPr>
              <w:pStyle w:val="TableCopy"/>
              <w:jc w:val="right"/>
            </w:pPr>
          </w:p>
        </w:tc>
        <w:tc>
          <w:tcPr>
            <w:tcW w:w="809" w:type="dxa"/>
          </w:tcPr>
          <w:p w14:paraId="35B7C03B" w14:textId="77777777" w:rsidR="0074486D" w:rsidRPr="0074486D" w:rsidRDefault="0074486D" w:rsidP="00770C0E">
            <w:pPr>
              <w:pStyle w:val="TableCopy"/>
              <w:jc w:val="right"/>
            </w:pPr>
          </w:p>
        </w:tc>
      </w:tr>
      <w:tr w:rsidR="00CA3C5B" w14:paraId="73E04B92" w14:textId="77777777" w:rsidTr="00770C0E">
        <w:trPr>
          <w:cantSplit/>
        </w:trPr>
        <w:tc>
          <w:tcPr>
            <w:tcW w:w="4531" w:type="dxa"/>
          </w:tcPr>
          <w:p w14:paraId="302FB8D9" w14:textId="4AAADD6B" w:rsidR="00CA3C5B" w:rsidRDefault="00260033" w:rsidP="0074486D">
            <w:pPr>
              <w:pStyle w:val="TableCopy"/>
            </w:pPr>
            <w:r>
              <w:t>Key</w:t>
            </w:r>
            <w:r w:rsidR="00932420">
              <w:t xml:space="preserve"> </w:t>
            </w:r>
            <w:r>
              <w:t>statutory</w:t>
            </w:r>
            <w:r w:rsidR="00932420">
              <w:t xml:space="preserve"> </w:t>
            </w:r>
            <w:r>
              <w:t>obligations</w:t>
            </w:r>
            <w:r w:rsidR="00932420">
              <w:t xml:space="preserve"> </w:t>
            </w:r>
            <w:r>
              <w:t>relevant</w:t>
            </w:r>
            <w:r w:rsidR="00932420">
              <w:t xml:space="preserve"> </w:t>
            </w:r>
            <w:r>
              <w:t>to</w:t>
            </w:r>
            <w:r w:rsidR="00932420">
              <w:t xml:space="preserve"> </w:t>
            </w:r>
            <w:r>
              <w:t>the</w:t>
            </w:r>
            <w:r w:rsidR="00932420">
              <w:t xml:space="preserve"> </w:t>
            </w:r>
            <w:r>
              <w:t>Game</w:t>
            </w:r>
            <w:r w:rsidR="00932420">
              <w:t xml:space="preserve"> </w:t>
            </w:r>
            <w:r>
              <w:t>Management</w:t>
            </w:r>
            <w:r w:rsidR="00932420">
              <w:t xml:space="preserve"> </w:t>
            </w:r>
            <w:r>
              <w:t>Authority</w:t>
            </w:r>
            <w:r w:rsidR="00932420">
              <w:t xml:space="preserve"> </w:t>
            </w:r>
            <w:r>
              <w:t>complied</w:t>
            </w:r>
            <w:r w:rsidR="00932420">
              <w:t xml:space="preserve"> </w:t>
            </w:r>
            <w:r>
              <w:t>with</w:t>
            </w:r>
            <w:r w:rsidR="00932420">
              <w:t xml:space="preserve"> </w:t>
            </w:r>
            <w:r>
              <w:t>(tabling</w:t>
            </w:r>
            <w:r w:rsidR="00932420">
              <w:t xml:space="preserve"> </w:t>
            </w:r>
            <w:r>
              <w:t>annual</w:t>
            </w:r>
            <w:r w:rsidR="00932420">
              <w:t xml:space="preserve"> </w:t>
            </w:r>
            <w:r>
              <w:t>report,</w:t>
            </w:r>
            <w:r w:rsidR="00932420">
              <w:t xml:space="preserve"> </w:t>
            </w:r>
            <w:r>
              <w:t>audits,</w:t>
            </w:r>
            <w:r w:rsidR="00932420">
              <w:t xml:space="preserve"> </w:t>
            </w:r>
            <w:r>
              <w:t>business</w:t>
            </w:r>
            <w:r w:rsidR="00932420">
              <w:t xml:space="preserve"> </w:t>
            </w:r>
            <w:r>
              <w:t>plan</w:t>
            </w:r>
            <w:r w:rsidR="00932420">
              <w:t xml:space="preserve"> </w:t>
            </w:r>
            <w:r>
              <w:t>and</w:t>
            </w:r>
            <w:r w:rsidR="00932420">
              <w:t xml:space="preserve"> </w:t>
            </w:r>
            <w:r>
              <w:t>board</w:t>
            </w:r>
            <w:r w:rsidR="00932420">
              <w:t xml:space="preserve"> </w:t>
            </w:r>
            <w:r>
              <w:t>appointments)</w:t>
            </w:r>
          </w:p>
        </w:tc>
        <w:tc>
          <w:tcPr>
            <w:tcW w:w="1092" w:type="dxa"/>
          </w:tcPr>
          <w:p w14:paraId="31D32597" w14:textId="66603857" w:rsidR="00CA3C5B" w:rsidRDefault="00260033" w:rsidP="0074486D">
            <w:pPr>
              <w:pStyle w:val="TableCopy"/>
            </w:pPr>
            <w:r>
              <w:t>per</w:t>
            </w:r>
            <w:r w:rsidR="00932420">
              <w:t xml:space="preserve"> </w:t>
            </w:r>
            <w:r>
              <w:t>cent</w:t>
            </w:r>
          </w:p>
        </w:tc>
        <w:tc>
          <w:tcPr>
            <w:tcW w:w="963" w:type="dxa"/>
          </w:tcPr>
          <w:p w14:paraId="0C55D3A5" w14:textId="77777777" w:rsidR="00CA3C5B" w:rsidRDefault="00260033" w:rsidP="00770C0E">
            <w:pPr>
              <w:pStyle w:val="TableCopy"/>
              <w:jc w:val="right"/>
            </w:pPr>
            <w:r>
              <w:t>100</w:t>
            </w:r>
          </w:p>
        </w:tc>
        <w:tc>
          <w:tcPr>
            <w:tcW w:w="953" w:type="dxa"/>
          </w:tcPr>
          <w:p w14:paraId="53A526D9" w14:textId="77777777" w:rsidR="00CA3C5B" w:rsidRDefault="00260033" w:rsidP="00770C0E">
            <w:pPr>
              <w:pStyle w:val="TableCopy"/>
              <w:jc w:val="right"/>
            </w:pPr>
            <w:r>
              <w:t>100</w:t>
            </w:r>
          </w:p>
        </w:tc>
        <w:tc>
          <w:tcPr>
            <w:tcW w:w="1428" w:type="dxa"/>
          </w:tcPr>
          <w:p w14:paraId="01D03EBC" w14:textId="77777777" w:rsidR="00CA3C5B" w:rsidRDefault="00260033" w:rsidP="00770C0E">
            <w:pPr>
              <w:pStyle w:val="TableCopy"/>
              <w:jc w:val="right"/>
            </w:pPr>
            <w:r>
              <w:t>0.0%</w:t>
            </w:r>
          </w:p>
        </w:tc>
        <w:tc>
          <w:tcPr>
            <w:tcW w:w="809" w:type="dxa"/>
          </w:tcPr>
          <w:p w14:paraId="2D0354FD" w14:textId="73DE8E71" w:rsidR="00CA3C5B" w:rsidRDefault="00770C0E" w:rsidP="00770C0E">
            <w:pPr>
              <w:pStyle w:val="TableCopy"/>
              <w:jc w:val="right"/>
            </w:pPr>
            <w:r w:rsidRPr="00770C0E">
              <w:t>1</w:t>
            </w:r>
          </w:p>
        </w:tc>
      </w:tr>
      <w:tr w:rsidR="00CA3C5B" w14:paraId="461D0A05" w14:textId="77777777" w:rsidTr="00770C0E">
        <w:trPr>
          <w:cantSplit/>
        </w:trPr>
        <w:tc>
          <w:tcPr>
            <w:tcW w:w="4531" w:type="dxa"/>
          </w:tcPr>
          <w:p w14:paraId="7EC012D3" w14:textId="15632F2B" w:rsidR="00CA3C5B" w:rsidRDefault="00260033" w:rsidP="0074486D">
            <w:pPr>
              <w:pStyle w:val="TableCopy"/>
            </w:pPr>
            <w:r>
              <w:t>Key</w:t>
            </w:r>
            <w:r w:rsidR="00932420">
              <w:t xml:space="preserve"> </w:t>
            </w:r>
            <w:r>
              <w:t>statutory</w:t>
            </w:r>
            <w:r w:rsidR="00932420">
              <w:t xml:space="preserve"> </w:t>
            </w:r>
            <w:r>
              <w:t>obligations</w:t>
            </w:r>
            <w:r w:rsidR="00932420">
              <w:t xml:space="preserve"> </w:t>
            </w:r>
            <w:r>
              <w:t>relevant</w:t>
            </w:r>
            <w:r w:rsidR="00932420">
              <w:t xml:space="preserve"> </w:t>
            </w:r>
            <w:r>
              <w:t>to</w:t>
            </w:r>
            <w:r w:rsidR="00932420">
              <w:t xml:space="preserve"> </w:t>
            </w:r>
            <w:r>
              <w:t>the</w:t>
            </w:r>
            <w:r w:rsidR="00932420">
              <w:t xml:space="preserve"> </w:t>
            </w:r>
            <w:r>
              <w:t>Victorian</w:t>
            </w:r>
            <w:r w:rsidR="00932420">
              <w:t xml:space="preserve"> </w:t>
            </w:r>
            <w:r>
              <w:t>Fisheries</w:t>
            </w:r>
            <w:r w:rsidR="00932420">
              <w:t xml:space="preserve"> </w:t>
            </w:r>
            <w:r>
              <w:t>Authority</w:t>
            </w:r>
            <w:r w:rsidR="00932420">
              <w:t xml:space="preserve"> </w:t>
            </w:r>
            <w:r>
              <w:t>complied</w:t>
            </w:r>
            <w:r w:rsidR="00932420">
              <w:t xml:space="preserve"> </w:t>
            </w:r>
            <w:r>
              <w:t>with</w:t>
            </w:r>
            <w:r w:rsidR="00932420">
              <w:t xml:space="preserve"> </w:t>
            </w:r>
            <w:r>
              <w:t>(tabling</w:t>
            </w:r>
            <w:r w:rsidR="00932420">
              <w:t xml:space="preserve"> </w:t>
            </w:r>
            <w:r>
              <w:t>annual</w:t>
            </w:r>
            <w:r w:rsidR="00932420">
              <w:t xml:space="preserve"> </w:t>
            </w:r>
            <w:r>
              <w:t>report,</w:t>
            </w:r>
            <w:r w:rsidR="00932420">
              <w:t xml:space="preserve"> </w:t>
            </w:r>
            <w:r>
              <w:t>audits,</w:t>
            </w:r>
            <w:r w:rsidR="00932420">
              <w:t xml:space="preserve"> </w:t>
            </w:r>
            <w:r>
              <w:t>business</w:t>
            </w:r>
            <w:r w:rsidR="00932420">
              <w:t xml:space="preserve"> </w:t>
            </w:r>
            <w:r>
              <w:t>plan</w:t>
            </w:r>
            <w:r w:rsidR="00932420">
              <w:t xml:space="preserve"> </w:t>
            </w:r>
            <w:r>
              <w:t>and</w:t>
            </w:r>
            <w:r w:rsidR="00932420">
              <w:t xml:space="preserve"> </w:t>
            </w:r>
            <w:r>
              <w:t>board</w:t>
            </w:r>
            <w:r w:rsidR="00932420">
              <w:t xml:space="preserve"> </w:t>
            </w:r>
            <w:r>
              <w:t>appointments)</w:t>
            </w:r>
          </w:p>
        </w:tc>
        <w:tc>
          <w:tcPr>
            <w:tcW w:w="1092" w:type="dxa"/>
          </w:tcPr>
          <w:p w14:paraId="299F3359" w14:textId="5E4F662A" w:rsidR="00CA3C5B" w:rsidRDefault="00260033" w:rsidP="0074486D">
            <w:pPr>
              <w:pStyle w:val="TableCopy"/>
            </w:pPr>
            <w:r>
              <w:t>per</w:t>
            </w:r>
            <w:r w:rsidR="00932420">
              <w:t xml:space="preserve"> </w:t>
            </w:r>
            <w:r>
              <w:t>cent</w:t>
            </w:r>
          </w:p>
        </w:tc>
        <w:tc>
          <w:tcPr>
            <w:tcW w:w="963" w:type="dxa"/>
          </w:tcPr>
          <w:p w14:paraId="5B819933" w14:textId="77777777" w:rsidR="00CA3C5B" w:rsidRDefault="00260033" w:rsidP="00770C0E">
            <w:pPr>
              <w:pStyle w:val="TableCopy"/>
              <w:jc w:val="right"/>
            </w:pPr>
            <w:r>
              <w:t>100</w:t>
            </w:r>
          </w:p>
        </w:tc>
        <w:tc>
          <w:tcPr>
            <w:tcW w:w="953" w:type="dxa"/>
          </w:tcPr>
          <w:p w14:paraId="15DF1864" w14:textId="77777777" w:rsidR="00CA3C5B" w:rsidRDefault="00260033" w:rsidP="00770C0E">
            <w:pPr>
              <w:pStyle w:val="TableCopy"/>
              <w:jc w:val="right"/>
            </w:pPr>
            <w:r>
              <w:t>100</w:t>
            </w:r>
          </w:p>
        </w:tc>
        <w:tc>
          <w:tcPr>
            <w:tcW w:w="1428" w:type="dxa"/>
          </w:tcPr>
          <w:p w14:paraId="2AB76628" w14:textId="77777777" w:rsidR="00CA3C5B" w:rsidRDefault="00260033" w:rsidP="00770C0E">
            <w:pPr>
              <w:pStyle w:val="TableCopy"/>
              <w:jc w:val="right"/>
            </w:pPr>
            <w:r>
              <w:t>0.0%</w:t>
            </w:r>
          </w:p>
        </w:tc>
        <w:tc>
          <w:tcPr>
            <w:tcW w:w="809" w:type="dxa"/>
          </w:tcPr>
          <w:p w14:paraId="58D6DE5A" w14:textId="2131DE4B" w:rsidR="00CA3C5B" w:rsidRDefault="00770C0E" w:rsidP="00770C0E">
            <w:pPr>
              <w:pStyle w:val="TableCopy"/>
              <w:jc w:val="right"/>
            </w:pPr>
            <w:r w:rsidRPr="00770C0E">
              <w:t>1</w:t>
            </w:r>
          </w:p>
        </w:tc>
      </w:tr>
      <w:tr w:rsidR="00CA3C5B" w14:paraId="08C4C1CE" w14:textId="77777777" w:rsidTr="00770C0E">
        <w:trPr>
          <w:cantSplit/>
        </w:trPr>
        <w:tc>
          <w:tcPr>
            <w:tcW w:w="4531" w:type="dxa"/>
          </w:tcPr>
          <w:p w14:paraId="63164E29" w14:textId="6D9BF628" w:rsidR="00CA3C5B" w:rsidRDefault="00260033" w:rsidP="0074486D">
            <w:pPr>
              <w:pStyle w:val="TableCopy"/>
            </w:pPr>
            <w:r>
              <w:t>Percentage</w:t>
            </w:r>
            <w:r w:rsidR="00932420">
              <w:t xml:space="preserve"> </w:t>
            </w:r>
            <w:r>
              <w:t>of</w:t>
            </w:r>
            <w:r w:rsidR="00932420">
              <w:t xml:space="preserve"> </w:t>
            </w:r>
            <w:r>
              <w:t>investigations</w:t>
            </w:r>
            <w:r w:rsidR="00932420">
              <w:t xml:space="preserve"> </w:t>
            </w:r>
            <w:r>
              <w:t>into</w:t>
            </w:r>
            <w:r w:rsidR="00932420">
              <w:t xml:space="preserve"> </w:t>
            </w:r>
            <w:r>
              <w:t>serious</w:t>
            </w:r>
            <w:r w:rsidR="00932420">
              <w:t xml:space="preserve"> </w:t>
            </w:r>
            <w:r>
              <w:t>or</w:t>
            </w:r>
            <w:r w:rsidR="00932420">
              <w:t xml:space="preserve"> </w:t>
            </w:r>
            <w:r>
              <w:t>organised</w:t>
            </w:r>
            <w:r w:rsidR="00932420">
              <w:t xml:space="preserve"> </w:t>
            </w:r>
            <w:r>
              <w:t>fisheries</w:t>
            </w:r>
            <w:r w:rsidR="00932420">
              <w:t xml:space="preserve"> </w:t>
            </w:r>
            <w:r>
              <w:t>offending</w:t>
            </w:r>
            <w:r w:rsidR="00932420">
              <w:t xml:space="preserve"> </w:t>
            </w:r>
            <w:r>
              <w:t>that</w:t>
            </w:r>
            <w:r w:rsidR="00932420">
              <w:t xml:space="preserve"> </w:t>
            </w:r>
            <w:r>
              <w:t>result</w:t>
            </w:r>
            <w:r w:rsidR="00932420">
              <w:t xml:space="preserve"> </w:t>
            </w:r>
            <w:r>
              <w:t>in</w:t>
            </w:r>
            <w:r w:rsidR="00932420">
              <w:t xml:space="preserve"> </w:t>
            </w:r>
            <w:r>
              <w:t>a</w:t>
            </w:r>
            <w:r w:rsidR="00932420">
              <w:t xml:space="preserve"> </w:t>
            </w:r>
            <w:r>
              <w:t>prosecution,</w:t>
            </w:r>
            <w:r w:rsidR="00932420">
              <w:t xml:space="preserve"> </w:t>
            </w:r>
            <w:proofErr w:type="gramStart"/>
            <w:r>
              <w:t>disruption</w:t>
            </w:r>
            <w:proofErr w:type="gramEnd"/>
            <w:r w:rsidR="00932420">
              <w:t xml:space="preserve"> </w:t>
            </w:r>
            <w:r>
              <w:t>or</w:t>
            </w:r>
            <w:r w:rsidR="00932420">
              <w:t xml:space="preserve"> </w:t>
            </w:r>
            <w:r>
              <w:t>intelligence</w:t>
            </w:r>
            <w:r w:rsidR="00932420">
              <w:t xml:space="preserve"> </w:t>
            </w:r>
            <w:r>
              <w:t>referral</w:t>
            </w:r>
            <w:r w:rsidR="00932420">
              <w:t xml:space="preserve"> </w:t>
            </w:r>
            <w:r>
              <w:t>outcome</w:t>
            </w:r>
          </w:p>
        </w:tc>
        <w:tc>
          <w:tcPr>
            <w:tcW w:w="1092" w:type="dxa"/>
          </w:tcPr>
          <w:p w14:paraId="69C16DC2" w14:textId="7C5D5D83" w:rsidR="00CA3C5B" w:rsidRDefault="00260033" w:rsidP="0074486D">
            <w:pPr>
              <w:pStyle w:val="TableCopy"/>
            </w:pPr>
            <w:r>
              <w:t>per</w:t>
            </w:r>
            <w:r w:rsidR="00932420">
              <w:t xml:space="preserve"> </w:t>
            </w:r>
            <w:r>
              <w:t>cent</w:t>
            </w:r>
          </w:p>
        </w:tc>
        <w:tc>
          <w:tcPr>
            <w:tcW w:w="963" w:type="dxa"/>
          </w:tcPr>
          <w:p w14:paraId="3C9C96C6" w14:textId="77777777" w:rsidR="00CA3C5B" w:rsidRDefault="00260033" w:rsidP="00770C0E">
            <w:pPr>
              <w:pStyle w:val="TableCopy"/>
              <w:jc w:val="right"/>
            </w:pPr>
            <w:r>
              <w:t>90</w:t>
            </w:r>
          </w:p>
        </w:tc>
        <w:tc>
          <w:tcPr>
            <w:tcW w:w="953" w:type="dxa"/>
          </w:tcPr>
          <w:p w14:paraId="5E5107F7" w14:textId="77777777" w:rsidR="00CA3C5B" w:rsidRDefault="00260033" w:rsidP="00770C0E">
            <w:pPr>
              <w:pStyle w:val="TableCopy"/>
              <w:jc w:val="right"/>
            </w:pPr>
            <w:r>
              <w:t>90</w:t>
            </w:r>
          </w:p>
        </w:tc>
        <w:tc>
          <w:tcPr>
            <w:tcW w:w="1428" w:type="dxa"/>
          </w:tcPr>
          <w:p w14:paraId="65AB66FE" w14:textId="77777777" w:rsidR="00CA3C5B" w:rsidRDefault="00260033" w:rsidP="00770C0E">
            <w:pPr>
              <w:pStyle w:val="TableCopy"/>
              <w:jc w:val="right"/>
            </w:pPr>
            <w:r>
              <w:t>0.0%</w:t>
            </w:r>
          </w:p>
        </w:tc>
        <w:tc>
          <w:tcPr>
            <w:tcW w:w="809" w:type="dxa"/>
          </w:tcPr>
          <w:p w14:paraId="7B9B1D6C" w14:textId="06200B02" w:rsidR="00CA3C5B" w:rsidRDefault="00770C0E" w:rsidP="00770C0E">
            <w:pPr>
              <w:pStyle w:val="TableCopy"/>
              <w:jc w:val="right"/>
            </w:pPr>
            <w:r w:rsidRPr="00770C0E">
              <w:t>1</w:t>
            </w:r>
          </w:p>
        </w:tc>
      </w:tr>
      <w:tr w:rsidR="0074486D" w14:paraId="7DEC6CF1" w14:textId="77777777" w:rsidTr="00770C0E">
        <w:trPr>
          <w:cantSplit/>
        </w:trPr>
        <w:tc>
          <w:tcPr>
            <w:tcW w:w="4531" w:type="dxa"/>
          </w:tcPr>
          <w:p w14:paraId="6F0BC038" w14:textId="1F328F31" w:rsidR="0074486D" w:rsidRDefault="0074486D" w:rsidP="0074486D">
            <w:pPr>
              <w:pStyle w:val="TableHeading"/>
            </w:pPr>
            <w:r>
              <w:t>Timeliness</w:t>
            </w:r>
          </w:p>
        </w:tc>
        <w:tc>
          <w:tcPr>
            <w:tcW w:w="1092" w:type="dxa"/>
          </w:tcPr>
          <w:p w14:paraId="30DA0826" w14:textId="77777777" w:rsidR="0074486D" w:rsidRPr="0074486D" w:rsidRDefault="0074486D" w:rsidP="0074486D">
            <w:pPr>
              <w:pStyle w:val="TableCopy"/>
            </w:pPr>
          </w:p>
        </w:tc>
        <w:tc>
          <w:tcPr>
            <w:tcW w:w="963" w:type="dxa"/>
          </w:tcPr>
          <w:p w14:paraId="3777718C" w14:textId="77777777" w:rsidR="0074486D" w:rsidRPr="0074486D" w:rsidRDefault="0074486D" w:rsidP="00770C0E">
            <w:pPr>
              <w:pStyle w:val="TableCopy"/>
              <w:jc w:val="right"/>
            </w:pPr>
          </w:p>
        </w:tc>
        <w:tc>
          <w:tcPr>
            <w:tcW w:w="953" w:type="dxa"/>
          </w:tcPr>
          <w:p w14:paraId="7C4BD63B" w14:textId="77777777" w:rsidR="0074486D" w:rsidRPr="0074486D" w:rsidRDefault="0074486D" w:rsidP="00770C0E">
            <w:pPr>
              <w:pStyle w:val="TableCopy"/>
              <w:jc w:val="right"/>
            </w:pPr>
          </w:p>
        </w:tc>
        <w:tc>
          <w:tcPr>
            <w:tcW w:w="1428" w:type="dxa"/>
          </w:tcPr>
          <w:p w14:paraId="0466957D" w14:textId="77777777" w:rsidR="0074486D" w:rsidRPr="0074486D" w:rsidRDefault="0074486D" w:rsidP="00770C0E">
            <w:pPr>
              <w:pStyle w:val="TableCopy"/>
              <w:jc w:val="right"/>
            </w:pPr>
          </w:p>
        </w:tc>
        <w:tc>
          <w:tcPr>
            <w:tcW w:w="809" w:type="dxa"/>
          </w:tcPr>
          <w:p w14:paraId="6E81A038" w14:textId="77777777" w:rsidR="0074486D" w:rsidRPr="0074486D" w:rsidRDefault="0074486D" w:rsidP="00770C0E">
            <w:pPr>
              <w:pStyle w:val="TableCopy"/>
              <w:jc w:val="right"/>
            </w:pPr>
          </w:p>
        </w:tc>
      </w:tr>
      <w:tr w:rsidR="00CA3C5B" w14:paraId="5E8DF531" w14:textId="77777777" w:rsidTr="00770C0E">
        <w:trPr>
          <w:cantSplit/>
        </w:trPr>
        <w:tc>
          <w:tcPr>
            <w:tcW w:w="4531" w:type="dxa"/>
          </w:tcPr>
          <w:p w14:paraId="12AF7F49" w14:textId="4E8FAB66" w:rsidR="00CA3C5B" w:rsidRDefault="00260033" w:rsidP="0074486D">
            <w:pPr>
              <w:pStyle w:val="TableCopy"/>
            </w:pPr>
            <w:r>
              <w:t>Facilitate</w:t>
            </w:r>
            <w:r w:rsidR="00932420">
              <w:t xml:space="preserve"> </w:t>
            </w:r>
            <w:r>
              <w:t>the</w:t>
            </w:r>
            <w:r w:rsidR="00932420">
              <w:t xml:space="preserve"> </w:t>
            </w:r>
            <w:r>
              <w:t>delivery</w:t>
            </w:r>
            <w:r w:rsidR="00932420">
              <w:t xml:space="preserve"> </w:t>
            </w:r>
            <w:r>
              <w:t>of</w:t>
            </w:r>
            <w:r w:rsidR="00932420">
              <w:t xml:space="preserve"> </w:t>
            </w:r>
            <w:r>
              <w:t>game</w:t>
            </w:r>
            <w:r w:rsidR="00932420">
              <w:t xml:space="preserve"> </w:t>
            </w:r>
            <w:r>
              <w:t>projects</w:t>
            </w:r>
            <w:r w:rsidR="00932420">
              <w:t xml:space="preserve"> </w:t>
            </w:r>
            <w:r>
              <w:t>in</w:t>
            </w:r>
            <w:r w:rsidR="00932420">
              <w:t xml:space="preserve"> </w:t>
            </w:r>
            <w:r>
              <w:t>line</w:t>
            </w:r>
            <w:r w:rsidR="00932420">
              <w:t xml:space="preserve"> </w:t>
            </w:r>
            <w:r>
              <w:t>with</w:t>
            </w:r>
            <w:r w:rsidR="00932420">
              <w:t xml:space="preserve"> </w:t>
            </w:r>
            <w:r>
              <w:t>key</w:t>
            </w:r>
            <w:r w:rsidR="00932420">
              <w:t xml:space="preserve"> </w:t>
            </w:r>
            <w:r>
              <w:t>project</w:t>
            </w:r>
            <w:r w:rsidR="00932420">
              <w:t xml:space="preserve"> </w:t>
            </w:r>
            <w:r>
              <w:t>milestones</w:t>
            </w:r>
          </w:p>
        </w:tc>
        <w:tc>
          <w:tcPr>
            <w:tcW w:w="1092" w:type="dxa"/>
          </w:tcPr>
          <w:p w14:paraId="71B2DB00" w14:textId="795CBEE2" w:rsidR="00CA3C5B" w:rsidRDefault="00260033" w:rsidP="0074486D">
            <w:pPr>
              <w:pStyle w:val="TableCopy"/>
            </w:pPr>
            <w:r>
              <w:t>per</w:t>
            </w:r>
            <w:r w:rsidR="00932420">
              <w:t xml:space="preserve"> </w:t>
            </w:r>
            <w:r>
              <w:t>cent</w:t>
            </w:r>
          </w:p>
        </w:tc>
        <w:tc>
          <w:tcPr>
            <w:tcW w:w="963" w:type="dxa"/>
          </w:tcPr>
          <w:p w14:paraId="758873C7" w14:textId="77777777" w:rsidR="00CA3C5B" w:rsidRDefault="00260033" w:rsidP="00770C0E">
            <w:pPr>
              <w:pStyle w:val="TableCopy"/>
              <w:jc w:val="right"/>
            </w:pPr>
            <w:r>
              <w:t>100</w:t>
            </w:r>
          </w:p>
        </w:tc>
        <w:tc>
          <w:tcPr>
            <w:tcW w:w="953" w:type="dxa"/>
          </w:tcPr>
          <w:p w14:paraId="0ECE7EF9" w14:textId="77777777" w:rsidR="00CA3C5B" w:rsidRDefault="00260033" w:rsidP="00770C0E">
            <w:pPr>
              <w:pStyle w:val="TableCopy"/>
              <w:jc w:val="right"/>
            </w:pPr>
            <w:r>
              <w:t>100</w:t>
            </w:r>
          </w:p>
        </w:tc>
        <w:tc>
          <w:tcPr>
            <w:tcW w:w="1428" w:type="dxa"/>
          </w:tcPr>
          <w:p w14:paraId="22E9DCAB" w14:textId="77777777" w:rsidR="00CA3C5B" w:rsidRDefault="00260033" w:rsidP="00770C0E">
            <w:pPr>
              <w:pStyle w:val="TableCopy"/>
              <w:jc w:val="right"/>
            </w:pPr>
            <w:r>
              <w:t>0.0%</w:t>
            </w:r>
          </w:p>
        </w:tc>
        <w:tc>
          <w:tcPr>
            <w:tcW w:w="809" w:type="dxa"/>
          </w:tcPr>
          <w:p w14:paraId="00C3472B" w14:textId="0A15140E" w:rsidR="00CA3C5B" w:rsidRDefault="00770C0E" w:rsidP="00770C0E">
            <w:pPr>
              <w:pStyle w:val="TableCopy"/>
              <w:jc w:val="right"/>
            </w:pPr>
            <w:r w:rsidRPr="00770C0E">
              <w:t>1</w:t>
            </w:r>
          </w:p>
        </w:tc>
      </w:tr>
      <w:tr w:rsidR="00CA3C5B" w14:paraId="2B74904D" w14:textId="77777777" w:rsidTr="00770C0E">
        <w:trPr>
          <w:cantSplit/>
        </w:trPr>
        <w:tc>
          <w:tcPr>
            <w:tcW w:w="4531" w:type="dxa"/>
          </w:tcPr>
          <w:p w14:paraId="070437F7" w14:textId="7D9CF7C6" w:rsidR="00CA3C5B" w:rsidRDefault="00260033" w:rsidP="0074486D">
            <w:pPr>
              <w:pStyle w:val="TableCopy"/>
            </w:pPr>
            <w:r>
              <w:t>Proportion</w:t>
            </w:r>
            <w:r w:rsidR="00932420">
              <w:t xml:space="preserve"> </w:t>
            </w:r>
            <w:r>
              <w:t>of</w:t>
            </w:r>
            <w:r w:rsidR="00932420">
              <w:t xml:space="preserve"> </w:t>
            </w:r>
            <w:r>
              <w:t>fisheries</w:t>
            </w:r>
            <w:r w:rsidR="00932420">
              <w:t xml:space="preserve"> </w:t>
            </w:r>
            <w:r>
              <w:t>cost</w:t>
            </w:r>
            <w:r w:rsidR="00932420">
              <w:t xml:space="preserve"> </w:t>
            </w:r>
            <w:r>
              <w:t>recovery</w:t>
            </w:r>
            <w:r w:rsidR="00932420">
              <w:t xml:space="preserve"> </w:t>
            </w:r>
            <w:r>
              <w:t>levies</w:t>
            </w:r>
            <w:r w:rsidR="00932420">
              <w:t xml:space="preserve"> </w:t>
            </w:r>
            <w:r>
              <w:t>reviewed</w:t>
            </w:r>
            <w:r w:rsidR="00932420">
              <w:t xml:space="preserve"> </w:t>
            </w:r>
            <w:r>
              <w:t>and</w:t>
            </w:r>
            <w:r w:rsidR="00932420">
              <w:t xml:space="preserve"> </w:t>
            </w:r>
            <w:r>
              <w:t>set</w:t>
            </w:r>
            <w:r w:rsidR="00932420">
              <w:t xml:space="preserve"> </w:t>
            </w:r>
            <w:r>
              <w:t>prior</w:t>
            </w:r>
            <w:r w:rsidR="00932420">
              <w:t xml:space="preserve"> </w:t>
            </w:r>
            <w:r>
              <w:t>to</w:t>
            </w:r>
            <w:r w:rsidR="00932420">
              <w:t xml:space="preserve"> </w:t>
            </w:r>
            <w:r>
              <w:t>the</w:t>
            </w:r>
            <w:r w:rsidR="00932420">
              <w:t xml:space="preserve"> </w:t>
            </w:r>
            <w:r>
              <w:t>commencement</w:t>
            </w:r>
            <w:r w:rsidR="00932420">
              <w:t xml:space="preserve"> </w:t>
            </w:r>
            <w:r>
              <w:t>of</w:t>
            </w:r>
            <w:r w:rsidR="00932420">
              <w:t xml:space="preserve"> </w:t>
            </w:r>
            <w:r>
              <w:t>the</w:t>
            </w:r>
            <w:r w:rsidR="00932420">
              <w:t xml:space="preserve"> </w:t>
            </w:r>
            <w:r>
              <w:t>licensing</w:t>
            </w:r>
            <w:r w:rsidR="00932420">
              <w:t xml:space="preserve"> </w:t>
            </w:r>
            <w:r>
              <w:t>year</w:t>
            </w:r>
          </w:p>
        </w:tc>
        <w:tc>
          <w:tcPr>
            <w:tcW w:w="1092" w:type="dxa"/>
          </w:tcPr>
          <w:p w14:paraId="47E3B188" w14:textId="1B516E10" w:rsidR="00CA3C5B" w:rsidRDefault="00260033" w:rsidP="0074486D">
            <w:pPr>
              <w:pStyle w:val="TableCopy"/>
            </w:pPr>
            <w:r>
              <w:t>per</w:t>
            </w:r>
            <w:r w:rsidR="00932420">
              <w:t xml:space="preserve"> </w:t>
            </w:r>
            <w:r>
              <w:t>cent</w:t>
            </w:r>
          </w:p>
        </w:tc>
        <w:tc>
          <w:tcPr>
            <w:tcW w:w="963" w:type="dxa"/>
          </w:tcPr>
          <w:p w14:paraId="051E8E18" w14:textId="77777777" w:rsidR="00CA3C5B" w:rsidRDefault="00260033" w:rsidP="00770C0E">
            <w:pPr>
              <w:pStyle w:val="TableCopy"/>
              <w:jc w:val="right"/>
            </w:pPr>
            <w:r>
              <w:t>100</w:t>
            </w:r>
          </w:p>
        </w:tc>
        <w:tc>
          <w:tcPr>
            <w:tcW w:w="953" w:type="dxa"/>
          </w:tcPr>
          <w:p w14:paraId="003DE07A" w14:textId="77777777" w:rsidR="00CA3C5B" w:rsidRDefault="00260033" w:rsidP="00770C0E">
            <w:pPr>
              <w:pStyle w:val="TableCopy"/>
              <w:jc w:val="right"/>
            </w:pPr>
            <w:r>
              <w:t>100</w:t>
            </w:r>
          </w:p>
        </w:tc>
        <w:tc>
          <w:tcPr>
            <w:tcW w:w="1428" w:type="dxa"/>
          </w:tcPr>
          <w:p w14:paraId="60D94CCF" w14:textId="77777777" w:rsidR="00CA3C5B" w:rsidRDefault="00260033" w:rsidP="00770C0E">
            <w:pPr>
              <w:pStyle w:val="TableCopy"/>
              <w:jc w:val="right"/>
            </w:pPr>
            <w:r>
              <w:t>0.0%</w:t>
            </w:r>
          </w:p>
        </w:tc>
        <w:tc>
          <w:tcPr>
            <w:tcW w:w="809" w:type="dxa"/>
          </w:tcPr>
          <w:p w14:paraId="0B648CA7" w14:textId="0A90B9AA" w:rsidR="00CA3C5B" w:rsidRDefault="00770C0E" w:rsidP="00770C0E">
            <w:pPr>
              <w:pStyle w:val="TableCopy"/>
              <w:jc w:val="right"/>
            </w:pPr>
            <w:r w:rsidRPr="00770C0E">
              <w:t>1</w:t>
            </w:r>
          </w:p>
        </w:tc>
      </w:tr>
      <w:tr w:rsidR="00CA3C5B" w14:paraId="058F3971" w14:textId="77777777" w:rsidTr="00770C0E">
        <w:trPr>
          <w:cantSplit/>
        </w:trPr>
        <w:tc>
          <w:tcPr>
            <w:tcW w:w="4531" w:type="dxa"/>
          </w:tcPr>
          <w:p w14:paraId="31D0A534" w14:textId="45D1ADA0" w:rsidR="00CA3C5B" w:rsidRDefault="00260033" w:rsidP="0074486D">
            <w:pPr>
              <w:pStyle w:val="TableCopy"/>
            </w:pPr>
            <w:r>
              <w:t>Research</w:t>
            </w:r>
            <w:r w:rsidR="00932420">
              <w:t xml:space="preserve"> </w:t>
            </w:r>
            <w:r>
              <w:t>project</w:t>
            </w:r>
            <w:r w:rsidR="00932420">
              <w:t xml:space="preserve"> </w:t>
            </w:r>
            <w:r>
              <w:t>milestones</w:t>
            </w:r>
            <w:r w:rsidR="00932420">
              <w:t xml:space="preserve"> </w:t>
            </w:r>
            <w:r>
              <w:t>and</w:t>
            </w:r>
            <w:r w:rsidR="00932420">
              <w:t xml:space="preserve"> </w:t>
            </w:r>
            <w:r>
              <w:t>reports</w:t>
            </w:r>
            <w:r w:rsidR="00932420">
              <w:t xml:space="preserve"> </w:t>
            </w:r>
            <w:r>
              <w:t>completed</w:t>
            </w:r>
            <w:r w:rsidR="00932420">
              <w:t xml:space="preserve"> </w:t>
            </w:r>
            <w:r>
              <w:t>on</w:t>
            </w:r>
            <w:r w:rsidR="00932420">
              <w:t xml:space="preserve"> </w:t>
            </w:r>
            <w:r>
              <w:t>time</w:t>
            </w:r>
          </w:p>
        </w:tc>
        <w:tc>
          <w:tcPr>
            <w:tcW w:w="1092" w:type="dxa"/>
          </w:tcPr>
          <w:p w14:paraId="2C5E7D74" w14:textId="1F9A78C7" w:rsidR="00CA3C5B" w:rsidRDefault="00260033" w:rsidP="0074486D">
            <w:pPr>
              <w:pStyle w:val="TableCopy"/>
            </w:pPr>
            <w:r>
              <w:t>per</w:t>
            </w:r>
            <w:r w:rsidR="00932420">
              <w:t xml:space="preserve"> </w:t>
            </w:r>
            <w:r>
              <w:t>cent</w:t>
            </w:r>
          </w:p>
        </w:tc>
        <w:tc>
          <w:tcPr>
            <w:tcW w:w="963" w:type="dxa"/>
          </w:tcPr>
          <w:p w14:paraId="3FFFA282" w14:textId="77777777" w:rsidR="00CA3C5B" w:rsidRDefault="00260033" w:rsidP="00770C0E">
            <w:pPr>
              <w:pStyle w:val="TableCopy"/>
              <w:jc w:val="right"/>
            </w:pPr>
            <w:r>
              <w:t>90</w:t>
            </w:r>
          </w:p>
        </w:tc>
        <w:tc>
          <w:tcPr>
            <w:tcW w:w="953" w:type="dxa"/>
          </w:tcPr>
          <w:p w14:paraId="4D0A271F" w14:textId="77777777" w:rsidR="00CA3C5B" w:rsidRDefault="00260033" w:rsidP="00770C0E">
            <w:pPr>
              <w:pStyle w:val="TableCopy"/>
              <w:jc w:val="right"/>
            </w:pPr>
            <w:r>
              <w:t>90</w:t>
            </w:r>
          </w:p>
        </w:tc>
        <w:tc>
          <w:tcPr>
            <w:tcW w:w="1428" w:type="dxa"/>
          </w:tcPr>
          <w:p w14:paraId="198BBE8F" w14:textId="77777777" w:rsidR="00CA3C5B" w:rsidRDefault="00260033" w:rsidP="00770C0E">
            <w:pPr>
              <w:pStyle w:val="TableCopy"/>
              <w:jc w:val="right"/>
            </w:pPr>
            <w:r>
              <w:t>0.0%</w:t>
            </w:r>
          </w:p>
        </w:tc>
        <w:tc>
          <w:tcPr>
            <w:tcW w:w="809" w:type="dxa"/>
          </w:tcPr>
          <w:p w14:paraId="211A35D0" w14:textId="5081AAD1" w:rsidR="00CA3C5B" w:rsidRDefault="00770C0E" w:rsidP="00770C0E">
            <w:pPr>
              <w:pStyle w:val="TableCopy"/>
              <w:jc w:val="right"/>
            </w:pPr>
            <w:r w:rsidRPr="00770C0E">
              <w:t>1</w:t>
            </w:r>
          </w:p>
        </w:tc>
      </w:tr>
      <w:tr w:rsidR="0074486D" w14:paraId="3B5DEAA0" w14:textId="77777777" w:rsidTr="00770C0E">
        <w:trPr>
          <w:cantSplit/>
        </w:trPr>
        <w:tc>
          <w:tcPr>
            <w:tcW w:w="4531" w:type="dxa"/>
          </w:tcPr>
          <w:p w14:paraId="31188F52" w14:textId="33641D19" w:rsidR="0074486D" w:rsidRDefault="0074486D" w:rsidP="00770C0E">
            <w:pPr>
              <w:pStyle w:val="TableHeading"/>
            </w:pPr>
            <w:r>
              <w:lastRenderedPageBreak/>
              <w:t>Cost</w:t>
            </w:r>
          </w:p>
        </w:tc>
        <w:tc>
          <w:tcPr>
            <w:tcW w:w="1092" w:type="dxa"/>
          </w:tcPr>
          <w:p w14:paraId="163F015A" w14:textId="77777777" w:rsidR="0074486D" w:rsidRPr="0074486D" w:rsidRDefault="0074486D" w:rsidP="0074486D">
            <w:pPr>
              <w:pStyle w:val="TableCopy"/>
            </w:pPr>
          </w:p>
        </w:tc>
        <w:tc>
          <w:tcPr>
            <w:tcW w:w="963" w:type="dxa"/>
          </w:tcPr>
          <w:p w14:paraId="0A2394E4" w14:textId="77777777" w:rsidR="0074486D" w:rsidRPr="0074486D" w:rsidRDefault="0074486D" w:rsidP="00770C0E">
            <w:pPr>
              <w:pStyle w:val="TableCopy"/>
              <w:jc w:val="right"/>
            </w:pPr>
          </w:p>
        </w:tc>
        <w:tc>
          <w:tcPr>
            <w:tcW w:w="953" w:type="dxa"/>
          </w:tcPr>
          <w:p w14:paraId="1213B557" w14:textId="77777777" w:rsidR="0074486D" w:rsidRPr="0074486D" w:rsidRDefault="0074486D" w:rsidP="00770C0E">
            <w:pPr>
              <w:pStyle w:val="TableCopy"/>
              <w:jc w:val="right"/>
            </w:pPr>
          </w:p>
        </w:tc>
        <w:tc>
          <w:tcPr>
            <w:tcW w:w="1428" w:type="dxa"/>
          </w:tcPr>
          <w:p w14:paraId="19207B29" w14:textId="77777777" w:rsidR="0074486D" w:rsidRPr="0074486D" w:rsidRDefault="0074486D" w:rsidP="00770C0E">
            <w:pPr>
              <w:pStyle w:val="TableCopy"/>
              <w:jc w:val="right"/>
            </w:pPr>
          </w:p>
        </w:tc>
        <w:tc>
          <w:tcPr>
            <w:tcW w:w="809" w:type="dxa"/>
          </w:tcPr>
          <w:p w14:paraId="0E21A259" w14:textId="77777777" w:rsidR="0074486D" w:rsidRPr="0074486D" w:rsidRDefault="0074486D" w:rsidP="00770C0E">
            <w:pPr>
              <w:pStyle w:val="TableCopy"/>
              <w:jc w:val="right"/>
            </w:pPr>
          </w:p>
        </w:tc>
      </w:tr>
      <w:tr w:rsidR="00CA3C5B" w:rsidRPr="0074486D" w14:paraId="425330DB" w14:textId="77777777" w:rsidTr="00770C0E">
        <w:trPr>
          <w:cantSplit/>
        </w:trPr>
        <w:tc>
          <w:tcPr>
            <w:tcW w:w="4531" w:type="dxa"/>
          </w:tcPr>
          <w:p w14:paraId="014CE08A" w14:textId="43449401" w:rsidR="00CA3C5B" w:rsidRPr="0074486D" w:rsidRDefault="00260033" w:rsidP="0074486D">
            <w:pPr>
              <w:pStyle w:val="TableCopy"/>
              <w:rPr>
                <w:b/>
                <w:bCs/>
              </w:rPr>
            </w:pPr>
            <w:r w:rsidRPr="0074486D">
              <w:rPr>
                <w:b/>
                <w:bCs/>
              </w:rPr>
              <w:t>Total</w:t>
            </w:r>
            <w:r w:rsidR="00932420" w:rsidRPr="0074486D">
              <w:rPr>
                <w:b/>
                <w:bCs/>
              </w:rPr>
              <w:t xml:space="preserve"> </w:t>
            </w:r>
            <w:r w:rsidRPr="0074486D">
              <w:rPr>
                <w:b/>
                <w:bCs/>
              </w:rPr>
              <w:t>output</w:t>
            </w:r>
            <w:r w:rsidR="00932420" w:rsidRPr="0074486D">
              <w:rPr>
                <w:b/>
                <w:bCs/>
              </w:rPr>
              <w:t xml:space="preserve"> </w:t>
            </w:r>
            <w:r w:rsidRPr="0074486D">
              <w:rPr>
                <w:b/>
                <w:bCs/>
              </w:rPr>
              <w:t>cost</w:t>
            </w:r>
          </w:p>
        </w:tc>
        <w:tc>
          <w:tcPr>
            <w:tcW w:w="1092" w:type="dxa"/>
          </w:tcPr>
          <w:p w14:paraId="7D4EAF06" w14:textId="3D39F5EC" w:rsidR="00CA3C5B" w:rsidRPr="0074486D" w:rsidRDefault="00260033" w:rsidP="0074486D">
            <w:pPr>
              <w:pStyle w:val="TableCopy"/>
              <w:rPr>
                <w:b/>
                <w:bCs/>
              </w:rPr>
            </w:pPr>
            <w:r w:rsidRPr="0074486D">
              <w:rPr>
                <w:b/>
                <w:bCs/>
              </w:rPr>
              <w:t>$</w:t>
            </w:r>
            <w:r w:rsidR="00932420" w:rsidRPr="0074486D">
              <w:rPr>
                <w:b/>
                <w:bCs/>
              </w:rPr>
              <w:t xml:space="preserve"> </w:t>
            </w:r>
            <w:r w:rsidRPr="0074486D">
              <w:rPr>
                <w:b/>
                <w:bCs/>
              </w:rPr>
              <w:t>million</w:t>
            </w:r>
          </w:p>
        </w:tc>
        <w:tc>
          <w:tcPr>
            <w:tcW w:w="963" w:type="dxa"/>
          </w:tcPr>
          <w:p w14:paraId="4E9D6F6B" w14:textId="77777777" w:rsidR="00CA3C5B" w:rsidRPr="0074486D" w:rsidRDefault="00260033" w:rsidP="00770C0E">
            <w:pPr>
              <w:pStyle w:val="TableCopy"/>
              <w:jc w:val="right"/>
              <w:rPr>
                <w:b/>
                <w:bCs/>
              </w:rPr>
            </w:pPr>
            <w:r w:rsidRPr="0074486D">
              <w:rPr>
                <w:b/>
                <w:bCs/>
              </w:rPr>
              <w:t>98.0</w:t>
            </w:r>
          </w:p>
        </w:tc>
        <w:tc>
          <w:tcPr>
            <w:tcW w:w="953" w:type="dxa"/>
          </w:tcPr>
          <w:p w14:paraId="08C83304" w14:textId="77777777" w:rsidR="00CA3C5B" w:rsidRPr="0074486D" w:rsidRDefault="00260033" w:rsidP="00770C0E">
            <w:pPr>
              <w:pStyle w:val="TableCopy"/>
              <w:jc w:val="right"/>
              <w:rPr>
                <w:b/>
                <w:bCs/>
              </w:rPr>
            </w:pPr>
            <w:r w:rsidRPr="0074486D">
              <w:rPr>
                <w:b/>
                <w:bCs/>
              </w:rPr>
              <w:t>95.4</w:t>
            </w:r>
          </w:p>
        </w:tc>
        <w:tc>
          <w:tcPr>
            <w:tcW w:w="1428" w:type="dxa"/>
          </w:tcPr>
          <w:p w14:paraId="0359DD73" w14:textId="77777777" w:rsidR="00CA3C5B" w:rsidRPr="0074486D" w:rsidRDefault="00260033" w:rsidP="00770C0E">
            <w:pPr>
              <w:pStyle w:val="TableCopy"/>
              <w:jc w:val="right"/>
              <w:rPr>
                <w:b/>
                <w:bCs/>
              </w:rPr>
            </w:pPr>
            <w:r w:rsidRPr="0074486D">
              <w:rPr>
                <w:b/>
                <w:bCs/>
              </w:rPr>
              <w:t>2.7%</w:t>
            </w:r>
          </w:p>
        </w:tc>
        <w:tc>
          <w:tcPr>
            <w:tcW w:w="809" w:type="dxa"/>
          </w:tcPr>
          <w:p w14:paraId="299132B6" w14:textId="51F626B3" w:rsidR="00CA3C5B" w:rsidRPr="00770C0E" w:rsidRDefault="00770C0E" w:rsidP="00770C0E">
            <w:pPr>
              <w:pStyle w:val="TableCopy"/>
              <w:jc w:val="right"/>
              <w:rPr>
                <w:b/>
                <w:bCs/>
              </w:rPr>
            </w:pPr>
            <w:r w:rsidRPr="00770C0E">
              <w:rPr>
                <w:b/>
                <w:bCs/>
              </w:rPr>
              <w:t>2</w:t>
            </w:r>
          </w:p>
        </w:tc>
      </w:tr>
    </w:tbl>
    <w:p w14:paraId="71C48EDB" w14:textId="77777777" w:rsidR="00770C0E" w:rsidRDefault="00770C0E" w:rsidP="00770C0E">
      <w:pPr>
        <w:pStyle w:val="FootnoteText"/>
        <w:spacing w:before="120"/>
      </w:pPr>
      <w:r>
        <w:t>Note:</w:t>
      </w:r>
    </w:p>
    <w:p w14:paraId="43DE5B32" w14:textId="0D627125" w:rsidR="00770C0E" w:rsidRDefault="00770C0E" w:rsidP="00770C0E">
      <w:pPr>
        <w:pStyle w:val="FootnoteText"/>
      </w:pPr>
      <w:r>
        <w:t>1</w:t>
      </w:r>
      <w:r w:rsidRPr="00770C0E">
        <w:t xml:space="preserve"> </w:t>
      </w:r>
      <w:r>
        <w:t>Performance target achieved or exceeded</w:t>
      </w:r>
    </w:p>
    <w:p w14:paraId="001D0213" w14:textId="245A8C71" w:rsidR="00770C0E" w:rsidRDefault="00770C0E" w:rsidP="00770C0E">
      <w:pPr>
        <w:pStyle w:val="FootnoteText"/>
      </w:pPr>
      <w:r>
        <w:t>2</w:t>
      </w:r>
      <w:r w:rsidRPr="00770C0E">
        <w:t xml:space="preserve"> </w:t>
      </w:r>
      <w:r>
        <w:t>Performance target not achieved – but within 5% variance</w:t>
      </w:r>
    </w:p>
    <w:p w14:paraId="53A72175" w14:textId="3713A84C" w:rsidR="00CA3C5B" w:rsidRDefault="00770C0E" w:rsidP="00770C0E">
      <w:pPr>
        <w:pStyle w:val="FootnoteText"/>
        <w:spacing w:after="280"/>
      </w:pPr>
      <w:r>
        <w:t>3</w:t>
      </w:r>
      <w:r w:rsidRPr="00770C0E">
        <w:t xml:space="preserve"> </w:t>
      </w:r>
      <w:r>
        <w:t>Performance target not achieved – exceeds 5% variance</w:t>
      </w:r>
    </w:p>
    <w:p w14:paraId="4DBB6E1A" w14:textId="7C103B9D" w:rsidR="00CA3C5B" w:rsidRDefault="00260033" w:rsidP="00770C0E">
      <w:r>
        <w:t>Table</w:t>
      </w:r>
      <w:r w:rsidR="00932420">
        <w:t xml:space="preserve"> </w:t>
      </w:r>
      <w:r>
        <w:t>14</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Regional</w:t>
      </w:r>
      <w:r w:rsidR="00932420">
        <w:t xml:space="preserve"> </w:t>
      </w:r>
      <w:r>
        <w:t>Development</w:t>
      </w:r>
      <w:r w:rsidR="00932420">
        <w:t xml:space="preserve"> </w:t>
      </w:r>
      <w:r>
        <w:t>output.</w:t>
      </w:r>
      <w:r w:rsidR="00932420">
        <w:t xml:space="preserve"> </w:t>
      </w:r>
      <w:r>
        <w:t>This</w:t>
      </w:r>
      <w:r w:rsidR="00932420">
        <w:t xml:space="preserve"> </w:t>
      </w:r>
      <w:r>
        <w:t>output</w:t>
      </w:r>
      <w:r w:rsidR="00932420">
        <w:t xml:space="preserve"> </w:t>
      </w:r>
      <w:r>
        <w:t>guides</w:t>
      </w:r>
      <w:r w:rsidR="00932420">
        <w:t xml:space="preserve"> </w:t>
      </w:r>
      <w:r>
        <w:t>targeted</w:t>
      </w:r>
      <w:r w:rsidR="00932420">
        <w:t xml:space="preserve"> </w:t>
      </w:r>
      <w:r>
        <w:t>place-based</w:t>
      </w:r>
      <w:r w:rsidR="00932420">
        <w:t xml:space="preserve"> </w:t>
      </w:r>
      <w:r>
        <w:t>services</w:t>
      </w:r>
      <w:r w:rsidR="00932420">
        <w:t xml:space="preserve"> </w:t>
      </w:r>
      <w:r>
        <w:t>and</w:t>
      </w:r>
      <w:r w:rsidR="00932420">
        <w:t xml:space="preserve"> </w:t>
      </w:r>
      <w:r>
        <w:t>engagement</w:t>
      </w:r>
      <w:r w:rsidR="00932420">
        <w:t xml:space="preserve"> </w:t>
      </w:r>
      <w:r>
        <w:t>with</w:t>
      </w:r>
      <w:r w:rsidR="00932420">
        <w:t xml:space="preserve"> </w:t>
      </w:r>
      <w:r>
        <w:t>industry,</w:t>
      </w:r>
      <w:r w:rsidR="00932420">
        <w:t xml:space="preserve"> </w:t>
      </w:r>
      <w:r>
        <w:t>communities,</w:t>
      </w:r>
      <w:r w:rsidR="00932420">
        <w:t xml:space="preserve"> </w:t>
      </w:r>
      <w:r>
        <w:t>local</w:t>
      </w:r>
      <w:r w:rsidR="00932420">
        <w:t xml:space="preserve"> </w:t>
      </w:r>
      <w:proofErr w:type="gramStart"/>
      <w:r>
        <w:t>councils</w:t>
      </w:r>
      <w:proofErr w:type="gramEnd"/>
      <w:r w:rsidR="00932420">
        <w:t xml:space="preserve"> </w:t>
      </w:r>
      <w:r>
        <w:t>and</w:t>
      </w:r>
      <w:r w:rsidR="00932420">
        <w:t xml:space="preserve"> </w:t>
      </w:r>
      <w:r>
        <w:t>government</w:t>
      </w:r>
      <w:r w:rsidR="00932420">
        <w:t xml:space="preserve"> </w:t>
      </w:r>
      <w:r>
        <w:t>departments,</w:t>
      </w:r>
      <w:r w:rsidR="00932420">
        <w:t xml:space="preserve"> </w:t>
      </w:r>
      <w:r>
        <w:t>to</w:t>
      </w:r>
      <w:r w:rsidR="00932420">
        <w:t xml:space="preserve"> </w:t>
      </w:r>
      <w:r>
        <w:t>enable</w:t>
      </w:r>
      <w:r w:rsidR="00932420">
        <w:t xml:space="preserve"> </w:t>
      </w:r>
      <w:r>
        <w:t>and</w:t>
      </w:r>
      <w:r w:rsidR="00932420">
        <w:t xml:space="preserve"> </w:t>
      </w:r>
      <w:r>
        <w:t>support</w:t>
      </w:r>
      <w:r w:rsidR="00932420">
        <w:t xml:space="preserve"> </w:t>
      </w:r>
      <w:r>
        <w:t>economic</w:t>
      </w:r>
      <w:r w:rsidR="00932420">
        <w:t xml:space="preserve"> </w:t>
      </w:r>
      <w:r>
        <w:t>growth.</w:t>
      </w:r>
      <w:r w:rsidR="00932420">
        <w:t xml:space="preserve"> </w:t>
      </w:r>
      <w:r>
        <w:t>This</w:t>
      </w:r>
      <w:r w:rsidR="00932420">
        <w:t xml:space="preserve"> </w:t>
      </w:r>
      <w:r>
        <w:t>includes</w:t>
      </w:r>
      <w:r w:rsidR="00932420">
        <w:t xml:space="preserve"> </w:t>
      </w:r>
      <w:r>
        <w:t>facilitating</w:t>
      </w:r>
      <w:r w:rsidR="00932420">
        <w:t xml:space="preserve"> </w:t>
      </w:r>
      <w:r>
        <w:t>jobs</w:t>
      </w:r>
      <w:r w:rsidR="00932420">
        <w:t xml:space="preserve"> </w:t>
      </w:r>
      <w:r>
        <w:t>growth,</w:t>
      </w:r>
      <w:r w:rsidR="00932420">
        <w:t xml:space="preserve"> </w:t>
      </w:r>
      <w:r>
        <w:t>infrastructure</w:t>
      </w:r>
      <w:r w:rsidR="00932420">
        <w:t xml:space="preserve"> </w:t>
      </w:r>
      <w:r>
        <w:t>and</w:t>
      </w:r>
      <w:r w:rsidR="00932420">
        <w:t xml:space="preserve"> </w:t>
      </w:r>
      <w:r>
        <w:t>new</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and</w:t>
      </w:r>
      <w:r w:rsidR="00932420">
        <w:t xml:space="preserve"> </w:t>
      </w:r>
      <w:r>
        <w:t>enhancing</w:t>
      </w:r>
      <w:r w:rsidR="00932420">
        <w:t xml:space="preserve"> </w:t>
      </w:r>
      <w:r>
        <w:t>the</w:t>
      </w:r>
      <w:r w:rsidR="00932420">
        <w:t xml:space="preserve"> </w:t>
      </w:r>
      <w:r>
        <w:t>liveability</w:t>
      </w:r>
      <w:r w:rsidR="00932420">
        <w:t xml:space="preserve"> </w:t>
      </w:r>
      <w:r>
        <w:t>of</w:t>
      </w:r>
      <w:r w:rsidR="00932420">
        <w:t xml:space="preserve"> </w:t>
      </w:r>
      <w:r>
        <w:t>Victoria’s</w:t>
      </w:r>
      <w:r w:rsidR="00932420">
        <w:t xml:space="preserve"> </w:t>
      </w:r>
      <w:r>
        <w:t>regional</w:t>
      </w:r>
      <w:r w:rsidR="00932420">
        <w:t xml:space="preserve"> </w:t>
      </w:r>
      <w:r>
        <w:t>cities</w:t>
      </w:r>
      <w:r w:rsidR="00932420">
        <w:t xml:space="preserve"> </w:t>
      </w:r>
      <w:r>
        <w:t>and</w:t>
      </w:r>
      <w:r w:rsidR="00932420">
        <w:t xml:space="preserve"> </w:t>
      </w:r>
      <w:r>
        <w:t>towns</w:t>
      </w:r>
    </w:p>
    <w:p w14:paraId="2A7BCB2A" w14:textId="1122B1A2" w:rsidR="00CA3C5B" w:rsidRDefault="00260033" w:rsidP="00770C0E">
      <w:pPr>
        <w:pStyle w:val="TableHeading"/>
      </w:pPr>
      <w:r>
        <w:t>Table</w:t>
      </w:r>
      <w:r w:rsidR="00932420">
        <w:t xml:space="preserve"> </w:t>
      </w:r>
      <w:r>
        <w:t>14:</w:t>
      </w:r>
      <w:r w:rsidR="00932420">
        <w:t xml:space="preserve"> </w:t>
      </w:r>
      <w:r>
        <w:t>Output</w:t>
      </w:r>
      <w:r w:rsidR="00932420">
        <w:t xml:space="preserve"> </w:t>
      </w:r>
      <w:r>
        <w:t>–</w:t>
      </w:r>
      <w:r w:rsidR="00932420">
        <w:t xml:space="preserve"> </w:t>
      </w:r>
      <w:r>
        <w:t>Regional</w:t>
      </w:r>
      <w:r w:rsidR="00932420">
        <w:t xml:space="preserve"> </w:t>
      </w:r>
      <w:r>
        <w:t>Development</w:t>
      </w:r>
    </w:p>
    <w:tbl>
      <w:tblPr>
        <w:tblStyle w:val="TableGrid"/>
        <w:tblW w:w="9780" w:type="dxa"/>
        <w:tblLayout w:type="fixed"/>
        <w:tblLook w:val="0020" w:firstRow="1" w:lastRow="0" w:firstColumn="0" w:lastColumn="0" w:noHBand="0" w:noVBand="0"/>
      </w:tblPr>
      <w:tblGrid>
        <w:gridCol w:w="4531"/>
        <w:gridCol w:w="1134"/>
        <w:gridCol w:w="963"/>
        <w:gridCol w:w="953"/>
        <w:gridCol w:w="1428"/>
        <w:gridCol w:w="771"/>
      </w:tblGrid>
      <w:tr w:rsidR="00CA3C5B" w:rsidRPr="0020362D" w14:paraId="7668D0F0" w14:textId="77777777" w:rsidTr="0020362D">
        <w:trPr>
          <w:cantSplit/>
          <w:tblHeader/>
        </w:trPr>
        <w:tc>
          <w:tcPr>
            <w:tcW w:w="4531" w:type="dxa"/>
          </w:tcPr>
          <w:p w14:paraId="6A2DDD6D" w14:textId="14F88E68" w:rsidR="00CA3C5B" w:rsidRPr="0020362D" w:rsidRDefault="00260033" w:rsidP="0020362D">
            <w:pPr>
              <w:pStyle w:val="TableColumnHeading"/>
              <w:rPr>
                <w:sz w:val="21"/>
                <w:szCs w:val="21"/>
              </w:rPr>
            </w:pPr>
            <w:bookmarkStart w:id="33" w:name="ColumnTitle_15"/>
            <w:bookmarkEnd w:id="33"/>
            <w:r w:rsidRPr="0020362D">
              <w:rPr>
                <w:sz w:val="21"/>
                <w:szCs w:val="21"/>
              </w:rPr>
              <w:t>Performance</w:t>
            </w:r>
            <w:r w:rsidR="00932420" w:rsidRPr="0020362D">
              <w:rPr>
                <w:sz w:val="21"/>
                <w:szCs w:val="21"/>
              </w:rPr>
              <w:t xml:space="preserve"> </w:t>
            </w:r>
            <w:r w:rsidRPr="0020362D">
              <w:rPr>
                <w:sz w:val="21"/>
                <w:szCs w:val="21"/>
              </w:rPr>
              <w:t>measures</w:t>
            </w:r>
          </w:p>
        </w:tc>
        <w:tc>
          <w:tcPr>
            <w:tcW w:w="1134" w:type="dxa"/>
          </w:tcPr>
          <w:p w14:paraId="7C949043" w14:textId="6ACCA982" w:rsidR="00CA3C5B" w:rsidRPr="0020362D" w:rsidRDefault="00260033" w:rsidP="0020362D">
            <w:pPr>
              <w:pStyle w:val="TableColumnHeading"/>
              <w:rPr>
                <w:sz w:val="21"/>
                <w:szCs w:val="21"/>
              </w:rPr>
            </w:pPr>
            <w:r w:rsidRPr="0020362D">
              <w:rPr>
                <w:sz w:val="21"/>
                <w:szCs w:val="21"/>
              </w:rPr>
              <w:t>Unit</w:t>
            </w:r>
            <w:r w:rsidR="00932420" w:rsidRPr="0020362D">
              <w:rPr>
                <w:sz w:val="21"/>
                <w:szCs w:val="21"/>
              </w:rPr>
              <w:t xml:space="preserve"> </w:t>
            </w:r>
            <w:r w:rsidRPr="0020362D">
              <w:rPr>
                <w:sz w:val="21"/>
                <w:szCs w:val="21"/>
              </w:rPr>
              <w:t>of</w:t>
            </w:r>
            <w:r w:rsidR="00932420" w:rsidRPr="0020362D">
              <w:rPr>
                <w:sz w:val="21"/>
                <w:szCs w:val="21"/>
              </w:rPr>
              <w:t xml:space="preserve"> </w:t>
            </w:r>
            <w:r w:rsidRPr="0020362D">
              <w:rPr>
                <w:sz w:val="21"/>
                <w:szCs w:val="21"/>
              </w:rPr>
              <w:t>Measure</w:t>
            </w:r>
          </w:p>
        </w:tc>
        <w:tc>
          <w:tcPr>
            <w:tcW w:w="963" w:type="dxa"/>
          </w:tcPr>
          <w:p w14:paraId="6A6F493B" w14:textId="40560BC1" w:rsidR="00CA3C5B" w:rsidRPr="0020362D" w:rsidRDefault="00260033" w:rsidP="00D41196">
            <w:pPr>
              <w:pStyle w:val="TableColumnHeading"/>
              <w:jc w:val="right"/>
              <w:rPr>
                <w:sz w:val="21"/>
                <w:szCs w:val="21"/>
              </w:rPr>
            </w:pPr>
            <w:r w:rsidRPr="0020362D">
              <w:rPr>
                <w:sz w:val="21"/>
                <w:szCs w:val="21"/>
              </w:rPr>
              <w:t>2022–23</w:t>
            </w:r>
            <w:r w:rsidR="0020362D">
              <w:rPr>
                <w:sz w:val="21"/>
                <w:szCs w:val="21"/>
              </w:rPr>
              <w:t xml:space="preserve"> </w:t>
            </w:r>
            <w:r w:rsidRPr="0020362D">
              <w:rPr>
                <w:sz w:val="21"/>
                <w:szCs w:val="21"/>
              </w:rPr>
              <w:t>Actual</w:t>
            </w:r>
          </w:p>
        </w:tc>
        <w:tc>
          <w:tcPr>
            <w:tcW w:w="953" w:type="dxa"/>
          </w:tcPr>
          <w:p w14:paraId="4A59560B" w14:textId="520C346F" w:rsidR="00CA3C5B" w:rsidRPr="0020362D" w:rsidRDefault="00260033" w:rsidP="00D41196">
            <w:pPr>
              <w:pStyle w:val="TableColumnHeading"/>
              <w:jc w:val="right"/>
              <w:rPr>
                <w:sz w:val="21"/>
                <w:szCs w:val="21"/>
              </w:rPr>
            </w:pPr>
            <w:r w:rsidRPr="0020362D">
              <w:rPr>
                <w:sz w:val="21"/>
                <w:szCs w:val="21"/>
              </w:rPr>
              <w:t>2022–23</w:t>
            </w:r>
            <w:r w:rsidR="00932420" w:rsidRPr="0020362D">
              <w:rPr>
                <w:sz w:val="21"/>
                <w:szCs w:val="21"/>
              </w:rPr>
              <w:t xml:space="preserve"> </w:t>
            </w:r>
            <w:r w:rsidRPr="0020362D">
              <w:rPr>
                <w:sz w:val="21"/>
                <w:szCs w:val="21"/>
              </w:rPr>
              <w:t>Target</w:t>
            </w:r>
          </w:p>
        </w:tc>
        <w:tc>
          <w:tcPr>
            <w:tcW w:w="1428" w:type="dxa"/>
          </w:tcPr>
          <w:p w14:paraId="6046B644" w14:textId="7DFEC312" w:rsidR="00CA3C5B" w:rsidRPr="0020362D" w:rsidRDefault="00260033" w:rsidP="00D41196">
            <w:pPr>
              <w:pStyle w:val="TableColumnHeading"/>
              <w:jc w:val="right"/>
              <w:rPr>
                <w:sz w:val="21"/>
                <w:szCs w:val="21"/>
              </w:rPr>
            </w:pPr>
            <w:r w:rsidRPr="0020362D">
              <w:rPr>
                <w:sz w:val="21"/>
                <w:szCs w:val="21"/>
              </w:rPr>
              <w:t>Performance</w:t>
            </w:r>
            <w:r w:rsidR="00932420" w:rsidRPr="0020362D">
              <w:rPr>
                <w:sz w:val="21"/>
                <w:szCs w:val="21"/>
              </w:rPr>
              <w:t xml:space="preserve"> </w:t>
            </w:r>
            <w:r w:rsidRPr="0020362D">
              <w:rPr>
                <w:sz w:val="21"/>
                <w:szCs w:val="21"/>
              </w:rPr>
              <w:t>variation</w:t>
            </w:r>
            <w:r w:rsidR="00932420" w:rsidRPr="0020362D">
              <w:rPr>
                <w:sz w:val="21"/>
                <w:szCs w:val="21"/>
              </w:rPr>
              <w:t xml:space="preserve"> </w:t>
            </w:r>
            <w:r w:rsidRPr="0020362D">
              <w:rPr>
                <w:sz w:val="21"/>
                <w:szCs w:val="21"/>
              </w:rPr>
              <w:t>(%)</w:t>
            </w:r>
          </w:p>
        </w:tc>
        <w:tc>
          <w:tcPr>
            <w:tcW w:w="771" w:type="dxa"/>
          </w:tcPr>
          <w:p w14:paraId="13CB397B" w14:textId="77777777" w:rsidR="00CA3C5B" w:rsidRPr="0020362D" w:rsidRDefault="00260033" w:rsidP="00D41196">
            <w:pPr>
              <w:pStyle w:val="TableColumnHeading"/>
              <w:jc w:val="right"/>
              <w:rPr>
                <w:sz w:val="21"/>
                <w:szCs w:val="21"/>
              </w:rPr>
            </w:pPr>
            <w:r w:rsidRPr="0020362D">
              <w:rPr>
                <w:sz w:val="21"/>
                <w:szCs w:val="21"/>
              </w:rPr>
              <w:t>Result</w:t>
            </w:r>
          </w:p>
        </w:tc>
      </w:tr>
      <w:tr w:rsidR="0020362D" w14:paraId="66B55C7D" w14:textId="77777777" w:rsidTr="0020362D">
        <w:trPr>
          <w:cantSplit/>
        </w:trPr>
        <w:tc>
          <w:tcPr>
            <w:tcW w:w="4531" w:type="dxa"/>
          </w:tcPr>
          <w:p w14:paraId="15920C43" w14:textId="68D84886" w:rsidR="0020362D" w:rsidRDefault="0020362D" w:rsidP="0020362D">
            <w:pPr>
              <w:pStyle w:val="TableHeading"/>
            </w:pPr>
            <w:r>
              <w:t>Quantity</w:t>
            </w:r>
          </w:p>
        </w:tc>
        <w:tc>
          <w:tcPr>
            <w:tcW w:w="1134" w:type="dxa"/>
          </w:tcPr>
          <w:p w14:paraId="1EED310C" w14:textId="77777777" w:rsidR="0020362D" w:rsidRDefault="0020362D" w:rsidP="00993F85">
            <w:pPr>
              <w:pStyle w:val="TableCopy"/>
            </w:pPr>
          </w:p>
        </w:tc>
        <w:tc>
          <w:tcPr>
            <w:tcW w:w="963" w:type="dxa"/>
          </w:tcPr>
          <w:p w14:paraId="0C7F5083" w14:textId="77777777" w:rsidR="0020362D" w:rsidRDefault="0020362D" w:rsidP="00D41196">
            <w:pPr>
              <w:pStyle w:val="TableCopy"/>
              <w:jc w:val="right"/>
            </w:pPr>
          </w:p>
        </w:tc>
        <w:tc>
          <w:tcPr>
            <w:tcW w:w="953" w:type="dxa"/>
          </w:tcPr>
          <w:p w14:paraId="0B405915" w14:textId="77777777" w:rsidR="0020362D" w:rsidRDefault="0020362D" w:rsidP="00D41196">
            <w:pPr>
              <w:pStyle w:val="TableCopy"/>
              <w:jc w:val="right"/>
            </w:pPr>
          </w:p>
        </w:tc>
        <w:tc>
          <w:tcPr>
            <w:tcW w:w="1428" w:type="dxa"/>
          </w:tcPr>
          <w:p w14:paraId="3EA6238A" w14:textId="77777777" w:rsidR="0020362D" w:rsidRDefault="0020362D" w:rsidP="00D41196">
            <w:pPr>
              <w:pStyle w:val="TableCopy"/>
              <w:jc w:val="right"/>
            </w:pPr>
          </w:p>
        </w:tc>
        <w:tc>
          <w:tcPr>
            <w:tcW w:w="771" w:type="dxa"/>
          </w:tcPr>
          <w:p w14:paraId="06AE45B8" w14:textId="77777777" w:rsidR="0020362D" w:rsidRPr="0020362D" w:rsidRDefault="0020362D" w:rsidP="00D41196">
            <w:pPr>
              <w:pStyle w:val="TableCopy"/>
              <w:jc w:val="right"/>
            </w:pPr>
          </w:p>
        </w:tc>
      </w:tr>
      <w:tr w:rsidR="00CA3C5B" w14:paraId="2864DCE8" w14:textId="77777777" w:rsidTr="0020362D">
        <w:trPr>
          <w:cantSplit/>
        </w:trPr>
        <w:tc>
          <w:tcPr>
            <w:tcW w:w="4531" w:type="dxa"/>
          </w:tcPr>
          <w:p w14:paraId="7E1EA223" w14:textId="77777777" w:rsidR="00CA3C5B" w:rsidRDefault="00260033" w:rsidP="0020362D">
            <w:pPr>
              <w:pStyle w:val="TableCopy"/>
            </w:pPr>
            <w:r>
              <w:t>Actual</w:t>
            </w:r>
            <w:r w:rsidR="00932420">
              <w:t xml:space="preserve"> </w:t>
            </w:r>
            <w:r>
              <w:t>export</w:t>
            </w:r>
            <w:r w:rsidR="00932420">
              <w:t xml:space="preserve"> </w:t>
            </w:r>
            <w:r>
              <w:t>sales</w:t>
            </w:r>
            <w:r w:rsidR="00932420">
              <w:t xml:space="preserve"> </w:t>
            </w:r>
            <w:r>
              <w:t>generated</w:t>
            </w:r>
            <w:r w:rsidR="00932420">
              <w:t xml:space="preserve"> </w:t>
            </w:r>
            <w:r>
              <w:t>for</w:t>
            </w:r>
            <w:r w:rsidR="00932420">
              <w:t xml:space="preserve"> </w:t>
            </w:r>
            <w:r>
              <w:t>regional</w:t>
            </w:r>
            <w:r w:rsidR="00932420">
              <w:t xml:space="preserve"> </w:t>
            </w:r>
            <w:r>
              <w:t>businesses</w:t>
            </w:r>
            <w:r w:rsidR="00932420">
              <w:t xml:space="preserve"> </w:t>
            </w:r>
            <w:proofErr w:type="gramStart"/>
            <w:r>
              <w:t>as</w:t>
            </w:r>
            <w:r w:rsidR="00932420">
              <w:t xml:space="preserve"> </w:t>
            </w:r>
            <w:r>
              <w:t>a</w:t>
            </w:r>
            <w:r w:rsidR="00932420">
              <w:t xml:space="preserve"> </w:t>
            </w:r>
            <w:r>
              <w:t>result</w:t>
            </w:r>
            <w:r w:rsidR="00932420">
              <w:t xml:space="preserve"> </w:t>
            </w:r>
            <w:r>
              <w:t>of</w:t>
            </w:r>
            <w:proofErr w:type="gramEnd"/>
            <w:r w:rsidR="00932420">
              <w:t xml:space="preserve"> </w:t>
            </w:r>
            <w:r>
              <w:t>participation</w:t>
            </w:r>
            <w:r w:rsidR="00932420">
              <w:t xml:space="preserve"> </w:t>
            </w:r>
            <w:r>
              <w:t>in</w:t>
            </w:r>
            <w:r w:rsidR="00932420">
              <w:t xml:space="preserve"> </w:t>
            </w:r>
            <w:r>
              <w:t>government</w:t>
            </w:r>
            <w:r w:rsidR="00932420">
              <w:t xml:space="preserve"> </w:t>
            </w:r>
            <w:r>
              <w:t>programs</w:t>
            </w:r>
          </w:p>
          <w:p w14:paraId="3F615671" w14:textId="56CADBD4" w:rsidR="0020362D" w:rsidRPr="0020362D" w:rsidRDefault="0020362D" w:rsidP="0020362D">
            <w:pPr>
              <w:pStyle w:val="TableCopy"/>
              <w:rPr>
                <w:i/>
                <w:iCs/>
              </w:rPr>
            </w:pPr>
            <w:r w:rsidRPr="0020362D">
              <w:rPr>
                <w:i/>
                <w:iCs/>
              </w:rPr>
              <w:t>Higher result due to regional business’ participation in trade missions and export programs.</w:t>
            </w:r>
          </w:p>
        </w:tc>
        <w:tc>
          <w:tcPr>
            <w:tcW w:w="1134" w:type="dxa"/>
          </w:tcPr>
          <w:p w14:paraId="143E0C70" w14:textId="5DF47EC6" w:rsidR="00CA3C5B" w:rsidRDefault="00260033" w:rsidP="0020362D">
            <w:pPr>
              <w:pStyle w:val="TableCopy"/>
            </w:pPr>
            <w:r>
              <w:t>$</w:t>
            </w:r>
            <w:r w:rsidR="00932420">
              <w:t xml:space="preserve"> </w:t>
            </w:r>
            <w:r>
              <w:t>million</w:t>
            </w:r>
          </w:p>
        </w:tc>
        <w:tc>
          <w:tcPr>
            <w:tcW w:w="963" w:type="dxa"/>
          </w:tcPr>
          <w:p w14:paraId="2B6FE0EE" w14:textId="77777777" w:rsidR="00CA3C5B" w:rsidRDefault="00260033" w:rsidP="00D41196">
            <w:pPr>
              <w:pStyle w:val="TableCopy"/>
              <w:jc w:val="right"/>
            </w:pPr>
            <w:r>
              <w:t>57.7</w:t>
            </w:r>
          </w:p>
        </w:tc>
        <w:tc>
          <w:tcPr>
            <w:tcW w:w="953" w:type="dxa"/>
          </w:tcPr>
          <w:p w14:paraId="7E14E5CC" w14:textId="77777777" w:rsidR="00CA3C5B" w:rsidRDefault="00260033" w:rsidP="00D41196">
            <w:pPr>
              <w:pStyle w:val="TableCopy"/>
              <w:jc w:val="right"/>
            </w:pPr>
            <w:r>
              <w:t>45</w:t>
            </w:r>
          </w:p>
        </w:tc>
        <w:tc>
          <w:tcPr>
            <w:tcW w:w="1428" w:type="dxa"/>
          </w:tcPr>
          <w:p w14:paraId="02C0AD10" w14:textId="77777777" w:rsidR="00CA3C5B" w:rsidRDefault="00260033" w:rsidP="00D41196">
            <w:pPr>
              <w:pStyle w:val="TableCopy"/>
              <w:jc w:val="right"/>
            </w:pPr>
            <w:r>
              <w:t>28.2%</w:t>
            </w:r>
          </w:p>
        </w:tc>
        <w:tc>
          <w:tcPr>
            <w:tcW w:w="771" w:type="dxa"/>
          </w:tcPr>
          <w:p w14:paraId="34BBEC4C" w14:textId="2A42C4DE" w:rsidR="00CA3C5B" w:rsidRPr="0020362D" w:rsidRDefault="0020362D" w:rsidP="00D41196">
            <w:pPr>
              <w:pStyle w:val="TableCopy"/>
              <w:jc w:val="right"/>
            </w:pPr>
            <w:r w:rsidRPr="0020362D">
              <w:t>1</w:t>
            </w:r>
          </w:p>
        </w:tc>
      </w:tr>
      <w:tr w:rsidR="00CA3C5B" w14:paraId="5C72A910" w14:textId="77777777" w:rsidTr="0020362D">
        <w:trPr>
          <w:cantSplit/>
        </w:trPr>
        <w:tc>
          <w:tcPr>
            <w:tcW w:w="4531" w:type="dxa"/>
          </w:tcPr>
          <w:p w14:paraId="24FCB10B" w14:textId="77777777" w:rsidR="00CA3C5B" w:rsidRDefault="00260033" w:rsidP="0020362D">
            <w:pPr>
              <w:pStyle w:val="TableCopy"/>
            </w:pPr>
            <w:r>
              <w:t>Economic</w:t>
            </w:r>
            <w:r w:rsidR="00932420">
              <w:t xml:space="preserve"> </w:t>
            </w:r>
            <w:r>
              <w:t>development</w:t>
            </w:r>
            <w:r w:rsidR="00932420">
              <w:t xml:space="preserve"> </w:t>
            </w:r>
            <w:r>
              <w:t>and</w:t>
            </w:r>
            <w:r w:rsidR="00932420">
              <w:t xml:space="preserve"> </w:t>
            </w:r>
            <w:r>
              <w:t>service</w:t>
            </w:r>
            <w:r w:rsidR="00932420">
              <w:t xml:space="preserve"> </w:t>
            </w:r>
            <w:r>
              <w:t>delivery</w:t>
            </w:r>
            <w:r w:rsidR="00932420">
              <w:t xml:space="preserve"> </w:t>
            </w:r>
            <w:r>
              <w:t>projects</w:t>
            </w:r>
            <w:r w:rsidR="00932420">
              <w:t xml:space="preserve"> </w:t>
            </w:r>
            <w:r>
              <w:t>supported</w:t>
            </w:r>
          </w:p>
          <w:p w14:paraId="56AE9206" w14:textId="431583F1" w:rsidR="0020362D" w:rsidRPr="0020362D" w:rsidRDefault="0020362D" w:rsidP="0020362D">
            <w:pPr>
              <w:pStyle w:val="TableCopy"/>
              <w:rPr>
                <w:i/>
                <w:iCs/>
              </w:rPr>
            </w:pPr>
            <w:r w:rsidRPr="0020362D">
              <w:rPr>
                <w:i/>
                <w:iCs/>
              </w:rPr>
              <w:t>Higher result reflects the introduction of the Living Local Regional Fund, which contributed significantly to this outcome.</w:t>
            </w:r>
          </w:p>
        </w:tc>
        <w:tc>
          <w:tcPr>
            <w:tcW w:w="1134" w:type="dxa"/>
          </w:tcPr>
          <w:p w14:paraId="0224E140" w14:textId="77777777" w:rsidR="00CA3C5B" w:rsidRDefault="00260033" w:rsidP="0020362D">
            <w:pPr>
              <w:pStyle w:val="TableCopy"/>
            </w:pPr>
            <w:r>
              <w:t>number</w:t>
            </w:r>
          </w:p>
        </w:tc>
        <w:tc>
          <w:tcPr>
            <w:tcW w:w="963" w:type="dxa"/>
          </w:tcPr>
          <w:p w14:paraId="5BE20B65" w14:textId="77777777" w:rsidR="00CA3C5B" w:rsidRDefault="00260033" w:rsidP="00D41196">
            <w:pPr>
              <w:pStyle w:val="TableCopy"/>
              <w:jc w:val="right"/>
            </w:pPr>
            <w:r>
              <w:t>225</w:t>
            </w:r>
          </w:p>
        </w:tc>
        <w:tc>
          <w:tcPr>
            <w:tcW w:w="953" w:type="dxa"/>
          </w:tcPr>
          <w:p w14:paraId="09DC15E9" w14:textId="77777777" w:rsidR="00CA3C5B" w:rsidRDefault="00260033" w:rsidP="00D41196">
            <w:pPr>
              <w:pStyle w:val="TableCopy"/>
              <w:jc w:val="right"/>
            </w:pPr>
            <w:r>
              <w:t>90</w:t>
            </w:r>
          </w:p>
        </w:tc>
        <w:tc>
          <w:tcPr>
            <w:tcW w:w="1428" w:type="dxa"/>
          </w:tcPr>
          <w:p w14:paraId="5B414B8F" w14:textId="77777777" w:rsidR="00CA3C5B" w:rsidRDefault="00260033" w:rsidP="00D41196">
            <w:pPr>
              <w:pStyle w:val="TableCopy"/>
              <w:jc w:val="right"/>
            </w:pPr>
            <w:r>
              <w:t>150.0%</w:t>
            </w:r>
          </w:p>
        </w:tc>
        <w:tc>
          <w:tcPr>
            <w:tcW w:w="771" w:type="dxa"/>
          </w:tcPr>
          <w:p w14:paraId="72FC8476" w14:textId="0BB0B577" w:rsidR="00CA3C5B" w:rsidRDefault="0020362D" w:rsidP="00D41196">
            <w:pPr>
              <w:pStyle w:val="TableCopy"/>
              <w:jc w:val="right"/>
            </w:pPr>
            <w:r w:rsidRPr="0020362D">
              <w:t>1</w:t>
            </w:r>
          </w:p>
        </w:tc>
      </w:tr>
      <w:tr w:rsidR="00CA3C5B" w14:paraId="013D704D" w14:textId="77777777" w:rsidTr="0020362D">
        <w:trPr>
          <w:cantSplit/>
        </w:trPr>
        <w:tc>
          <w:tcPr>
            <w:tcW w:w="4531" w:type="dxa"/>
          </w:tcPr>
          <w:p w14:paraId="69C5F510" w14:textId="27588BF4" w:rsidR="00CA3C5B" w:rsidRDefault="00260033" w:rsidP="0020362D">
            <w:pPr>
              <w:pStyle w:val="TableCopy"/>
            </w:pPr>
            <w:r>
              <w:t>Jobs</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investment</w:t>
            </w:r>
            <w:r w:rsidR="00932420">
              <w:t xml:space="preserve"> </w:t>
            </w:r>
            <w:r>
              <w:t>facilitation</w:t>
            </w:r>
            <w:r w:rsidR="00932420">
              <w:t xml:space="preserve"> </w:t>
            </w:r>
            <w:r>
              <w:t>services</w:t>
            </w:r>
            <w:r w:rsidR="00932420">
              <w:t xml:space="preserve"> </w:t>
            </w:r>
            <w:r>
              <w:t>and</w:t>
            </w:r>
            <w:r w:rsidR="00932420">
              <w:t xml:space="preserve"> </w:t>
            </w:r>
            <w:r>
              <w:t>assistance</w:t>
            </w:r>
          </w:p>
        </w:tc>
        <w:tc>
          <w:tcPr>
            <w:tcW w:w="1134" w:type="dxa"/>
          </w:tcPr>
          <w:p w14:paraId="6A574C1D" w14:textId="77777777" w:rsidR="00CA3C5B" w:rsidRDefault="00260033" w:rsidP="0020362D">
            <w:pPr>
              <w:pStyle w:val="TableCopy"/>
            </w:pPr>
            <w:r>
              <w:t>number</w:t>
            </w:r>
          </w:p>
        </w:tc>
        <w:tc>
          <w:tcPr>
            <w:tcW w:w="963" w:type="dxa"/>
          </w:tcPr>
          <w:p w14:paraId="320FE48E" w14:textId="77777777" w:rsidR="00CA3C5B" w:rsidRDefault="00260033" w:rsidP="00D41196">
            <w:pPr>
              <w:pStyle w:val="TableCopy"/>
              <w:jc w:val="right"/>
            </w:pPr>
            <w:r>
              <w:t>1,017</w:t>
            </w:r>
          </w:p>
        </w:tc>
        <w:tc>
          <w:tcPr>
            <w:tcW w:w="953" w:type="dxa"/>
          </w:tcPr>
          <w:p w14:paraId="26BFE445" w14:textId="77777777" w:rsidR="00CA3C5B" w:rsidRDefault="00260033" w:rsidP="00D41196">
            <w:pPr>
              <w:pStyle w:val="TableCopy"/>
              <w:jc w:val="right"/>
            </w:pPr>
            <w:r>
              <w:t>1,000</w:t>
            </w:r>
          </w:p>
        </w:tc>
        <w:tc>
          <w:tcPr>
            <w:tcW w:w="1428" w:type="dxa"/>
          </w:tcPr>
          <w:p w14:paraId="2AA4E5E3" w14:textId="77777777" w:rsidR="00CA3C5B" w:rsidRDefault="00260033" w:rsidP="00D41196">
            <w:pPr>
              <w:pStyle w:val="TableCopy"/>
              <w:jc w:val="right"/>
            </w:pPr>
            <w:r>
              <w:t>1.7%</w:t>
            </w:r>
          </w:p>
        </w:tc>
        <w:tc>
          <w:tcPr>
            <w:tcW w:w="771" w:type="dxa"/>
          </w:tcPr>
          <w:p w14:paraId="1313FF7F" w14:textId="2B4FFC1E" w:rsidR="00CA3C5B" w:rsidRDefault="0020362D" w:rsidP="00D41196">
            <w:pPr>
              <w:pStyle w:val="TableCopy"/>
              <w:jc w:val="right"/>
            </w:pPr>
            <w:r w:rsidRPr="0020362D">
              <w:t>1</w:t>
            </w:r>
          </w:p>
        </w:tc>
      </w:tr>
      <w:tr w:rsidR="00CA3C5B" w14:paraId="45361861" w14:textId="77777777" w:rsidTr="0020362D">
        <w:trPr>
          <w:cantSplit/>
        </w:trPr>
        <w:tc>
          <w:tcPr>
            <w:tcW w:w="4531" w:type="dxa"/>
          </w:tcPr>
          <w:p w14:paraId="3C8CD9E1" w14:textId="77777777" w:rsidR="00CA3C5B" w:rsidRDefault="00260033" w:rsidP="0020362D">
            <w:pPr>
              <w:pStyle w:val="TableCopy"/>
            </w:pPr>
            <w:r>
              <w:lastRenderedPageBreak/>
              <w:t>New</w:t>
            </w:r>
            <w:r w:rsidR="00932420">
              <w:t xml:space="preserve"> </w:t>
            </w:r>
            <w:r>
              <w:t>investment</w:t>
            </w:r>
            <w:r w:rsidR="00932420">
              <w:t xml:space="preserve"> </w:t>
            </w:r>
            <w:r>
              <w:t>in</w:t>
            </w:r>
            <w:r w:rsidR="00932420">
              <w:t xml:space="preserve"> </w:t>
            </w:r>
            <w:r>
              <w:t>regional</w:t>
            </w:r>
            <w:r w:rsidR="00932420">
              <w:t xml:space="preserve"> </w:t>
            </w:r>
            <w:r>
              <w:t>Victoria</w:t>
            </w:r>
            <w:r w:rsidR="00932420">
              <w:t xml:space="preserve"> </w:t>
            </w:r>
            <w:r>
              <w:t>resulting</w:t>
            </w:r>
            <w:r w:rsidR="00932420">
              <w:t xml:space="preserve"> </w:t>
            </w:r>
            <w:r>
              <w:t>from</w:t>
            </w:r>
            <w:r w:rsidR="00932420">
              <w:t xml:space="preserve"> </w:t>
            </w:r>
            <w:r>
              <w:t>government</w:t>
            </w:r>
            <w:r w:rsidR="00932420">
              <w:t xml:space="preserve"> </w:t>
            </w:r>
            <w:r>
              <w:t>facilitation</w:t>
            </w:r>
            <w:r w:rsidR="00932420">
              <w:t xml:space="preserve"> </w:t>
            </w:r>
            <w:r>
              <w:t>services</w:t>
            </w:r>
            <w:r w:rsidR="00932420">
              <w:t xml:space="preserve"> </w:t>
            </w:r>
            <w:r>
              <w:t>and</w:t>
            </w:r>
            <w:r w:rsidR="00932420">
              <w:t xml:space="preserve"> </w:t>
            </w:r>
            <w:r>
              <w:t>assistance</w:t>
            </w:r>
          </w:p>
          <w:p w14:paraId="2D09E030" w14:textId="0487EA26" w:rsidR="0020362D" w:rsidRPr="0020362D" w:rsidRDefault="0020362D" w:rsidP="0020362D">
            <w:pPr>
              <w:pStyle w:val="TableCopy"/>
              <w:rPr>
                <w:i/>
                <w:iCs/>
              </w:rPr>
            </w:pPr>
            <w:r w:rsidRPr="0020362D">
              <w:rPr>
                <w:i/>
                <w:iCs/>
              </w:rPr>
              <w:t xml:space="preserve">Higher result due to of </w:t>
            </w:r>
            <w:proofErr w:type="gramStart"/>
            <w:r w:rsidRPr="0020362D">
              <w:rPr>
                <w:i/>
                <w:iCs/>
              </w:rPr>
              <w:t>a number of</w:t>
            </w:r>
            <w:proofErr w:type="gramEnd"/>
            <w:r w:rsidRPr="0020362D">
              <w:rPr>
                <w:i/>
                <w:iCs/>
              </w:rPr>
              <w:t xml:space="preserve"> significant investment projects proceeding.</w:t>
            </w:r>
          </w:p>
        </w:tc>
        <w:tc>
          <w:tcPr>
            <w:tcW w:w="1134" w:type="dxa"/>
          </w:tcPr>
          <w:p w14:paraId="6EEA5D57" w14:textId="3D3B9531" w:rsidR="00CA3C5B" w:rsidRDefault="00260033" w:rsidP="0020362D">
            <w:pPr>
              <w:pStyle w:val="TableCopy"/>
            </w:pPr>
            <w:r>
              <w:t>$</w:t>
            </w:r>
            <w:r w:rsidR="00932420">
              <w:t xml:space="preserve"> </w:t>
            </w:r>
            <w:r>
              <w:t>million</w:t>
            </w:r>
          </w:p>
        </w:tc>
        <w:tc>
          <w:tcPr>
            <w:tcW w:w="963" w:type="dxa"/>
          </w:tcPr>
          <w:p w14:paraId="300BB806" w14:textId="77777777" w:rsidR="00CA3C5B" w:rsidRDefault="00260033" w:rsidP="00D41196">
            <w:pPr>
              <w:pStyle w:val="TableCopy"/>
              <w:jc w:val="right"/>
            </w:pPr>
            <w:r>
              <w:t>682.4</w:t>
            </w:r>
          </w:p>
        </w:tc>
        <w:tc>
          <w:tcPr>
            <w:tcW w:w="953" w:type="dxa"/>
          </w:tcPr>
          <w:p w14:paraId="4C9F7F24" w14:textId="77777777" w:rsidR="00CA3C5B" w:rsidRDefault="00260033" w:rsidP="00D41196">
            <w:pPr>
              <w:pStyle w:val="TableCopy"/>
              <w:jc w:val="right"/>
            </w:pPr>
            <w:r>
              <w:t>500</w:t>
            </w:r>
          </w:p>
        </w:tc>
        <w:tc>
          <w:tcPr>
            <w:tcW w:w="1428" w:type="dxa"/>
          </w:tcPr>
          <w:p w14:paraId="1DDD746D" w14:textId="77777777" w:rsidR="00CA3C5B" w:rsidRDefault="00260033" w:rsidP="00D41196">
            <w:pPr>
              <w:pStyle w:val="TableCopy"/>
              <w:jc w:val="right"/>
            </w:pPr>
            <w:r>
              <w:t>36.5%</w:t>
            </w:r>
          </w:p>
        </w:tc>
        <w:tc>
          <w:tcPr>
            <w:tcW w:w="771" w:type="dxa"/>
          </w:tcPr>
          <w:p w14:paraId="53C84619" w14:textId="14BB4B37" w:rsidR="00CA3C5B" w:rsidRDefault="0020362D" w:rsidP="00D41196">
            <w:pPr>
              <w:pStyle w:val="TableCopy"/>
              <w:jc w:val="right"/>
            </w:pPr>
            <w:r w:rsidRPr="0020362D">
              <w:t>1</w:t>
            </w:r>
          </w:p>
        </w:tc>
      </w:tr>
      <w:tr w:rsidR="0020362D" w14:paraId="57AA6642" w14:textId="77777777" w:rsidTr="0020362D">
        <w:trPr>
          <w:cantSplit/>
        </w:trPr>
        <w:tc>
          <w:tcPr>
            <w:tcW w:w="4531" w:type="dxa"/>
          </w:tcPr>
          <w:p w14:paraId="39E8A3DC" w14:textId="65056957" w:rsidR="0020362D" w:rsidRDefault="0020362D" w:rsidP="0020362D">
            <w:pPr>
              <w:pStyle w:val="TableHeading"/>
            </w:pPr>
            <w:r>
              <w:t>Quality</w:t>
            </w:r>
          </w:p>
        </w:tc>
        <w:tc>
          <w:tcPr>
            <w:tcW w:w="1134" w:type="dxa"/>
          </w:tcPr>
          <w:p w14:paraId="2CE2F428" w14:textId="77777777" w:rsidR="0020362D" w:rsidRDefault="0020362D" w:rsidP="0020362D">
            <w:pPr>
              <w:pStyle w:val="TableCopy"/>
            </w:pPr>
          </w:p>
        </w:tc>
        <w:tc>
          <w:tcPr>
            <w:tcW w:w="963" w:type="dxa"/>
          </w:tcPr>
          <w:p w14:paraId="19BD7614" w14:textId="77777777" w:rsidR="0020362D" w:rsidRDefault="0020362D" w:rsidP="00D41196">
            <w:pPr>
              <w:pStyle w:val="TableCopy"/>
              <w:jc w:val="right"/>
            </w:pPr>
          </w:p>
        </w:tc>
        <w:tc>
          <w:tcPr>
            <w:tcW w:w="953" w:type="dxa"/>
          </w:tcPr>
          <w:p w14:paraId="1467A50D" w14:textId="77777777" w:rsidR="0020362D" w:rsidRDefault="0020362D" w:rsidP="00D41196">
            <w:pPr>
              <w:pStyle w:val="TableCopy"/>
              <w:jc w:val="right"/>
            </w:pPr>
          </w:p>
        </w:tc>
        <w:tc>
          <w:tcPr>
            <w:tcW w:w="1428" w:type="dxa"/>
          </w:tcPr>
          <w:p w14:paraId="673397A5" w14:textId="77777777" w:rsidR="0020362D" w:rsidRDefault="0020362D" w:rsidP="00D41196">
            <w:pPr>
              <w:pStyle w:val="TableCopy"/>
              <w:jc w:val="right"/>
            </w:pPr>
          </w:p>
        </w:tc>
        <w:tc>
          <w:tcPr>
            <w:tcW w:w="771" w:type="dxa"/>
          </w:tcPr>
          <w:p w14:paraId="414D906C" w14:textId="77777777" w:rsidR="0020362D" w:rsidRPr="0020362D" w:rsidRDefault="0020362D" w:rsidP="00D41196">
            <w:pPr>
              <w:pStyle w:val="TableCopy"/>
              <w:jc w:val="right"/>
            </w:pPr>
          </w:p>
        </w:tc>
      </w:tr>
      <w:tr w:rsidR="00CA3C5B" w14:paraId="3E90D6D1" w14:textId="77777777" w:rsidTr="0020362D">
        <w:trPr>
          <w:cantSplit/>
        </w:trPr>
        <w:tc>
          <w:tcPr>
            <w:tcW w:w="4531" w:type="dxa"/>
          </w:tcPr>
          <w:p w14:paraId="2EA152A8" w14:textId="77777777" w:rsidR="00CA3C5B" w:rsidRDefault="00260033" w:rsidP="0020362D">
            <w:pPr>
              <w:pStyle w:val="TableCopy"/>
            </w:pPr>
            <w:r>
              <w:t>Participant</w:t>
            </w:r>
            <w:r w:rsidR="00932420">
              <w:t xml:space="preserve"> </w:t>
            </w:r>
            <w:r>
              <w:t>satisfaction</w:t>
            </w:r>
            <w:r w:rsidR="00932420">
              <w:t xml:space="preserve"> </w:t>
            </w:r>
            <w:r>
              <w:t>with</w:t>
            </w:r>
            <w:r w:rsidR="00932420">
              <w:t xml:space="preserve"> </w:t>
            </w:r>
            <w:r>
              <w:t>implementation</w:t>
            </w:r>
            <w:r w:rsidR="00932420">
              <w:t xml:space="preserve"> </w:t>
            </w:r>
            <w:r>
              <w:t>of</w:t>
            </w:r>
            <w:r w:rsidR="00932420">
              <w:t xml:space="preserve"> </w:t>
            </w:r>
            <w:r>
              <w:t>Regional</w:t>
            </w:r>
            <w:r w:rsidR="00932420">
              <w:t xml:space="preserve"> </w:t>
            </w:r>
            <w:r>
              <w:t>Development</w:t>
            </w:r>
            <w:r w:rsidR="00932420">
              <w:t xml:space="preserve"> </w:t>
            </w:r>
            <w:r>
              <w:t>Victoria</w:t>
            </w:r>
            <w:r w:rsidR="00932420">
              <w:t xml:space="preserve"> </w:t>
            </w:r>
            <w:r>
              <w:t>programs</w:t>
            </w:r>
          </w:p>
          <w:p w14:paraId="22F092B1" w14:textId="60727061" w:rsidR="0020362D" w:rsidRPr="0020362D" w:rsidRDefault="0020362D" w:rsidP="0020362D">
            <w:pPr>
              <w:pStyle w:val="TableCopy"/>
              <w:rPr>
                <w:i/>
                <w:iCs/>
              </w:rPr>
            </w:pPr>
            <w:r w:rsidRPr="0020362D">
              <w:rPr>
                <w:i/>
                <w:iCs/>
              </w:rPr>
              <w:t>Higher result reflects an improvement in grant delivery, with only 3% of respondents being dissatisfied with the implementation of Regional Development programs.</w:t>
            </w:r>
          </w:p>
        </w:tc>
        <w:tc>
          <w:tcPr>
            <w:tcW w:w="1134" w:type="dxa"/>
          </w:tcPr>
          <w:p w14:paraId="02385949" w14:textId="006E0370" w:rsidR="00CA3C5B" w:rsidRDefault="00260033" w:rsidP="0020362D">
            <w:pPr>
              <w:pStyle w:val="TableCopy"/>
            </w:pPr>
            <w:r>
              <w:t>per</w:t>
            </w:r>
            <w:r w:rsidR="00932420">
              <w:t xml:space="preserve"> </w:t>
            </w:r>
            <w:r>
              <w:t>cent</w:t>
            </w:r>
          </w:p>
        </w:tc>
        <w:tc>
          <w:tcPr>
            <w:tcW w:w="963" w:type="dxa"/>
          </w:tcPr>
          <w:p w14:paraId="46C5F5D9" w14:textId="77777777" w:rsidR="00CA3C5B" w:rsidRDefault="00260033" w:rsidP="00D41196">
            <w:pPr>
              <w:pStyle w:val="TableCopy"/>
              <w:jc w:val="right"/>
            </w:pPr>
            <w:r>
              <w:t>97</w:t>
            </w:r>
          </w:p>
        </w:tc>
        <w:tc>
          <w:tcPr>
            <w:tcW w:w="953" w:type="dxa"/>
          </w:tcPr>
          <w:p w14:paraId="337565BE" w14:textId="77777777" w:rsidR="00CA3C5B" w:rsidRDefault="00260033" w:rsidP="00D41196">
            <w:pPr>
              <w:pStyle w:val="TableCopy"/>
              <w:jc w:val="right"/>
            </w:pPr>
            <w:r>
              <w:t>90</w:t>
            </w:r>
          </w:p>
        </w:tc>
        <w:tc>
          <w:tcPr>
            <w:tcW w:w="1428" w:type="dxa"/>
          </w:tcPr>
          <w:p w14:paraId="39CD07AF" w14:textId="77777777" w:rsidR="00CA3C5B" w:rsidRDefault="00260033" w:rsidP="00D41196">
            <w:pPr>
              <w:pStyle w:val="TableCopy"/>
              <w:jc w:val="right"/>
            </w:pPr>
            <w:r>
              <w:t>7.8%</w:t>
            </w:r>
          </w:p>
        </w:tc>
        <w:tc>
          <w:tcPr>
            <w:tcW w:w="771" w:type="dxa"/>
          </w:tcPr>
          <w:p w14:paraId="09ACA05D" w14:textId="13C99DB1" w:rsidR="00CA3C5B" w:rsidRDefault="0020362D" w:rsidP="00D41196">
            <w:pPr>
              <w:pStyle w:val="TableCopy"/>
              <w:jc w:val="right"/>
            </w:pPr>
            <w:r w:rsidRPr="0020362D">
              <w:t>1</w:t>
            </w:r>
          </w:p>
        </w:tc>
      </w:tr>
      <w:tr w:rsidR="0020362D" w14:paraId="657FCB27" w14:textId="77777777" w:rsidTr="0020362D">
        <w:trPr>
          <w:cantSplit/>
        </w:trPr>
        <w:tc>
          <w:tcPr>
            <w:tcW w:w="4531" w:type="dxa"/>
          </w:tcPr>
          <w:p w14:paraId="6AAFC79C" w14:textId="76491B6A" w:rsidR="0020362D" w:rsidRDefault="0020362D" w:rsidP="0020362D">
            <w:pPr>
              <w:pStyle w:val="TableHeading"/>
            </w:pPr>
            <w:r>
              <w:t>Cost</w:t>
            </w:r>
          </w:p>
        </w:tc>
        <w:tc>
          <w:tcPr>
            <w:tcW w:w="1134" w:type="dxa"/>
          </w:tcPr>
          <w:p w14:paraId="7489A92D" w14:textId="77777777" w:rsidR="0020362D" w:rsidRDefault="0020362D" w:rsidP="0020362D">
            <w:pPr>
              <w:pStyle w:val="TableCopy"/>
            </w:pPr>
          </w:p>
        </w:tc>
        <w:tc>
          <w:tcPr>
            <w:tcW w:w="963" w:type="dxa"/>
          </w:tcPr>
          <w:p w14:paraId="602C06B3" w14:textId="77777777" w:rsidR="0020362D" w:rsidRDefault="0020362D" w:rsidP="00D41196">
            <w:pPr>
              <w:pStyle w:val="TableCopy"/>
              <w:jc w:val="right"/>
            </w:pPr>
          </w:p>
        </w:tc>
        <w:tc>
          <w:tcPr>
            <w:tcW w:w="953" w:type="dxa"/>
          </w:tcPr>
          <w:p w14:paraId="1409FBD6" w14:textId="77777777" w:rsidR="0020362D" w:rsidRDefault="0020362D" w:rsidP="00D41196">
            <w:pPr>
              <w:pStyle w:val="TableCopy"/>
              <w:jc w:val="right"/>
            </w:pPr>
          </w:p>
        </w:tc>
        <w:tc>
          <w:tcPr>
            <w:tcW w:w="1428" w:type="dxa"/>
          </w:tcPr>
          <w:p w14:paraId="5E0F0F6A" w14:textId="77777777" w:rsidR="0020362D" w:rsidRDefault="0020362D" w:rsidP="00D41196">
            <w:pPr>
              <w:pStyle w:val="TableCopy"/>
              <w:jc w:val="right"/>
            </w:pPr>
          </w:p>
        </w:tc>
        <w:tc>
          <w:tcPr>
            <w:tcW w:w="771" w:type="dxa"/>
          </w:tcPr>
          <w:p w14:paraId="02CF4B13" w14:textId="77777777" w:rsidR="0020362D" w:rsidRPr="0020362D" w:rsidRDefault="0020362D" w:rsidP="00D41196">
            <w:pPr>
              <w:pStyle w:val="TableCopy"/>
              <w:jc w:val="right"/>
            </w:pPr>
          </w:p>
        </w:tc>
      </w:tr>
      <w:tr w:rsidR="00CA3C5B" w:rsidRPr="0020362D" w14:paraId="612BFCFD" w14:textId="77777777" w:rsidTr="0020362D">
        <w:trPr>
          <w:cantSplit/>
        </w:trPr>
        <w:tc>
          <w:tcPr>
            <w:tcW w:w="4531" w:type="dxa"/>
          </w:tcPr>
          <w:p w14:paraId="2392249D" w14:textId="34A86D71" w:rsidR="00CA3C5B" w:rsidRPr="0020362D" w:rsidRDefault="00260033" w:rsidP="0020362D">
            <w:pPr>
              <w:pStyle w:val="TableCopy"/>
              <w:rPr>
                <w:b/>
                <w:bCs/>
              </w:rPr>
            </w:pPr>
            <w:r w:rsidRPr="0020362D">
              <w:rPr>
                <w:b/>
                <w:bCs/>
              </w:rPr>
              <w:t>Total</w:t>
            </w:r>
            <w:r w:rsidR="00932420" w:rsidRPr="0020362D">
              <w:rPr>
                <w:b/>
                <w:bCs/>
              </w:rPr>
              <w:t xml:space="preserve"> </w:t>
            </w:r>
            <w:r w:rsidRPr="0020362D">
              <w:rPr>
                <w:b/>
                <w:bCs/>
              </w:rPr>
              <w:t>output</w:t>
            </w:r>
            <w:r w:rsidR="00932420" w:rsidRPr="0020362D">
              <w:rPr>
                <w:b/>
                <w:bCs/>
              </w:rPr>
              <w:t xml:space="preserve"> </w:t>
            </w:r>
            <w:r w:rsidRPr="0020362D">
              <w:rPr>
                <w:b/>
                <w:bCs/>
              </w:rPr>
              <w:t>cost</w:t>
            </w:r>
          </w:p>
        </w:tc>
        <w:tc>
          <w:tcPr>
            <w:tcW w:w="1134" w:type="dxa"/>
          </w:tcPr>
          <w:p w14:paraId="3893721A" w14:textId="64F6F308" w:rsidR="00CA3C5B" w:rsidRPr="0020362D" w:rsidRDefault="00260033" w:rsidP="0020362D">
            <w:pPr>
              <w:pStyle w:val="TableCopy"/>
              <w:rPr>
                <w:b/>
                <w:bCs/>
              </w:rPr>
            </w:pPr>
            <w:r w:rsidRPr="0020362D">
              <w:rPr>
                <w:b/>
                <w:bCs/>
              </w:rPr>
              <w:t>$</w:t>
            </w:r>
            <w:r w:rsidR="00932420" w:rsidRPr="0020362D">
              <w:rPr>
                <w:b/>
                <w:bCs/>
              </w:rPr>
              <w:t xml:space="preserve"> </w:t>
            </w:r>
            <w:r w:rsidRPr="0020362D">
              <w:rPr>
                <w:b/>
                <w:bCs/>
              </w:rPr>
              <w:t>million</w:t>
            </w:r>
          </w:p>
        </w:tc>
        <w:tc>
          <w:tcPr>
            <w:tcW w:w="963" w:type="dxa"/>
          </w:tcPr>
          <w:p w14:paraId="0B8D2BD6" w14:textId="77777777" w:rsidR="00CA3C5B" w:rsidRPr="0020362D" w:rsidRDefault="00260033" w:rsidP="00D41196">
            <w:pPr>
              <w:pStyle w:val="TableCopy"/>
              <w:jc w:val="right"/>
              <w:rPr>
                <w:b/>
                <w:bCs/>
              </w:rPr>
            </w:pPr>
            <w:r w:rsidRPr="0020362D">
              <w:rPr>
                <w:b/>
                <w:bCs/>
              </w:rPr>
              <w:t>166.9</w:t>
            </w:r>
          </w:p>
        </w:tc>
        <w:tc>
          <w:tcPr>
            <w:tcW w:w="953" w:type="dxa"/>
          </w:tcPr>
          <w:p w14:paraId="41D762CB" w14:textId="77777777" w:rsidR="00CA3C5B" w:rsidRPr="0020362D" w:rsidRDefault="00260033" w:rsidP="00D41196">
            <w:pPr>
              <w:pStyle w:val="TableCopy"/>
              <w:jc w:val="right"/>
              <w:rPr>
                <w:b/>
                <w:bCs/>
              </w:rPr>
            </w:pPr>
            <w:r w:rsidRPr="0020362D">
              <w:rPr>
                <w:b/>
                <w:bCs/>
              </w:rPr>
              <w:t>176.2</w:t>
            </w:r>
          </w:p>
        </w:tc>
        <w:tc>
          <w:tcPr>
            <w:tcW w:w="1428" w:type="dxa"/>
          </w:tcPr>
          <w:p w14:paraId="7EF5EC78" w14:textId="77777777" w:rsidR="00CA3C5B" w:rsidRPr="0020362D" w:rsidRDefault="00260033" w:rsidP="00D41196">
            <w:pPr>
              <w:pStyle w:val="TableCopy"/>
              <w:jc w:val="right"/>
              <w:rPr>
                <w:b/>
                <w:bCs/>
              </w:rPr>
            </w:pPr>
            <w:r w:rsidRPr="0020362D">
              <w:rPr>
                <w:b/>
                <w:bCs/>
              </w:rPr>
              <w:t>-5.3%</w:t>
            </w:r>
          </w:p>
        </w:tc>
        <w:tc>
          <w:tcPr>
            <w:tcW w:w="771" w:type="dxa"/>
          </w:tcPr>
          <w:p w14:paraId="3B7DB8EC" w14:textId="504F1B61" w:rsidR="00CA3C5B" w:rsidRPr="0020362D" w:rsidRDefault="0020362D" w:rsidP="00D41196">
            <w:pPr>
              <w:pStyle w:val="TableCopy"/>
              <w:jc w:val="right"/>
              <w:rPr>
                <w:b/>
                <w:bCs/>
              </w:rPr>
            </w:pPr>
            <w:r w:rsidRPr="0020362D">
              <w:rPr>
                <w:b/>
                <w:bCs/>
              </w:rPr>
              <w:t>1</w:t>
            </w:r>
          </w:p>
        </w:tc>
      </w:tr>
      <w:tr w:rsidR="0020362D" w:rsidRPr="0020362D" w14:paraId="5DE4A6BA" w14:textId="77777777" w:rsidTr="0020362D">
        <w:trPr>
          <w:cantSplit/>
        </w:trPr>
        <w:tc>
          <w:tcPr>
            <w:tcW w:w="4531" w:type="dxa"/>
          </w:tcPr>
          <w:p w14:paraId="3F23F6A8" w14:textId="0396142B" w:rsidR="0020362D" w:rsidRPr="0020362D" w:rsidRDefault="0020362D" w:rsidP="0020362D">
            <w:pPr>
              <w:pStyle w:val="TableCopy"/>
              <w:rPr>
                <w:i/>
                <w:iCs/>
              </w:rPr>
            </w:pPr>
            <w:r w:rsidRPr="0020362D">
              <w:rPr>
                <w:i/>
                <w:iCs/>
              </w:rPr>
              <w:t>The 2022–23 result is lower than the 2022–23 budget due to timing of payments for regional grant programs, with milestone payments now expected to be made in future years.</w:t>
            </w:r>
          </w:p>
        </w:tc>
        <w:tc>
          <w:tcPr>
            <w:tcW w:w="1134" w:type="dxa"/>
          </w:tcPr>
          <w:p w14:paraId="61BA6F0F" w14:textId="77777777" w:rsidR="0020362D" w:rsidRPr="0020362D" w:rsidRDefault="0020362D" w:rsidP="0020362D">
            <w:pPr>
              <w:pStyle w:val="TableCopy"/>
            </w:pPr>
          </w:p>
        </w:tc>
        <w:tc>
          <w:tcPr>
            <w:tcW w:w="963" w:type="dxa"/>
          </w:tcPr>
          <w:p w14:paraId="48437F18" w14:textId="77777777" w:rsidR="0020362D" w:rsidRPr="0020362D" w:rsidRDefault="0020362D" w:rsidP="00D41196">
            <w:pPr>
              <w:pStyle w:val="TableCopy"/>
              <w:jc w:val="right"/>
            </w:pPr>
          </w:p>
        </w:tc>
        <w:tc>
          <w:tcPr>
            <w:tcW w:w="953" w:type="dxa"/>
          </w:tcPr>
          <w:p w14:paraId="606FA418" w14:textId="77777777" w:rsidR="0020362D" w:rsidRPr="0020362D" w:rsidRDefault="0020362D" w:rsidP="00D41196">
            <w:pPr>
              <w:pStyle w:val="TableCopy"/>
              <w:jc w:val="right"/>
            </w:pPr>
          </w:p>
        </w:tc>
        <w:tc>
          <w:tcPr>
            <w:tcW w:w="1428" w:type="dxa"/>
          </w:tcPr>
          <w:p w14:paraId="35F70788" w14:textId="77777777" w:rsidR="0020362D" w:rsidRPr="0020362D" w:rsidRDefault="0020362D" w:rsidP="00D41196">
            <w:pPr>
              <w:pStyle w:val="TableCopy"/>
              <w:jc w:val="right"/>
            </w:pPr>
          </w:p>
        </w:tc>
        <w:tc>
          <w:tcPr>
            <w:tcW w:w="771" w:type="dxa"/>
          </w:tcPr>
          <w:p w14:paraId="60E8CBF0" w14:textId="77777777" w:rsidR="0020362D" w:rsidRPr="0020362D" w:rsidRDefault="0020362D" w:rsidP="00D41196">
            <w:pPr>
              <w:pStyle w:val="TableCopy"/>
              <w:jc w:val="right"/>
            </w:pPr>
          </w:p>
        </w:tc>
      </w:tr>
    </w:tbl>
    <w:p w14:paraId="0A5DFFAD" w14:textId="77777777" w:rsidR="0020362D" w:rsidRDefault="0020362D" w:rsidP="0020362D">
      <w:pPr>
        <w:pStyle w:val="FootnoteText"/>
        <w:spacing w:before="120"/>
      </w:pPr>
      <w:r>
        <w:t>Note:</w:t>
      </w:r>
    </w:p>
    <w:p w14:paraId="5F644D11" w14:textId="1DD4458B" w:rsidR="0020362D" w:rsidRDefault="0020362D" w:rsidP="0020362D">
      <w:pPr>
        <w:pStyle w:val="FootnoteText"/>
      </w:pPr>
      <w:r>
        <w:t>1</w:t>
      </w:r>
      <w:r w:rsidRPr="0020362D">
        <w:t xml:space="preserve"> </w:t>
      </w:r>
      <w:r>
        <w:t>Performance target achieved or exceeded</w:t>
      </w:r>
    </w:p>
    <w:p w14:paraId="3A364B44" w14:textId="129A255E" w:rsidR="0020362D" w:rsidRDefault="0020362D" w:rsidP="0020362D">
      <w:pPr>
        <w:pStyle w:val="FootnoteText"/>
      </w:pPr>
      <w:r>
        <w:t>2</w:t>
      </w:r>
      <w:r w:rsidRPr="0020362D">
        <w:t xml:space="preserve"> </w:t>
      </w:r>
      <w:r>
        <w:t>Performance target not achieved – but within 5% variance</w:t>
      </w:r>
    </w:p>
    <w:p w14:paraId="62B5ED30" w14:textId="71FF52EE" w:rsidR="00CA3C5B" w:rsidRDefault="0020362D" w:rsidP="0020362D">
      <w:pPr>
        <w:pStyle w:val="FootnoteText"/>
        <w:spacing w:after="280"/>
        <w:rPr>
          <w:lang w:val="en-US"/>
        </w:rPr>
      </w:pPr>
      <w:r>
        <w:t>3</w:t>
      </w:r>
      <w:r w:rsidRPr="0020362D">
        <w:t xml:space="preserve"> </w:t>
      </w:r>
      <w:r>
        <w:t>Performance target not achieved – exceeds 5% variance</w:t>
      </w:r>
    </w:p>
    <w:p w14:paraId="7859277F" w14:textId="25DD994C" w:rsidR="00CA3C5B" w:rsidRDefault="00260033" w:rsidP="0020362D">
      <w:r>
        <w:t>Table</w:t>
      </w:r>
      <w:r w:rsidR="00932420">
        <w:t xml:space="preserve"> </w:t>
      </w:r>
      <w:r>
        <w:t>15</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Suburban</w:t>
      </w:r>
      <w:r w:rsidR="00932420">
        <w:t xml:space="preserve"> </w:t>
      </w:r>
      <w:r>
        <w:t>Development</w:t>
      </w:r>
      <w:r w:rsidR="00932420">
        <w:t xml:space="preserve"> </w:t>
      </w:r>
      <w:r>
        <w:t>output.</w:t>
      </w:r>
      <w:r w:rsidR="00932420">
        <w:t xml:space="preserve"> </w:t>
      </w:r>
      <w:r>
        <w:t>This</w:t>
      </w:r>
      <w:r w:rsidR="00932420">
        <w:t xml:space="preserve"> </w:t>
      </w:r>
      <w:r>
        <w:t>output</w:t>
      </w:r>
      <w:r w:rsidR="00932420">
        <w:t xml:space="preserve"> </w:t>
      </w:r>
      <w:r>
        <w:t>supports</w:t>
      </w:r>
      <w:r w:rsidR="00932420">
        <w:t xml:space="preserve"> </w:t>
      </w:r>
      <w:r>
        <w:t>infrastructure</w:t>
      </w:r>
      <w:r w:rsidR="00932420">
        <w:t xml:space="preserve"> </w:t>
      </w:r>
      <w:r>
        <w:t>and</w:t>
      </w:r>
      <w:r w:rsidR="00932420">
        <w:t xml:space="preserve"> </w:t>
      </w:r>
      <w:r>
        <w:t>service</w:t>
      </w:r>
      <w:r w:rsidR="00932420">
        <w:t xml:space="preserve"> </w:t>
      </w:r>
      <w:r>
        <w:t>provision</w:t>
      </w:r>
      <w:r w:rsidR="00932420">
        <w:t xml:space="preserve"> </w:t>
      </w:r>
      <w:r>
        <w:t>to</w:t>
      </w:r>
      <w:r w:rsidR="00932420">
        <w:t xml:space="preserve"> </w:t>
      </w:r>
      <w:r>
        <w:t>drive</w:t>
      </w:r>
      <w:r w:rsidR="00932420">
        <w:t xml:space="preserve"> </w:t>
      </w:r>
      <w:r>
        <w:t>economic</w:t>
      </w:r>
      <w:r w:rsidR="00932420">
        <w:t xml:space="preserve"> </w:t>
      </w:r>
      <w:r>
        <w:t>growth</w:t>
      </w:r>
      <w:r w:rsidR="00932420">
        <w:t xml:space="preserve"> </w:t>
      </w:r>
      <w:r>
        <w:t>across</w:t>
      </w:r>
      <w:r w:rsidR="00932420">
        <w:t xml:space="preserve"> </w:t>
      </w:r>
      <w:r>
        <w:t>metropolitan</w:t>
      </w:r>
      <w:r w:rsidR="00932420">
        <w:t xml:space="preserve"> </w:t>
      </w:r>
      <w:r>
        <w:t>Melbourne,</w:t>
      </w:r>
      <w:r w:rsidR="00932420">
        <w:t xml:space="preserve"> </w:t>
      </w:r>
      <w:r>
        <w:t>in</w:t>
      </w:r>
      <w:r w:rsidR="00932420">
        <w:t xml:space="preserve"> </w:t>
      </w:r>
      <w:r>
        <w:t>partnership</w:t>
      </w:r>
      <w:r w:rsidR="00932420">
        <w:t xml:space="preserve"> </w:t>
      </w:r>
      <w:r>
        <w:t>with</w:t>
      </w:r>
      <w:r w:rsidR="00932420">
        <w:t xml:space="preserve"> </w:t>
      </w:r>
      <w:r>
        <w:t>local</w:t>
      </w:r>
      <w:r w:rsidR="00932420">
        <w:t xml:space="preserve"> </w:t>
      </w:r>
      <w:r>
        <w:t>councils,</w:t>
      </w:r>
      <w:r w:rsidR="00932420">
        <w:t xml:space="preserve"> </w:t>
      </w:r>
      <w:r>
        <w:t>business,</w:t>
      </w:r>
      <w:r w:rsidR="00932420">
        <w:t xml:space="preserve"> </w:t>
      </w:r>
      <w:r>
        <w:t>community</w:t>
      </w:r>
      <w:r w:rsidR="00932420">
        <w:t xml:space="preserve"> </w:t>
      </w:r>
      <w:r>
        <w:t>organisations</w:t>
      </w:r>
      <w:r w:rsidR="00932420">
        <w:t xml:space="preserve"> </w:t>
      </w:r>
      <w:r>
        <w:t>and</w:t>
      </w:r>
      <w:r w:rsidR="00932420">
        <w:t xml:space="preserve"> </w:t>
      </w:r>
      <w:r>
        <w:t>other</w:t>
      </w:r>
      <w:r w:rsidR="00932420">
        <w:t xml:space="preserve"> </w:t>
      </w:r>
      <w:r>
        <w:t>government</w:t>
      </w:r>
      <w:r w:rsidR="00932420">
        <w:t xml:space="preserve"> </w:t>
      </w:r>
      <w:r>
        <w:t>departments.</w:t>
      </w:r>
      <w:r w:rsidR="00932420">
        <w:t xml:space="preserve"> </w:t>
      </w:r>
      <w:r>
        <w:t>The</w:t>
      </w:r>
      <w:r w:rsidR="00932420">
        <w:t xml:space="preserve"> </w:t>
      </w:r>
      <w:r>
        <w:t>department</w:t>
      </w:r>
      <w:r w:rsidR="00932420">
        <w:t xml:space="preserve"> </w:t>
      </w:r>
      <w:r>
        <w:t>also</w:t>
      </w:r>
      <w:r w:rsidR="00932420">
        <w:t xml:space="preserve"> </w:t>
      </w:r>
      <w:r>
        <w:t>delivers</w:t>
      </w:r>
      <w:r w:rsidR="00932420">
        <w:t xml:space="preserve"> </w:t>
      </w:r>
      <w:r>
        <w:t>targeted</w:t>
      </w:r>
      <w:r w:rsidR="00932420">
        <w:t xml:space="preserve"> </w:t>
      </w:r>
      <w:r>
        <w:t>local</w:t>
      </w:r>
      <w:r w:rsidR="00932420">
        <w:t xml:space="preserve"> </w:t>
      </w:r>
      <w:r>
        <w:t>outcomes</w:t>
      </w:r>
      <w:r w:rsidR="00932420">
        <w:t xml:space="preserve"> </w:t>
      </w:r>
      <w:r>
        <w:t>in</w:t>
      </w:r>
      <w:r w:rsidR="00932420">
        <w:t xml:space="preserve"> </w:t>
      </w:r>
      <w:r>
        <w:t>consultation</w:t>
      </w:r>
      <w:r w:rsidR="00932420">
        <w:t xml:space="preserve"> </w:t>
      </w:r>
      <w:r>
        <w:t>with</w:t>
      </w:r>
      <w:r w:rsidR="00932420">
        <w:t xml:space="preserve"> </w:t>
      </w:r>
      <w:r>
        <w:t>local</w:t>
      </w:r>
      <w:r w:rsidR="00932420">
        <w:t xml:space="preserve"> </w:t>
      </w:r>
      <w:r>
        <w:t>communities</w:t>
      </w:r>
      <w:r w:rsidR="00932420">
        <w:t xml:space="preserve"> </w:t>
      </w:r>
      <w:r>
        <w:t>through</w:t>
      </w:r>
      <w:r w:rsidR="00932420">
        <w:t xml:space="preserve"> </w:t>
      </w:r>
      <w:r>
        <w:t>the</w:t>
      </w:r>
      <w:r w:rsidR="00932420">
        <w:t xml:space="preserve"> </w:t>
      </w:r>
      <w:r>
        <w:t>Suburban</w:t>
      </w:r>
      <w:r w:rsidR="00932420">
        <w:t xml:space="preserve"> </w:t>
      </w:r>
      <w:r>
        <w:t>Revitalisation</w:t>
      </w:r>
      <w:r w:rsidR="00932420">
        <w:t xml:space="preserve"> </w:t>
      </w:r>
      <w:r>
        <w:t>Boards.</w:t>
      </w:r>
    </w:p>
    <w:p w14:paraId="0F4D23E8" w14:textId="450750AE" w:rsidR="00CA3C5B" w:rsidRDefault="00260033" w:rsidP="00D41196">
      <w:pPr>
        <w:pStyle w:val="TableHeading"/>
      </w:pPr>
      <w:r>
        <w:lastRenderedPageBreak/>
        <w:t>Table</w:t>
      </w:r>
      <w:r w:rsidR="00932420">
        <w:t xml:space="preserve"> </w:t>
      </w:r>
      <w:r>
        <w:t>15:</w:t>
      </w:r>
      <w:r w:rsidR="00932420">
        <w:t xml:space="preserve"> </w:t>
      </w:r>
      <w:r>
        <w:t>Output</w:t>
      </w:r>
      <w:r w:rsidR="00932420">
        <w:t xml:space="preserve"> </w:t>
      </w:r>
      <w:r>
        <w:t>–</w:t>
      </w:r>
      <w:r w:rsidR="00932420">
        <w:t xml:space="preserve"> </w:t>
      </w:r>
      <w:r>
        <w:t>Suburban</w:t>
      </w:r>
      <w:r w:rsidR="00932420">
        <w:t xml:space="preserve"> </w:t>
      </w:r>
      <w:r>
        <w:t>Development</w:t>
      </w:r>
    </w:p>
    <w:tbl>
      <w:tblPr>
        <w:tblStyle w:val="TableGrid"/>
        <w:tblW w:w="9918" w:type="dxa"/>
        <w:tblLayout w:type="fixed"/>
        <w:tblLook w:val="0020" w:firstRow="1" w:lastRow="0" w:firstColumn="0" w:lastColumn="0" w:noHBand="0" w:noVBand="0"/>
      </w:tblPr>
      <w:tblGrid>
        <w:gridCol w:w="4465"/>
        <w:gridCol w:w="1200"/>
        <w:gridCol w:w="963"/>
        <w:gridCol w:w="953"/>
        <w:gridCol w:w="1486"/>
        <w:gridCol w:w="851"/>
      </w:tblGrid>
      <w:tr w:rsidR="00CA3C5B" w:rsidRPr="00D41196" w14:paraId="1D14D68A" w14:textId="77777777" w:rsidTr="00D41196">
        <w:trPr>
          <w:cantSplit/>
          <w:tblHeader/>
        </w:trPr>
        <w:tc>
          <w:tcPr>
            <w:tcW w:w="4465" w:type="dxa"/>
          </w:tcPr>
          <w:p w14:paraId="1D673CFF" w14:textId="05E167E9" w:rsidR="00CA3C5B" w:rsidRPr="00D41196" w:rsidRDefault="00260033" w:rsidP="00D41196">
            <w:pPr>
              <w:pStyle w:val="TableColumnHeading"/>
              <w:rPr>
                <w:sz w:val="21"/>
                <w:szCs w:val="21"/>
              </w:rPr>
            </w:pPr>
            <w:bookmarkStart w:id="34" w:name="ColumnTitle_16"/>
            <w:bookmarkEnd w:id="34"/>
            <w:r w:rsidRPr="00D41196">
              <w:rPr>
                <w:sz w:val="21"/>
                <w:szCs w:val="21"/>
              </w:rPr>
              <w:t>Performance</w:t>
            </w:r>
            <w:r w:rsidR="00932420" w:rsidRPr="00D41196">
              <w:rPr>
                <w:sz w:val="21"/>
                <w:szCs w:val="21"/>
              </w:rPr>
              <w:t xml:space="preserve"> </w:t>
            </w:r>
            <w:r w:rsidRPr="00D41196">
              <w:rPr>
                <w:sz w:val="21"/>
                <w:szCs w:val="21"/>
              </w:rPr>
              <w:t>measures</w:t>
            </w:r>
          </w:p>
        </w:tc>
        <w:tc>
          <w:tcPr>
            <w:tcW w:w="1200" w:type="dxa"/>
          </w:tcPr>
          <w:p w14:paraId="1C9BC194" w14:textId="4724325F" w:rsidR="00CA3C5B" w:rsidRPr="00D41196" w:rsidRDefault="00260033" w:rsidP="00D41196">
            <w:pPr>
              <w:pStyle w:val="TableColumnHeading"/>
              <w:rPr>
                <w:sz w:val="21"/>
                <w:szCs w:val="21"/>
              </w:rPr>
            </w:pPr>
            <w:r w:rsidRPr="00D41196">
              <w:rPr>
                <w:sz w:val="21"/>
                <w:szCs w:val="21"/>
              </w:rPr>
              <w:t>Unit</w:t>
            </w:r>
            <w:r w:rsidR="00932420" w:rsidRPr="00D41196">
              <w:rPr>
                <w:sz w:val="21"/>
                <w:szCs w:val="21"/>
              </w:rPr>
              <w:t xml:space="preserve"> </w:t>
            </w:r>
            <w:r w:rsidRPr="00D41196">
              <w:rPr>
                <w:sz w:val="21"/>
                <w:szCs w:val="21"/>
              </w:rPr>
              <w:t>of</w:t>
            </w:r>
            <w:r w:rsidR="00932420" w:rsidRPr="00D41196">
              <w:rPr>
                <w:sz w:val="21"/>
                <w:szCs w:val="21"/>
              </w:rPr>
              <w:t xml:space="preserve"> </w:t>
            </w:r>
            <w:r w:rsidRPr="00D41196">
              <w:rPr>
                <w:sz w:val="21"/>
                <w:szCs w:val="21"/>
              </w:rPr>
              <w:t>Measure</w:t>
            </w:r>
          </w:p>
        </w:tc>
        <w:tc>
          <w:tcPr>
            <w:tcW w:w="963" w:type="dxa"/>
          </w:tcPr>
          <w:p w14:paraId="1E5E146C" w14:textId="6ED6E122" w:rsidR="00CA3C5B" w:rsidRPr="00D41196" w:rsidRDefault="00260033" w:rsidP="007A7D52">
            <w:pPr>
              <w:pStyle w:val="TableColumnHeading"/>
              <w:jc w:val="right"/>
              <w:rPr>
                <w:sz w:val="21"/>
                <w:szCs w:val="21"/>
              </w:rPr>
            </w:pPr>
            <w:r w:rsidRPr="00D41196">
              <w:rPr>
                <w:sz w:val="21"/>
                <w:szCs w:val="21"/>
              </w:rPr>
              <w:t>2022–23</w:t>
            </w:r>
            <w:r w:rsidR="00D41196">
              <w:rPr>
                <w:sz w:val="21"/>
                <w:szCs w:val="21"/>
              </w:rPr>
              <w:t xml:space="preserve"> </w:t>
            </w:r>
            <w:r w:rsidRPr="00D41196">
              <w:rPr>
                <w:sz w:val="21"/>
                <w:szCs w:val="21"/>
              </w:rPr>
              <w:t>Actual</w:t>
            </w:r>
          </w:p>
        </w:tc>
        <w:tc>
          <w:tcPr>
            <w:tcW w:w="953" w:type="dxa"/>
          </w:tcPr>
          <w:p w14:paraId="1A423BEB" w14:textId="58E14D04" w:rsidR="00CA3C5B" w:rsidRPr="00D41196" w:rsidRDefault="00260033" w:rsidP="007A7D52">
            <w:pPr>
              <w:pStyle w:val="TableColumnHeading"/>
              <w:jc w:val="right"/>
              <w:rPr>
                <w:sz w:val="21"/>
                <w:szCs w:val="21"/>
              </w:rPr>
            </w:pPr>
            <w:r w:rsidRPr="00D41196">
              <w:rPr>
                <w:sz w:val="21"/>
                <w:szCs w:val="21"/>
              </w:rPr>
              <w:t>2022–23</w:t>
            </w:r>
            <w:r w:rsidR="00932420" w:rsidRPr="00D41196">
              <w:rPr>
                <w:sz w:val="21"/>
                <w:szCs w:val="21"/>
              </w:rPr>
              <w:t xml:space="preserve"> </w:t>
            </w:r>
            <w:r w:rsidRPr="00D41196">
              <w:rPr>
                <w:sz w:val="21"/>
                <w:szCs w:val="21"/>
              </w:rPr>
              <w:t>Target</w:t>
            </w:r>
          </w:p>
        </w:tc>
        <w:tc>
          <w:tcPr>
            <w:tcW w:w="1486" w:type="dxa"/>
          </w:tcPr>
          <w:p w14:paraId="7A016130" w14:textId="3382AF80" w:rsidR="00CA3C5B" w:rsidRPr="00D41196" w:rsidRDefault="00260033" w:rsidP="007A7D52">
            <w:pPr>
              <w:pStyle w:val="TableColumnHeading"/>
              <w:jc w:val="right"/>
              <w:rPr>
                <w:sz w:val="21"/>
                <w:szCs w:val="21"/>
              </w:rPr>
            </w:pPr>
            <w:r w:rsidRPr="00D41196">
              <w:rPr>
                <w:sz w:val="21"/>
                <w:szCs w:val="21"/>
              </w:rPr>
              <w:t>Performance</w:t>
            </w:r>
            <w:r w:rsidR="00932420" w:rsidRPr="00D41196">
              <w:rPr>
                <w:sz w:val="21"/>
                <w:szCs w:val="21"/>
              </w:rPr>
              <w:t xml:space="preserve"> </w:t>
            </w:r>
            <w:r w:rsidRPr="00D41196">
              <w:rPr>
                <w:sz w:val="21"/>
                <w:szCs w:val="21"/>
              </w:rPr>
              <w:t>variation</w:t>
            </w:r>
            <w:r w:rsidR="00932420" w:rsidRPr="00D41196">
              <w:rPr>
                <w:sz w:val="21"/>
                <w:szCs w:val="21"/>
              </w:rPr>
              <w:t xml:space="preserve"> </w:t>
            </w:r>
            <w:r w:rsidRPr="00D41196">
              <w:rPr>
                <w:sz w:val="21"/>
                <w:szCs w:val="21"/>
              </w:rPr>
              <w:t>(%)</w:t>
            </w:r>
          </w:p>
        </w:tc>
        <w:tc>
          <w:tcPr>
            <w:tcW w:w="851" w:type="dxa"/>
          </w:tcPr>
          <w:p w14:paraId="21FA5ED5" w14:textId="77777777" w:rsidR="00CA3C5B" w:rsidRPr="00D41196" w:rsidRDefault="00260033" w:rsidP="007A7D52">
            <w:pPr>
              <w:pStyle w:val="TableColumnHeading"/>
              <w:jc w:val="right"/>
              <w:rPr>
                <w:sz w:val="21"/>
                <w:szCs w:val="21"/>
              </w:rPr>
            </w:pPr>
            <w:r w:rsidRPr="00D41196">
              <w:rPr>
                <w:sz w:val="21"/>
                <w:szCs w:val="21"/>
              </w:rPr>
              <w:t>Result</w:t>
            </w:r>
          </w:p>
        </w:tc>
      </w:tr>
      <w:tr w:rsidR="00D41196" w:rsidRPr="00D41196" w14:paraId="6FAFD975" w14:textId="77777777" w:rsidTr="00D41196">
        <w:trPr>
          <w:cantSplit/>
        </w:trPr>
        <w:tc>
          <w:tcPr>
            <w:tcW w:w="4465" w:type="dxa"/>
          </w:tcPr>
          <w:p w14:paraId="2C5674C5" w14:textId="01E48E07" w:rsidR="00D41196" w:rsidRPr="00D41196" w:rsidRDefault="00D41196" w:rsidP="00D41196">
            <w:pPr>
              <w:pStyle w:val="TableHeading"/>
            </w:pPr>
            <w:r>
              <w:t>Quantity</w:t>
            </w:r>
          </w:p>
        </w:tc>
        <w:tc>
          <w:tcPr>
            <w:tcW w:w="1200" w:type="dxa"/>
          </w:tcPr>
          <w:p w14:paraId="0BCA74CC" w14:textId="77777777" w:rsidR="00D41196" w:rsidRPr="00D41196" w:rsidRDefault="00D41196" w:rsidP="00D41196">
            <w:pPr>
              <w:pStyle w:val="TableCopy"/>
            </w:pPr>
          </w:p>
        </w:tc>
        <w:tc>
          <w:tcPr>
            <w:tcW w:w="963" w:type="dxa"/>
          </w:tcPr>
          <w:p w14:paraId="70EF77AB" w14:textId="77777777" w:rsidR="00D41196" w:rsidRPr="00D41196" w:rsidRDefault="00D41196" w:rsidP="007A7D52">
            <w:pPr>
              <w:pStyle w:val="TableCopy"/>
              <w:jc w:val="right"/>
            </w:pPr>
          </w:p>
        </w:tc>
        <w:tc>
          <w:tcPr>
            <w:tcW w:w="953" w:type="dxa"/>
          </w:tcPr>
          <w:p w14:paraId="2DCED8DA" w14:textId="77777777" w:rsidR="00D41196" w:rsidRPr="00D41196" w:rsidRDefault="00D41196" w:rsidP="007A7D52">
            <w:pPr>
              <w:pStyle w:val="TableCopy"/>
              <w:jc w:val="right"/>
            </w:pPr>
          </w:p>
        </w:tc>
        <w:tc>
          <w:tcPr>
            <w:tcW w:w="1486" w:type="dxa"/>
          </w:tcPr>
          <w:p w14:paraId="7361F53D" w14:textId="77777777" w:rsidR="00D41196" w:rsidRPr="00D41196" w:rsidRDefault="00D41196" w:rsidP="007A7D52">
            <w:pPr>
              <w:pStyle w:val="TableCopy"/>
              <w:jc w:val="right"/>
            </w:pPr>
          </w:p>
        </w:tc>
        <w:tc>
          <w:tcPr>
            <w:tcW w:w="851" w:type="dxa"/>
          </w:tcPr>
          <w:p w14:paraId="100A2165" w14:textId="77777777" w:rsidR="00D41196" w:rsidRPr="00D41196" w:rsidRDefault="00D41196" w:rsidP="007A7D52">
            <w:pPr>
              <w:pStyle w:val="TableCopy"/>
              <w:jc w:val="right"/>
            </w:pPr>
          </w:p>
        </w:tc>
      </w:tr>
      <w:tr w:rsidR="00CA3C5B" w14:paraId="216DFBCF" w14:textId="77777777" w:rsidTr="00D41196">
        <w:trPr>
          <w:cantSplit/>
        </w:trPr>
        <w:tc>
          <w:tcPr>
            <w:tcW w:w="4465" w:type="dxa"/>
          </w:tcPr>
          <w:p w14:paraId="43BD6090" w14:textId="77777777" w:rsidR="00CA3C5B" w:rsidRDefault="00260033" w:rsidP="00D41196">
            <w:pPr>
              <w:pStyle w:val="TableCopy"/>
            </w:pPr>
            <w:r>
              <w:t>Community</w:t>
            </w:r>
            <w:r w:rsidR="00932420">
              <w:t xml:space="preserve"> </w:t>
            </w:r>
            <w:r>
              <w:t>meetings</w:t>
            </w:r>
            <w:r w:rsidR="00932420">
              <w:t xml:space="preserve"> </w:t>
            </w:r>
            <w:r>
              <w:t>held</w:t>
            </w:r>
            <w:r w:rsidR="00932420">
              <w:t xml:space="preserve"> </w:t>
            </w:r>
            <w:r>
              <w:t>with</w:t>
            </w:r>
            <w:r w:rsidR="00932420">
              <w:t xml:space="preserve"> </w:t>
            </w:r>
            <w:r>
              <w:t>Metropolitan</w:t>
            </w:r>
            <w:r w:rsidR="00932420">
              <w:t xml:space="preserve"> </w:t>
            </w:r>
            <w:r>
              <w:t>Partnerships</w:t>
            </w:r>
          </w:p>
          <w:p w14:paraId="303B1BBB" w14:textId="189C48AF" w:rsidR="00D41196" w:rsidRPr="00D41196" w:rsidRDefault="00D41196" w:rsidP="00D41196">
            <w:pPr>
              <w:pStyle w:val="TableCopy"/>
              <w:rPr>
                <w:i/>
                <w:iCs/>
              </w:rPr>
            </w:pPr>
            <w:r w:rsidRPr="00D41196">
              <w:rPr>
                <w:i/>
                <w:iCs/>
              </w:rPr>
              <w:t>Higher result due to some Metropolitan Partnerships holding multiple community meetings and engagement activities based on the needs of local communities.</w:t>
            </w:r>
          </w:p>
        </w:tc>
        <w:tc>
          <w:tcPr>
            <w:tcW w:w="1200" w:type="dxa"/>
          </w:tcPr>
          <w:p w14:paraId="66A3AD92" w14:textId="77777777" w:rsidR="00CA3C5B" w:rsidRDefault="00260033" w:rsidP="00D41196">
            <w:pPr>
              <w:pStyle w:val="TableCopy"/>
            </w:pPr>
            <w:r>
              <w:t>number</w:t>
            </w:r>
          </w:p>
        </w:tc>
        <w:tc>
          <w:tcPr>
            <w:tcW w:w="963" w:type="dxa"/>
          </w:tcPr>
          <w:p w14:paraId="3046B5AC" w14:textId="77777777" w:rsidR="00CA3C5B" w:rsidRDefault="00260033" w:rsidP="007A7D52">
            <w:pPr>
              <w:pStyle w:val="TableCopy"/>
              <w:jc w:val="right"/>
            </w:pPr>
            <w:r>
              <w:t>22</w:t>
            </w:r>
          </w:p>
        </w:tc>
        <w:tc>
          <w:tcPr>
            <w:tcW w:w="953" w:type="dxa"/>
          </w:tcPr>
          <w:p w14:paraId="23B45616" w14:textId="77777777" w:rsidR="00CA3C5B" w:rsidRDefault="00260033" w:rsidP="007A7D52">
            <w:pPr>
              <w:pStyle w:val="TableCopy"/>
              <w:jc w:val="right"/>
            </w:pPr>
            <w:r>
              <w:t>18</w:t>
            </w:r>
          </w:p>
        </w:tc>
        <w:tc>
          <w:tcPr>
            <w:tcW w:w="1486" w:type="dxa"/>
          </w:tcPr>
          <w:p w14:paraId="58575239" w14:textId="77777777" w:rsidR="00CA3C5B" w:rsidRDefault="00260033" w:rsidP="007A7D52">
            <w:pPr>
              <w:pStyle w:val="TableCopy"/>
              <w:jc w:val="right"/>
            </w:pPr>
            <w:r>
              <w:t>22.2%</w:t>
            </w:r>
          </w:p>
        </w:tc>
        <w:tc>
          <w:tcPr>
            <w:tcW w:w="851" w:type="dxa"/>
          </w:tcPr>
          <w:p w14:paraId="28FA3272" w14:textId="5D7FBF79" w:rsidR="00CA3C5B" w:rsidRPr="007A7D52" w:rsidRDefault="007A7D52" w:rsidP="007A7D52">
            <w:pPr>
              <w:pStyle w:val="TableCopy"/>
              <w:jc w:val="right"/>
            </w:pPr>
            <w:r w:rsidRPr="007A7D52">
              <w:t>1</w:t>
            </w:r>
          </w:p>
        </w:tc>
      </w:tr>
      <w:tr w:rsidR="00CA3C5B" w14:paraId="5649AAC8" w14:textId="77777777" w:rsidTr="00D41196">
        <w:trPr>
          <w:cantSplit/>
        </w:trPr>
        <w:tc>
          <w:tcPr>
            <w:tcW w:w="4465" w:type="dxa"/>
          </w:tcPr>
          <w:p w14:paraId="0E18F251" w14:textId="77777777" w:rsidR="00CA3C5B" w:rsidRDefault="00260033" w:rsidP="00D41196">
            <w:pPr>
              <w:pStyle w:val="TableCopy"/>
            </w:pPr>
            <w:r>
              <w:t>Grants</w:t>
            </w:r>
            <w:r w:rsidR="00932420">
              <w:t xml:space="preserve"> </w:t>
            </w:r>
            <w:r>
              <w:t>to</w:t>
            </w:r>
            <w:r w:rsidR="00932420">
              <w:t xml:space="preserve"> </w:t>
            </w:r>
            <w:r>
              <w:t>support</w:t>
            </w:r>
            <w:r w:rsidR="00932420">
              <w:t xml:space="preserve"> </w:t>
            </w:r>
            <w:r>
              <w:t>local</w:t>
            </w:r>
            <w:r w:rsidR="00932420">
              <w:t xml:space="preserve"> </w:t>
            </w:r>
            <w:r>
              <w:t>communities</w:t>
            </w:r>
            <w:r w:rsidR="00932420">
              <w:t xml:space="preserve"> </w:t>
            </w:r>
            <w:r>
              <w:t>and</w:t>
            </w:r>
            <w:r w:rsidR="00932420">
              <w:t xml:space="preserve"> </w:t>
            </w:r>
            <w:r>
              <w:t>not-for-profit</w:t>
            </w:r>
            <w:r w:rsidR="00932420">
              <w:t xml:space="preserve"> </w:t>
            </w:r>
            <w:r>
              <w:t>organisations</w:t>
            </w:r>
          </w:p>
          <w:p w14:paraId="4D7A622F" w14:textId="7166EA86" w:rsidR="00D41196" w:rsidRPr="00D41196" w:rsidRDefault="00D41196" w:rsidP="00D41196">
            <w:pPr>
              <w:pStyle w:val="TableCopy"/>
              <w:rPr>
                <w:i/>
                <w:iCs/>
              </w:rPr>
            </w:pPr>
            <w:r w:rsidRPr="00D41196">
              <w:rPr>
                <w:i/>
                <w:iCs/>
              </w:rPr>
              <w:t>Lower result due to a program design amendment, which increased the maximum grant value per applicant for projects under the Living Local Fund – Community Grants stream (Stream 2). This amendment resulted in fewer grants being awarded, at a higher average value.</w:t>
            </w:r>
          </w:p>
        </w:tc>
        <w:tc>
          <w:tcPr>
            <w:tcW w:w="1200" w:type="dxa"/>
          </w:tcPr>
          <w:p w14:paraId="6B1573BF" w14:textId="77777777" w:rsidR="00CA3C5B" w:rsidRDefault="00260033" w:rsidP="00D41196">
            <w:pPr>
              <w:pStyle w:val="TableCopy"/>
            </w:pPr>
            <w:r>
              <w:t>number</w:t>
            </w:r>
          </w:p>
        </w:tc>
        <w:tc>
          <w:tcPr>
            <w:tcW w:w="963" w:type="dxa"/>
          </w:tcPr>
          <w:p w14:paraId="31065BF3" w14:textId="77777777" w:rsidR="00CA3C5B" w:rsidRDefault="00260033" w:rsidP="007A7D52">
            <w:pPr>
              <w:pStyle w:val="TableCopy"/>
              <w:jc w:val="right"/>
            </w:pPr>
            <w:r>
              <w:t>190</w:t>
            </w:r>
          </w:p>
        </w:tc>
        <w:tc>
          <w:tcPr>
            <w:tcW w:w="953" w:type="dxa"/>
          </w:tcPr>
          <w:p w14:paraId="5C0252F7" w14:textId="77777777" w:rsidR="00CA3C5B" w:rsidRDefault="00260033" w:rsidP="007A7D52">
            <w:pPr>
              <w:pStyle w:val="TableCopy"/>
              <w:jc w:val="right"/>
            </w:pPr>
            <w:r>
              <w:t>470</w:t>
            </w:r>
          </w:p>
        </w:tc>
        <w:tc>
          <w:tcPr>
            <w:tcW w:w="1486" w:type="dxa"/>
          </w:tcPr>
          <w:p w14:paraId="6035B7D4" w14:textId="77777777" w:rsidR="00CA3C5B" w:rsidRDefault="00260033" w:rsidP="007A7D52">
            <w:pPr>
              <w:pStyle w:val="TableCopy"/>
              <w:jc w:val="right"/>
            </w:pPr>
            <w:r>
              <w:t>-59.6%</w:t>
            </w:r>
          </w:p>
        </w:tc>
        <w:tc>
          <w:tcPr>
            <w:tcW w:w="851" w:type="dxa"/>
          </w:tcPr>
          <w:p w14:paraId="07DA21A7" w14:textId="4003E0FF" w:rsidR="00CA3C5B" w:rsidRDefault="007A7D52" w:rsidP="007A7D52">
            <w:pPr>
              <w:pStyle w:val="TableCopy"/>
              <w:jc w:val="right"/>
            </w:pPr>
            <w:r>
              <w:t>3</w:t>
            </w:r>
          </w:p>
        </w:tc>
      </w:tr>
      <w:tr w:rsidR="00CA3C5B" w14:paraId="6F86EF4C" w14:textId="77777777" w:rsidTr="00D41196">
        <w:trPr>
          <w:cantSplit/>
        </w:trPr>
        <w:tc>
          <w:tcPr>
            <w:tcW w:w="4465" w:type="dxa"/>
          </w:tcPr>
          <w:p w14:paraId="19539C4B" w14:textId="77777777" w:rsidR="00CA3C5B" w:rsidRDefault="00260033" w:rsidP="00D41196">
            <w:pPr>
              <w:pStyle w:val="TableCopy"/>
            </w:pPr>
            <w:r>
              <w:t>Metropolitan</w:t>
            </w:r>
            <w:r w:rsidR="00932420">
              <w:t xml:space="preserve"> </w:t>
            </w:r>
            <w:r>
              <w:t>Partnership</w:t>
            </w:r>
            <w:r w:rsidR="00932420">
              <w:t xml:space="preserve"> </w:t>
            </w:r>
            <w:r>
              <w:t>Development</w:t>
            </w:r>
            <w:r w:rsidR="00932420">
              <w:t xml:space="preserve"> </w:t>
            </w:r>
            <w:r>
              <w:t>Fund</w:t>
            </w:r>
            <w:r w:rsidR="00932420">
              <w:t xml:space="preserve"> </w:t>
            </w:r>
            <w:r>
              <w:t>projects</w:t>
            </w:r>
            <w:r w:rsidR="00932420">
              <w:t xml:space="preserve"> </w:t>
            </w:r>
            <w:r>
              <w:t>completed</w:t>
            </w:r>
          </w:p>
          <w:p w14:paraId="2C0205DE" w14:textId="79E278E9" w:rsidR="00D41196" w:rsidRPr="00D41196" w:rsidRDefault="00D41196" w:rsidP="00D41196">
            <w:pPr>
              <w:pStyle w:val="TableCopy"/>
              <w:rPr>
                <w:i/>
                <w:iCs/>
              </w:rPr>
            </w:pPr>
            <w:r w:rsidRPr="00D41196">
              <w:rPr>
                <w:i/>
                <w:iCs/>
              </w:rPr>
              <w:t>Higher result as some Metropolitan Partnerships delivered multiple, lower value projects resulting in more projects being delivered than anticipated.</w:t>
            </w:r>
          </w:p>
        </w:tc>
        <w:tc>
          <w:tcPr>
            <w:tcW w:w="1200" w:type="dxa"/>
          </w:tcPr>
          <w:p w14:paraId="64A7E705" w14:textId="77777777" w:rsidR="00CA3C5B" w:rsidRDefault="00260033" w:rsidP="00D41196">
            <w:pPr>
              <w:pStyle w:val="TableCopy"/>
            </w:pPr>
            <w:r>
              <w:t>number</w:t>
            </w:r>
          </w:p>
        </w:tc>
        <w:tc>
          <w:tcPr>
            <w:tcW w:w="963" w:type="dxa"/>
          </w:tcPr>
          <w:p w14:paraId="18568EB3" w14:textId="77777777" w:rsidR="00CA3C5B" w:rsidRDefault="00260033" w:rsidP="007A7D52">
            <w:pPr>
              <w:pStyle w:val="TableCopy"/>
              <w:jc w:val="right"/>
            </w:pPr>
            <w:r>
              <w:t>15</w:t>
            </w:r>
          </w:p>
        </w:tc>
        <w:tc>
          <w:tcPr>
            <w:tcW w:w="953" w:type="dxa"/>
          </w:tcPr>
          <w:p w14:paraId="4BAD215F" w14:textId="77777777" w:rsidR="00CA3C5B" w:rsidRDefault="00260033" w:rsidP="007A7D52">
            <w:pPr>
              <w:pStyle w:val="TableCopy"/>
              <w:jc w:val="right"/>
            </w:pPr>
            <w:r>
              <w:t>7</w:t>
            </w:r>
          </w:p>
        </w:tc>
        <w:tc>
          <w:tcPr>
            <w:tcW w:w="1486" w:type="dxa"/>
          </w:tcPr>
          <w:p w14:paraId="4BE62A21" w14:textId="77777777" w:rsidR="00CA3C5B" w:rsidRDefault="00260033" w:rsidP="007A7D52">
            <w:pPr>
              <w:pStyle w:val="TableCopy"/>
              <w:jc w:val="right"/>
            </w:pPr>
            <w:r>
              <w:t>114.3%</w:t>
            </w:r>
          </w:p>
        </w:tc>
        <w:tc>
          <w:tcPr>
            <w:tcW w:w="851" w:type="dxa"/>
          </w:tcPr>
          <w:p w14:paraId="57EB0E0D" w14:textId="61CA2F1D" w:rsidR="00CA3C5B" w:rsidRDefault="007A7D52" w:rsidP="007A7D52">
            <w:pPr>
              <w:pStyle w:val="TableCopy"/>
              <w:jc w:val="right"/>
            </w:pPr>
            <w:r w:rsidRPr="007A7D52">
              <w:t>1</w:t>
            </w:r>
          </w:p>
        </w:tc>
      </w:tr>
      <w:tr w:rsidR="00CA3C5B" w14:paraId="41A63DCF" w14:textId="77777777" w:rsidTr="00D41196">
        <w:trPr>
          <w:cantSplit/>
        </w:trPr>
        <w:tc>
          <w:tcPr>
            <w:tcW w:w="4465" w:type="dxa"/>
          </w:tcPr>
          <w:p w14:paraId="6D232076" w14:textId="77777777" w:rsidR="00CA3C5B" w:rsidRDefault="00260033" w:rsidP="00D41196">
            <w:pPr>
              <w:pStyle w:val="TableCopy"/>
            </w:pPr>
            <w:r>
              <w:t>Projects</w:t>
            </w:r>
            <w:r w:rsidR="00932420">
              <w:t xml:space="preserve"> </w:t>
            </w:r>
            <w:r>
              <w:t>to</w:t>
            </w:r>
            <w:r w:rsidR="00932420">
              <w:t xml:space="preserve"> </w:t>
            </w:r>
            <w:r>
              <w:t>promote</w:t>
            </w:r>
            <w:r w:rsidR="00932420">
              <w:t xml:space="preserve"> </w:t>
            </w:r>
            <w:r>
              <w:t>local</w:t>
            </w:r>
            <w:r w:rsidR="00932420">
              <w:t xml:space="preserve"> </w:t>
            </w:r>
            <w:r>
              <w:t>living</w:t>
            </w:r>
            <w:r w:rsidR="00932420">
              <w:t xml:space="preserve"> </w:t>
            </w:r>
            <w:r>
              <w:t>and</w:t>
            </w:r>
            <w:r w:rsidR="00932420">
              <w:t xml:space="preserve"> </w:t>
            </w:r>
            <w:r>
              <w:t>shopping</w:t>
            </w:r>
            <w:r w:rsidR="00932420">
              <w:t xml:space="preserve"> </w:t>
            </w:r>
            <w:r>
              <w:t>precincts</w:t>
            </w:r>
            <w:r w:rsidR="00932420">
              <w:t xml:space="preserve"> </w:t>
            </w:r>
            <w:r>
              <w:t>in</w:t>
            </w:r>
            <w:r w:rsidR="00932420">
              <w:t xml:space="preserve"> </w:t>
            </w:r>
            <w:r>
              <w:t>suburbs</w:t>
            </w:r>
          </w:p>
          <w:p w14:paraId="122D6AE3" w14:textId="662E9F8B" w:rsidR="00D41196" w:rsidRPr="00D41196" w:rsidRDefault="00D41196" w:rsidP="00D41196">
            <w:pPr>
              <w:pStyle w:val="TableCopy"/>
              <w:rPr>
                <w:i/>
                <w:iCs/>
              </w:rPr>
            </w:pPr>
            <w:r w:rsidRPr="00D41196">
              <w:rPr>
                <w:i/>
                <w:iCs/>
              </w:rPr>
              <w:t xml:space="preserve">Higher result due to </w:t>
            </w:r>
            <w:proofErr w:type="gramStart"/>
            <w:r w:rsidRPr="00D41196">
              <w:rPr>
                <w:i/>
                <w:iCs/>
              </w:rPr>
              <w:t>a large number of</w:t>
            </w:r>
            <w:proofErr w:type="gramEnd"/>
            <w:r w:rsidRPr="00D41196">
              <w:rPr>
                <w:i/>
                <w:iCs/>
              </w:rPr>
              <w:t xml:space="preserve"> lower-value grant applications in the Suburban Grants stream (Stream 1) than anticipated.</w:t>
            </w:r>
          </w:p>
        </w:tc>
        <w:tc>
          <w:tcPr>
            <w:tcW w:w="1200" w:type="dxa"/>
          </w:tcPr>
          <w:p w14:paraId="736A3AFD" w14:textId="77777777" w:rsidR="00CA3C5B" w:rsidRDefault="00260033" w:rsidP="00D41196">
            <w:pPr>
              <w:pStyle w:val="TableCopy"/>
            </w:pPr>
            <w:r>
              <w:t>number</w:t>
            </w:r>
          </w:p>
        </w:tc>
        <w:tc>
          <w:tcPr>
            <w:tcW w:w="963" w:type="dxa"/>
          </w:tcPr>
          <w:p w14:paraId="4D65E269" w14:textId="77777777" w:rsidR="00CA3C5B" w:rsidRDefault="00260033" w:rsidP="007A7D52">
            <w:pPr>
              <w:pStyle w:val="TableCopy"/>
              <w:jc w:val="right"/>
            </w:pPr>
            <w:r>
              <w:t>134</w:t>
            </w:r>
          </w:p>
        </w:tc>
        <w:tc>
          <w:tcPr>
            <w:tcW w:w="953" w:type="dxa"/>
          </w:tcPr>
          <w:p w14:paraId="58ABC291" w14:textId="77777777" w:rsidR="00CA3C5B" w:rsidRDefault="00260033" w:rsidP="007A7D52">
            <w:pPr>
              <w:pStyle w:val="TableCopy"/>
              <w:jc w:val="right"/>
            </w:pPr>
            <w:r>
              <w:t>50</w:t>
            </w:r>
          </w:p>
        </w:tc>
        <w:tc>
          <w:tcPr>
            <w:tcW w:w="1486" w:type="dxa"/>
          </w:tcPr>
          <w:p w14:paraId="50540825" w14:textId="77777777" w:rsidR="00CA3C5B" w:rsidRDefault="00260033" w:rsidP="007A7D52">
            <w:pPr>
              <w:pStyle w:val="TableCopy"/>
              <w:jc w:val="right"/>
            </w:pPr>
            <w:r>
              <w:t>168.0%</w:t>
            </w:r>
          </w:p>
        </w:tc>
        <w:tc>
          <w:tcPr>
            <w:tcW w:w="851" w:type="dxa"/>
          </w:tcPr>
          <w:p w14:paraId="42C95A9E" w14:textId="1D0CD078" w:rsidR="00CA3C5B" w:rsidRDefault="007A7D52" w:rsidP="007A7D52">
            <w:pPr>
              <w:pStyle w:val="TableCopy"/>
              <w:jc w:val="right"/>
            </w:pPr>
            <w:r w:rsidRPr="007A7D52">
              <w:t>1</w:t>
            </w:r>
          </w:p>
        </w:tc>
      </w:tr>
      <w:tr w:rsidR="00CA3C5B" w14:paraId="72033875" w14:textId="77777777" w:rsidTr="00D41196">
        <w:trPr>
          <w:cantSplit/>
        </w:trPr>
        <w:tc>
          <w:tcPr>
            <w:tcW w:w="4465" w:type="dxa"/>
          </w:tcPr>
          <w:p w14:paraId="6F225DD9" w14:textId="77777777" w:rsidR="00CA3C5B" w:rsidRDefault="00260033" w:rsidP="00D41196">
            <w:pPr>
              <w:pStyle w:val="TableCopy"/>
            </w:pPr>
            <w:r>
              <w:lastRenderedPageBreak/>
              <w:t>Projects</w:t>
            </w:r>
            <w:r w:rsidR="00932420">
              <w:t xml:space="preserve"> </w:t>
            </w:r>
            <w:r>
              <w:t>to</w:t>
            </w:r>
            <w:r w:rsidR="00932420">
              <w:t xml:space="preserve"> </w:t>
            </w:r>
            <w:r>
              <w:t>support</w:t>
            </w:r>
            <w:r w:rsidR="00932420">
              <w:t xml:space="preserve"> </w:t>
            </w:r>
            <w:r>
              <w:t>community</w:t>
            </w:r>
            <w:r w:rsidR="00932420">
              <w:t xml:space="preserve"> </w:t>
            </w:r>
            <w:r>
              <w:t>led</w:t>
            </w:r>
            <w:r w:rsidR="00932420">
              <w:t xml:space="preserve"> </w:t>
            </w:r>
            <w:r>
              <w:t>recovery</w:t>
            </w:r>
            <w:r w:rsidR="00932420">
              <w:t xml:space="preserve"> </w:t>
            </w:r>
            <w:r>
              <w:t>and</w:t>
            </w:r>
            <w:r w:rsidR="00932420">
              <w:t xml:space="preserve"> </w:t>
            </w:r>
            <w:r>
              <w:t>revitalisation</w:t>
            </w:r>
            <w:r w:rsidR="00932420">
              <w:t xml:space="preserve"> </w:t>
            </w:r>
            <w:r>
              <w:t>in</w:t>
            </w:r>
            <w:r w:rsidR="00932420">
              <w:t xml:space="preserve"> </w:t>
            </w:r>
            <w:r>
              <w:t>disadvantaged</w:t>
            </w:r>
            <w:r w:rsidR="00932420">
              <w:t xml:space="preserve"> </w:t>
            </w:r>
            <w:r>
              <w:t>suburbs</w:t>
            </w:r>
          </w:p>
          <w:p w14:paraId="4D9A1E29" w14:textId="7003B6FE" w:rsidR="00D41196" w:rsidRPr="00D41196" w:rsidRDefault="00D41196" w:rsidP="00D41196">
            <w:pPr>
              <w:pStyle w:val="TableCopy"/>
              <w:rPr>
                <w:i/>
                <w:iCs/>
              </w:rPr>
            </w:pPr>
            <w:r w:rsidRPr="00D41196">
              <w:rPr>
                <w:i/>
                <w:iCs/>
              </w:rPr>
              <w:t xml:space="preserve">Higher result reflects recommendations of </w:t>
            </w:r>
            <w:proofErr w:type="gramStart"/>
            <w:r w:rsidRPr="00D41196">
              <w:rPr>
                <w:i/>
                <w:iCs/>
              </w:rPr>
              <w:t>locally-led</w:t>
            </w:r>
            <w:proofErr w:type="gramEnd"/>
            <w:r w:rsidRPr="00D41196">
              <w:rPr>
                <w:i/>
                <w:iCs/>
              </w:rPr>
              <w:t xml:space="preserve"> Suburban Revitalisation Boards. Those Boards recommended more projects at a slightly lower level of funding for each project than expected, resulting in more projects being funded.</w:t>
            </w:r>
          </w:p>
        </w:tc>
        <w:tc>
          <w:tcPr>
            <w:tcW w:w="1200" w:type="dxa"/>
          </w:tcPr>
          <w:p w14:paraId="2C83E602" w14:textId="77777777" w:rsidR="00CA3C5B" w:rsidRDefault="00260033" w:rsidP="00D41196">
            <w:pPr>
              <w:pStyle w:val="TableCopy"/>
            </w:pPr>
            <w:r>
              <w:t>number</w:t>
            </w:r>
          </w:p>
        </w:tc>
        <w:tc>
          <w:tcPr>
            <w:tcW w:w="963" w:type="dxa"/>
          </w:tcPr>
          <w:p w14:paraId="5B1BAFC5" w14:textId="77777777" w:rsidR="00CA3C5B" w:rsidRDefault="00260033" w:rsidP="007A7D52">
            <w:pPr>
              <w:pStyle w:val="TableCopy"/>
              <w:jc w:val="right"/>
            </w:pPr>
            <w:r>
              <w:t>62</w:t>
            </w:r>
          </w:p>
        </w:tc>
        <w:tc>
          <w:tcPr>
            <w:tcW w:w="953" w:type="dxa"/>
          </w:tcPr>
          <w:p w14:paraId="5032F8A0" w14:textId="77777777" w:rsidR="00CA3C5B" w:rsidRDefault="00260033" w:rsidP="007A7D52">
            <w:pPr>
              <w:pStyle w:val="TableCopy"/>
              <w:jc w:val="right"/>
            </w:pPr>
            <w:r>
              <w:t>45</w:t>
            </w:r>
          </w:p>
        </w:tc>
        <w:tc>
          <w:tcPr>
            <w:tcW w:w="1486" w:type="dxa"/>
          </w:tcPr>
          <w:p w14:paraId="4E78E6B8" w14:textId="77777777" w:rsidR="00CA3C5B" w:rsidRDefault="00260033" w:rsidP="007A7D52">
            <w:pPr>
              <w:pStyle w:val="TableCopy"/>
              <w:jc w:val="right"/>
            </w:pPr>
            <w:r>
              <w:t>37.8%</w:t>
            </w:r>
          </w:p>
        </w:tc>
        <w:tc>
          <w:tcPr>
            <w:tcW w:w="851" w:type="dxa"/>
          </w:tcPr>
          <w:p w14:paraId="0F37FD75" w14:textId="7A8EA786" w:rsidR="00CA3C5B" w:rsidRDefault="007A7D52" w:rsidP="007A7D52">
            <w:pPr>
              <w:pStyle w:val="TableCopy"/>
              <w:jc w:val="right"/>
            </w:pPr>
            <w:r w:rsidRPr="007A7D52">
              <w:t>1</w:t>
            </w:r>
          </w:p>
        </w:tc>
      </w:tr>
      <w:tr w:rsidR="00D41196" w14:paraId="7E9C21B9" w14:textId="77777777" w:rsidTr="00D41196">
        <w:trPr>
          <w:cantSplit/>
        </w:trPr>
        <w:tc>
          <w:tcPr>
            <w:tcW w:w="4465" w:type="dxa"/>
          </w:tcPr>
          <w:p w14:paraId="6CB969C6" w14:textId="0680A093" w:rsidR="00D41196" w:rsidRDefault="00D41196" w:rsidP="00D41196">
            <w:pPr>
              <w:pStyle w:val="TableHeading"/>
            </w:pPr>
            <w:r w:rsidRPr="00D41196">
              <w:t>Quality</w:t>
            </w:r>
          </w:p>
        </w:tc>
        <w:tc>
          <w:tcPr>
            <w:tcW w:w="1200" w:type="dxa"/>
          </w:tcPr>
          <w:p w14:paraId="201BB868" w14:textId="77777777" w:rsidR="00D41196" w:rsidRDefault="00D41196" w:rsidP="00D41196">
            <w:pPr>
              <w:pStyle w:val="TableCopy"/>
            </w:pPr>
          </w:p>
        </w:tc>
        <w:tc>
          <w:tcPr>
            <w:tcW w:w="963" w:type="dxa"/>
          </w:tcPr>
          <w:p w14:paraId="627E41C6" w14:textId="77777777" w:rsidR="00D41196" w:rsidRDefault="00D41196" w:rsidP="007A7D52">
            <w:pPr>
              <w:pStyle w:val="TableCopy"/>
              <w:jc w:val="right"/>
            </w:pPr>
          </w:p>
        </w:tc>
        <w:tc>
          <w:tcPr>
            <w:tcW w:w="953" w:type="dxa"/>
          </w:tcPr>
          <w:p w14:paraId="20AE3A86" w14:textId="77777777" w:rsidR="00D41196" w:rsidRDefault="00D41196" w:rsidP="007A7D52">
            <w:pPr>
              <w:pStyle w:val="TableCopy"/>
              <w:jc w:val="right"/>
            </w:pPr>
          </w:p>
        </w:tc>
        <w:tc>
          <w:tcPr>
            <w:tcW w:w="1486" w:type="dxa"/>
          </w:tcPr>
          <w:p w14:paraId="5707E83E" w14:textId="77777777" w:rsidR="00D41196" w:rsidRDefault="00D41196" w:rsidP="007A7D52">
            <w:pPr>
              <w:pStyle w:val="TableCopy"/>
              <w:jc w:val="right"/>
            </w:pPr>
          </w:p>
        </w:tc>
        <w:tc>
          <w:tcPr>
            <w:tcW w:w="851" w:type="dxa"/>
          </w:tcPr>
          <w:p w14:paraId="656569E3" w14:textId="77777777" w:rsidR="00D41196" w:rsidRPr="00D41196" w:rsidRDefault="00D41196" w:rsidP="007A7D52">
            <w:pPr>
              <w:pStyle w:val="TableCopy"/>
              <w:jc w:val="right"/>
            </w:pPr>
          </w:p>
        </w:tc>
      </w:tr>
      <w:tr w:rsidR="00CA3C5B" w14:paraId="725668AD" w14:textId="77777777" w:rsidTr="00D41196">
        <w:trPr>
          <w:cantSplit/>
        </w:trPr>
        <w:tc>
          <w:tcPr>
            <w:tcW w:w="4465" w:type="dxa"/>
          </w:tcPr>
          <w:p w14:paraId="2735559B" w14:textId="318A3638" w:rsidR="00CA3C5B" w:rsidRDefault="00260033" w:rsidP="00D41196">
            <w:pPr>
              <w:pStyle w:val="TableCopy"/>
            </w:pPr>
            <w:r>
              <w:t>Participants</w:t>
            </w:r>
            <w:r w:rsidR="00932420">
              <w:t xml:space="preserve"> </w:t>
            </w:r>
            <w:r>
              <w:t>satisfied</w:t>
            </w:r>
            <w:r w:rsidR="00932420">
              <w:t xml:space="preserve"> </w:t>
            </w:r>
            <w:r>
              <w:t>with</w:t>
            </w:r>
            <w:r w:rsidR="00932420">
              <w:t xml:space="preserve"> </w:t>
            </w:r>
            <w:r>
              <w:t>their</w:t>
            </w:r>
            <w:r w:rsidR="00932420">
              <w:t xml:space="preserve"> </w:t>
            </w:r>
            <w:r>
              <w:t>experience</w:t>
            </w:r>
            <w:r w:rsidR="00932420">
              <w:t xml:space="preserve"> </w:t>
            </w:r>
            <w:r>
              <w:t>of</w:t>
            </w:r>
            <w:r w:rsidR="00932420">
              <w:t xml:space="preserve"> </w:t>
            </w:r>
            <w:r>
              <w:t>Metropolitan</w:t>
            </w:r>
            <w:r w:rsidR="00932420">
              <w:t xml:space="preserve"> </w:t>
            </w:r>
            <w:r>
              <w:t>Partnership</w:t>
            </w:r>
            <w:r w:rsidR="00932420">
              <w:t xml:space="preserve"> </w:t>
            </w:r>
            <w:r>
              <w:t>community</w:t>
            </w:r>
            <w:r w:rsidR="00932420">
              <w:t xml:space="preserve"> </w:t>
            </w:r>
            <w:r>
              <w:t>meetings</w:t>
            </w:r>
          </w:p>
        </w:tc>
        <w:tc>
          <w:tcPr>
            <w:tcW w:w="1200" w:type="dxa"/>
          </w:tcPr>
          <w:p w14:paraId="4421E9D5" w14:textId="53339F4E" w:rsidR="00CA3C5B" w:rsidRDefault="00260033" w:rsidP="00D41196">
            <w:pPr>
              <w:pStyle w:val="TableCopy"/>
            </w:pPr>
            <w:r>
              <w:t>per</w:t>
            </w:r>
            <w:r w:rsidR="00932420">
              <w:t xml:space="preserve"> </w:t>
            </w:r>
            <w:r>
              <w:t>cent</w:t>
            </w:r>
          </w:p>
        </w:tc>
        <w:tc>
          <w:tcPr>
            <w:tcW w:w="963" w:type="dxa"/>
          </w:tcPr>
          <w:p w14:paraId="64147801" w14:textId="77777777" w:rsidR="00CA3C5B" w:rsidRDefault="00260033" w:rsidP="007A7D52">
            <w:pPr>
              <w:pStyle w:val="TableCopy"/>
              <w:jc w:val="right"/>
            </w:pPr>
            <w:r>
              <w:t>80</w:t>
            </w:r>
          </w:p>
        </w:tc>
        <w:tc>
          <w:tcPr>
            <w:tcW w:w="953" w:type="dxa"/>
          </w:tcPr>
          <w:p w14:paraId="004CA039" w14:textId="77777777" w:rsidR="00CA3C5B" w:rsidRDefault="00260033" w:rsidP="007A7D52">
            <w:pPr>
              <w:pStyle w:val="TableCopy"/>
              <w:jc w:val="right"/>
            </w:pPr>
            <w:r>
              <w:t>80</w:t>
            </w:r>
          </w:p>
        </w:tc>
        <w:tc>
          <w:tcPr>
            <w:tcW w:w="1486" w:type="dxa"/>
          </w:tcPr>
          <w:p w14:paraId="16AB66BA" w14:textId="77777777" w:rsidR="00CA3C5B" w:rsidRDefault="00260033" w:rsidP="007A7D52">
            <w:pPr>
              <w:pStyle w:val="TableCopy"/>
              <w:jc w:val="right"/>
            </w:pPr>
            <w:r>
              <w:t>0.0%</w:t>
            </w:r>
          </w:p>
        </w:tc>
        <w:tc>
          <w:tcPr>
            <w:tcW w:w="851" w:type="dxa"/>
          </w:tcPr>
          <w:p w14:paraId="4890B401" w14:textId="019148C9" w:rsidR="00CA3C5B" w:rsidRDefault="007A7D52" w:rsidP="007A7D52">
            <w:pPr>
              <w:pStyle w:val="TableCopy"/>
              <w:jc w:val="right"/>
            </w:pPr>
            <w:r w:rsidRPr="007A7D52">
              <w:t>1</w:t>
            </w:r>
          </w:p>
        </w:tc>
      </w:tr>
      <w:tr w:rsidR="00D41196" w14:paraId="45E2B1D5" w14:textId="77777777" w:rsidTr="00D41196">
        <w:trPr>
          <w:cantSplit/>
        </w:trPr>
        <w:tc>
          <w:tcPr>
            <w:tcW w:w="4465" w:type="dxa"/>
          </w:tcPr>
          <w:p w14:paraId="5A2F2635" w14:textId="2ABB72D2" w:rsidR="00D41196" w:rsidRDefault="00D41196" w:rsidP="00D41196">
            <w:pPr>
              <w:pStyle w:val="TableHeading"/>
            </w:pPr>
            <w:r>
              <w:t>Cost</w:t>
            </w:r>
          </w:p>
        </w:tc>
        <w:tc>
          <w:tcPr>
            <w:tcW w:w="1200" w:type="dxa"/>
          </w:tcPr>
          <w:p w14:paraId="5DD9A814" w14:textId="77777777" w:rsidR="00D41196" w:rsidRDefault="00D41196" w:rsidP="00D41196">
            <w:pPr>
              <w:pStyle w:val="TableCopy"/>
            </w:pPr>
          </w:p>
        </w:tc>
        <w:tc>
          <w:tcPr>
            <w:tcW w:w="963" w:type="dxa"/>
          </w:tcPr>
          <w:p w14:paraId="0211E588" w14:textId="77777777" w:rsidR="00D41196" w:rsidRDefault="00D41196" w:rsidP="007A7D52">
            <w:pPr>
              <w:pStyle w:val="TableCopy"/>
              <w:jc w:val="right"/>
            </w:pPr>
          </w:p>
        </w:tc>
        <w:tc>
          <w:tcPr>
            <w:tcW w:w="953" w:type="dxa"/>
          </w:tcPr>
          <w:p w14:paraId="039F32DB" w14:textId="77777777" w:rsidR="00D41196" w:rsidRDefault="00D41196" w:rsidP="007A7D52">
            <w:pPr>
              <w:pStyle w:val="TableCopy"/>
              <w:jc w:val="right"/>
            </w:pPr>
          </w:p>
        </w:tc>
        <w:tc>
          <w:tcPr>
            <w:tcW w:w="1486" w:type="dxa"/>
          </w:tcPr>
          <w:p w14:paraId="0D6EA1A1" w14:textId="77777777" w:rsidR="00D41196" w:rsidRDefault="00D41196" w:rsidP="007A7D52">
            <w:pPr>
              <w:pStyle w:val="TableCopy"/>
              <w:jc w:val="right"/>
            </w:pPr>
          </w:p>
        </w:tc>
        <w:tc>
          <w:tcPr>
            <w:tcW w:w="851" w:type="dxa"/>
          </w:tcPr>
          <w:p w14:paraId="683B4C15" w14:textId="77777777" w:rsidR="00D41196" w:rsidRPr="00D41196" w:rsidRDefault="00D41196" w:rsidP="007A7D52">
            <w:pPr>
              <w:pStyle w:val="TableCopy"/>
              <w:jc w:val="right"/>
            </w:pPr>
          </w:p>
        </w:tc>
      </w:tr>
      <w:tr w:rsidR="00CA3C5B" w:rsidRPr="00D41196" w14:paraId="61D0C1FF" w14:textId="77777777" w:rsidTr="00D41196">
        <w:trPr>
          <w:cantSplit/>
        </w:trPr>
        <w:tc>
          <w:tcPr>
            <w:tcW w:w="4465" w:type="dxa"/>
          </w:tcPr>
          <w:p w14:paraId="57A60326" w14:textId="122E448F" w:rsidR="00CA3C5B" w:rsidRPr="00D41196" w:rsidRDefault="00260033" w:rsidP="00D41196">
            <w:pPr>
              <w:pStyle w:val="TableCopy"/>
              <w:rPr>
                <w:b/>
                <w:bCs/>
              </w:rPr>
            </w:pPr>
            <w:r w:rsidRPr="00D41196">
              <w:rPr>
                <w:b/>
                <w:bCs/>
              </w:rPr>
              <w:t>Total</w:t>
            </w:r>
            <w:r w:rsidR="00932420" w:rsidRPr="00D41196">
              <w:rPr>
                <w:b/>
                <w:bCs/>
              </w:rPr>
              <w:t xml:space="preserve"> </w:t>
            </w:r>
            <w:r w:rsidRPr="00D41196">
              <w:rPr>
                <w:b/>
                <w:bCs/>
              </w:rPr>
              <w:t>output</w:t>
            </w:r>
            <w:r w:rsidR="00932420" w:rsidRPr="00D41196">
              <w:rPr>
                <w:b/>
                <w:bCs/>
              </w:rPr>
              <w:t xml:space="preserve"> </w:t>
            </w:r>
            <w:r w:rsidRPr="00D41196">
              <w:rPr>
                <w:b/>
                <w:bCs/>
              </w:rPr>
              <w:t>cost</w:t>
            </w:r>
          </w:p>
        </w:tc>
        <w:tc>
          <w:tcPr>
            <w:tcW w:w="1200" w:type="dxa"/>
          </w:tcPr>
          <w:p w14:paraId="16D3AB43" w14:textId="359F74DB" w:rsidR="00CA3C5B" w:rsidRPr="00D41196" w:rsidRDefault="00260033" w:rsidP="00D41196">
            <w:pPr>
              <w:pStyle w:val="TableCopy"/>
              <w:rPr>
                <w:b/>
                <w:bCs/>
              </w:rPr>
            </w:pPr>
            <w:r w:rsidRPr="00D41196">
              <w:rPr>
                <w:b/>
                <w:bCs/>
              </w:rPr>
              <w:t>$</w:t>
            </w:r>
            <w:r w:rsidR="00932420" w:rsidRPr="00D41196">
              <w:rPr>
                <w:b/>
                <w:bCs/>
              </w:rPr>
              <w:t xml:space="preserve"> </w:t>
            </w:r>
            <w:r w:rsidRPr="00D41196">
              <w:rPr>
                <w:b/>
                <w:bCs/>
              </w:rPr>
              <w:t>million</w:t>
            </w:r>
          </w:p>
        </w:tc>
        <w:tc>
          <w:tcPr>
            <w:tcW w:w="963" w:type="dxa"/>
          </w:tcPr>
          <w:p w14:paraId="515DF6BD" w14:textId="77777777" w:rsidR="00CA3C5B" w:rsidRPr="00D41196" w:rsidRDefault="00260033" w:rsidP="007A7D52">
            <w:pPr>
              <w:pStyle w:val="TableCopy"/>
              <w:jc w:val="right"/>
              <w:rPr>
                <w:b/>
                <w:bCs/>
              </w:rPr>
            </w:pPr>
            <w:r w:rsidRPr="00D41196">
              <w:rPr>
                <w:b/>
                <w:bCs/>
              </w:rPr>
              <w:t>31.1</w:t>
            </w:r>
          </w:p>
        </w:tc>
        <w:tc>
          <w:tcPr>
            <w:tcW w:w="953" w:type="dxa"/>
          </w:tcPr>
          <w:p w14:paraId="1CCFA2DA" w14:textId="77777777" w:rsidR="00CA3C5B" w:rsidRPr="00D41196" w:rsidRDefault="00260033" w:rsidP="007A7D52">
            <w:pPr>
              <w:pStyle w:val="TableCopy"/>
              <w:jc w:val="right"/>
              <w:rPr>
                <w:b/>
                <w:bCs/>
              </w:rPr>
            </w:pPr>
            <w:r w:rsidRPr="00D41196">
              <w:rPr>
                <w:b/>
                <w:bCs/>
              </w:rPr>
              <w:t>19.8</w:t>
            </w:r>
          </w:p>
        </w:tc>
        <w:tc>
          <w:tcPr>
            <w:tcW w:w="1486" w:type="dxa"/>
          </w:tcPr>
          <w:p w14:paraId="64A75824" w14:textId="77777777" w:rsidR="00CA3C5B" w:rsidRPr="00D41196" w:rsidRDefault="00260033" w:rsidP="007A7D52">
            <w:pPr>
              <w:pStyle w:val="TableCopy"/>
              <w:jc w:val="right"/>
              <w:rPr>
                <w:b/>
                <w:bCs/>
              </w:rPr>
            </w:pPr>
            <w:r w:rsidRPr="00D41196">
              <w:rPr>
                <w:b/>
                <w:bCs/>
              </w:rPr>
              <w:t>57.3%</w:t>
            </w:r>
          </w:p>
        </w:tc>
        <w:tc>
          <w:tcPr>
            <w:tcW w:w="851" w:type="dxa"/>
          </w:tcPr>
          <w:p w14:paraId="02ED39D8" w14:textId="11ACC1B5" w:rsidR="00CA3C5B" w:rsidRPr="007A7D52" w:rsidRDefault="007A7D52" w:rsidP="007A7D52">
            <w:pPr>
              <w:pStyle w:val="TableCopy"/>
              <w:jc w:val="right"/>
              <w:rPr>
                <w:b/>
                <w:bCs/>
              </w:rPr>
            </w:pPr>
            <w:r w:rsidRPr="007A7D52">
              <w:rPr>
                <w:b/>
                <w:bCs/>
              </w:rPr>
              <w:t>3</w:t>
            </w:r>
          </w:p>
        </w:tc>
      </w:tr>
      <w:tr w:rsidR="00D41196" w:rsidRPr="00D41196" w14:paraId="3C01BD0B" w14:textId="77777777" w:rsidTr="00D41196">
        <w:trPr>
          <w:cantSplit/>
        </w:trPr>
        <w:tc>
          <w:tcPr>
            <w:tcW w:w="4465" w:type="dxa"/>
          </w:tcPr>
          <w:p w14:paraId="0279C27B" w14:textId="0A56A6B5" w:rsidR="00D41196" w:rsidRPr="00D41196" w:rsidRDefault="00D41196" w:rsidP="00D41196">
            <w:pPr>
              <w:pStyle w:val="TableCopy"/>
              <w:rPr>
                <w:i/>
                <w:iCs/>
              </w:rPr>
            </w:pPr>
            <w:r w:rsidRPr="00D41196">
              <w:rPr>
                <w:i/>
                <w:iCs/>
              </w:rPr>
              <w:t>The 2022–23 result is higher than the 2022–23 budget due to additional funding received for Our Suburbs: Living Local – supporting our suburbs to recover and thrive.</w:t>
            </w:r>
          </w:p>
        </w:tc>
        <w:tc>
          <w:tcPr>
            <w:tcW w:w="1200" w:type="dxa"/>
          </w:tcPr>
          <w:p w14:paraId="142696B1" w14:textId="77777777" w:rsidR="00D41196" w:rsidRPr="00D41196" w:rsidRDefault="00D41196" w:rsidP="00D41196">
            <w:pPr>
              <w:pStyle w:val="TableCopy"/>
            </w:pPr>
          </w:p>
        </w:tc>
        <w:tc>
          <w:tcPr>
            <w:tcW w:w="963" w:type="dxa"/>
          </w:tcPr>
          <w:p w14:paraId="276FCC03" w14:textId="77777777" w:rsidR="00D41196" w:rsidRPr="00D41196" w:rsidRDefault="00D41196" w:rsidP="007A7D52">
            <w:pPr>
              <w:pStyle w:val="TableCopy"/>
              <w:jc w:val="right"/>
            </w:pPr>
          </w:p>
        </w:tc>
        <w:tc>
          <w:tcPr>
            <w:tcW w:w="953" w:type="dxa"/>
          </w:tcPr>
          <w:p w14:paraId="06F2530E" w14:textId="77777777" w:rsidR="00D41196" w:rsidRPr="00D41196" w:rsidRDefault="00D41196" w:rsidP="007A7D52">
            <w:pPr>
              <w:pStyle w:val="TableCopy"/>
              <w:jc w:val="right"/>
            </w:pPr>
          </w:p>
        </w:tc>
        <w:tc>
          <w:tcPr>
            <w:tcW w:w="1486" w:type="dxa"/>
          </w:tcPr>
          <w:p w14:paraId="1968E9E6" w14:textId="77777777" w:rsidR="00D41196" w:rsidRPr="00D41196" w:rsidRDefault="00D41196" w:rsidP="007A7D52">
            <w:pPr>
              <w:pStyle w:val="TableCopy"/>
              <w:jc w:val="right"/>
            </w:pPr>
          </w:p>
        </w:tc>
        <w:tc>
          <w:tcPr>
            <w:tcW w:w="851" w:type="dxa"/>
          </w:tcPr>
          <w:p w14:paraId="68E1DDAA" w14:textId="77777777" w:rsidR="00D41196" w:rsidRPr="00D41196" w:rsidRDefault="00D41196" w:rsidP="007A7D52">
            <w:pPr>
              <w:pStyle w:val="TableCopy"/>
              <w:jc w:val="right"/>
            </w:pPr>
          </w:p>
        </w:tc>
      </w:tr>
    </w:tbl>
    <w:p w14:paraId="2EEC8DFA" w14:textId="77777777" w:rsidR="00D41196" w:rsidRDefault="00D41196" w:rsidP="00D41196">
      <w:pPr>
        <w:pStyle w:val="FootnoteText"/>
        <w:spacing w:before="120"/>
      </w:pPr>
      <w:r>
        <w:t>Note:</w:t>
      </w:r>
    </w:p>
    <w:p w14:paraId="6C4B9877" w14:textId="0771306E" w:rsidR="00D41196" w:rsidRDefault="00D41196" w:rsidP="00D41196">
      <w:pPr>
        <w:pStyle w:val="FootnoteText"/>
      </w:pPr>
      <w:r>
        <w:t>1</w:t>
      </w:r>
      <w:r w:rsidRPr="00D41196">
        <w:t xml:space="preserve"> </w:t>
      </w:r>
      <w:r>
        <w:t>Performance target achieved or exceeded</w:t>
      </w:r>
    </w:p>
    <w:p w14:paraId="63976B3E" w14:textId="03BDE951" w:rsidR="00D41196" w:rsidRDefault="00D41196" w:rsidP="00D41196">
      <w:pPr>
        <w:pStyle w:val="FootnoteText"/>
      </w:pPr>
      <w:r>
        <w:t>2</w:t>
      </w:r>
      <w:r w:rsidRPr="00D41196">
        <w:t xml:space="preserve"> </w:t>
      </w:r>
      <w:r>
        <w:t>Performance target not achieved – but within 5% variance</w:t>
      </w:r>
    </w:p>
    <w:p w14:paraId="3260D71B" w14:textId="210B6838" w:rsidR="00CA3C5B" w:rsidRDefault="00D41196" w:rsidP="007A7D52">
      <w:pPr>
        <w:pStyle w:val="FootnoteText"/>
        <w:spacing w:after="280"/>
      </w:pPr>
      <w:r>
        <w:t>3</w:t>
      </w:r>
      <w:r w:rsidRPr="00D41196">
        <w:t xml:space="preserve"> </w:t>
      </w:r>
      <w:r>
        <w:t>Performance target not achieved – exceeds 5% variance</w:t>
      </w:r>
    </w:p>
    <w:p w14:paraId="4828FA6E" w14:textId="091BEB82" w:rsidR="00CA3C5B" w:rsidRDefault="00260033" w:rsidP="007A7D52">
      <w:pPr>
        <w:pStyle w:val="Heading2"/>
      </w:pPr>
      <w:bookmarkStart w:id="35" w:name="_Toc152067227"/>
      <w:r>
        <w:t>Objective</w:t>
      </w:r>
      <w:r w:rsidR="00932420">
        <w:t xml:space="preserve"> </w:t>
      </w:r>
      <w:r>
        <w:t>5:</w:t>
      </w:r>
      <w:r w:rsidR="00932420">
        <w:t xml:space="preserve"> </w:t>
      </w:r>
      <w:r>
        <w:t>Grow</w:t>
      </w:r>
      <w:r w:rsidR="00932420">
        <w:t xml:space="preserve"> </w:t>
      </w:r>
      <w:r>
        <w:t>vibrant,</w:t>
      </w:r>
      <w:r w:rsidR="00932420">
        <w:t xml:space="preserve"> </w:t>
      </w:r>
      <w:proofErr w:type="gramStart"/>
      <w:r>
        <w:t>active</w:t>
      </w:r>
      <w:proofErr w:type="gramEnd"/>
      <w:r w:rsidR="00932420">
        <w:t xml:space="preserve"> </w:t>
      </w:r>
      <w:r>
        <w:t>and</w:t>
      </w:r>
      <w:r w:rsidR="00932420">
        <w:t xml:space="preserve"> </w:t>
      </w:r>
      <w:r>
        <w:t>creative</w:t>
      </w:r>
      <w:r w:rsidR="00932420">
        <w:t xml:space="preserve"> </w:t>
      </w:r>
      <w:r>
        <w:t>communities</w:t>
      </w:r>
      <w:bookmarkEnd w:id="35"/>
    </w:p>
    <w:p w14:paraId="671C1CB5" w14:textId="65B95E1F" w:rsidR="00CA3C5B" w:rsidRDefault="00260033" w:rsidP="007A7D52">
      <w:r>
        <w:t>This</w:t>
      </w:r>
      <w:r w:rsidR="00932420">
        <w:t xml:space="preserve"> </w:t>
      </w:r>
      <w:r>
        <w:t>objective</w:t>
      </w:r>
      <w:r w:rsidR="00932420">
        <w:t xml:space="preserve"> </w:t>
      </w:r>
      <w:r>
        <w:t>seeks</w:t>
      </w:r>
      <w:r w:rsidR="00932420">
        <w:t xml:space="preserve"> </w:t>
      </w:r>
      <w:r>
        <w:t>to</w:t>
      </w:r>
      <w:r w:rsidR="00932420">
        <w:t xml:space="preserve"> </w:t>
      </w:r>
      <w:r>
        <w:t>increase</w:t>
      </w:r>
      <w:r w:rsidR="00932420">
        <w:t xml:space="preserve"> </w:t>
      </w:r>
      <w:r>
        <w:t>the</w:t>
      </w:r>
      <w:r w:rsidR="00932420">
        <w:t xml:space="preserve"> </w:t>
      </w:r>
      <w:r>
        <w:t>economic,</w:t>
      </w:r>
      <w:r w:rsidR="00932420">
        <w:t xml:space="preserve"> </w:t>
      </w:r>
      <w:proofErr w:type="gramStart"/>
      <w:r>
        <w:t>social</w:t>
      </w:r>
      <w:proofErr w:type="gramEnd"/>
      <w:r w:rsidR="00932420">
        <w:t xml:space="preserve"> </w:t>
      </w:r>
      <w:r>
        <w:t>and</w:t>
      </w:r>
      <w:r w:rsidR="00932420">
        <w:t xml:space="preserve"> </w:t>
      </w:r>
      <w:r>
        <w:t>cultural</w:t>
      </w:r>
      <w:r w:rsidR="00932420">
        <w:t xml:space="preserve"> </w:t>
      </w:r>
      <w:r>
        <w:t>value</w:t>
      </w:r>
      <w:r w:rsidR="00932420">
        <w:t xml:space="preserve"> </w:t>
      </w:r>
      <w:r>
        <w:t>of</w:t>
      </w:r>
      <w:r w:rsidR="00932420">
        <w:t xml:space="preserve"> </w:t>
      </w:r>
      <w:r>
        <w:t>the</w:t>
      </w:r>
      <w:r w:rsidR="00932420">
        <w:t xml:space="preserve"> </w:t>
      </w:r>
      <w:r>
        <w:t>creative,</w:t>
      </w:r>
      <w:r w:rsidR="00932420">
        <w:t xml:space="preserve"> </w:t>
      </w:r>
      <w:r>
        <w:t>sport</w:t>
      </w:r>
      <w:r w:rsidR="00932420">
        <w:t xml:space="preserve"> </w:t>
      </w:r>
      <w:r>
        <w:t>and</w:t>
      </w:r>
      <w:r w:rsidR="00932420">
        <w:t xml:space="preserve"> </w:t>
      </w:r>
      <w:r>
        <w:t>recreation</w:t>
      </w:r>
      <w:r w:rsidR="00932420">
        <w:t xml:space="preserve"> </w:t>
      </w:r>
      <w:r>
        <w:t>industries</w:t>
      </w:r>
      <w:r w:rsidR="00932420">
        <w:t xml:space="preserve"> </w:t>
      </w:r>
      <w:r>
        <w:t>to</w:t>
      </w:r>
      <w:r w:rsidR="00932420">
        <w:t xml:space="preserve"> </w:t>
      </w:r>
      <w:r>
        <w:t>Victoria,</w:t>
      </w:r>
      <w:r w:rsidR="00932420">
        <w:t xml:space="preserve"> </w:t>
      </w:r>
      <w:r>
        <w:t>grow</w:t>
      </w:r>
      <w:r w:rsidR="00932420">
        <w:t xml:space="preserve"> </w:t>
      </w:r>
      <w:r>
        <w:t>the</w:t>
      </w:r>
      <w:r w:rsidR="00932420">
        <w:t xml:space="preserve"> </w:t>
      </w:r>
      <w:r>
        <w:rPr>
          <w:spacing w:val="-1"/>
        </w:rPr>
        <w:t>number</w:t>
      </w:r>
      <w:r w:rsidR="00932420">
        <w:rPr>
          <w:spacing w:val="-1"/>
        </w:rPr>
        <w:t xml:space="preserve"> </w:t>
      </w:r>
      <w:r>
        <w:rPr>
          <w:spacing w:val="-1"/>
        </w:rPr>
        <w:t>and</w:t>
      </w:r>
      <w:r w:rsidR="00932420">
        <w:rPr>
          <w:spacing w:val="-1"/>
        </w:rPr>
        <w:t xml:space="preserve"> </w:t>
      </w:r>
      <w:r>
        <w:rPr>
          <w:spacing w:val="-1"/>
        </w:rPr>
        <w:t>yield</w:t>
      </w:r>
      <w:r w:rsidR="00932420">
        <w:rPr>
          <w:spacing w:val="-1"/>
        </w:rPr>
        <w:t xml:space="preserve"> </w:t>
      </w:r>
      <w:r>
        <w:rPr>
          <w:spacing w:val="-1"/>
        </w:rPr>
        <w:t>of</w:t>
      </w:r>
      <w:r w:rsidR="00932420">
        <w:rPr>
          <w:spacing w:val="-1"/>
        </w:rPr>
        <w:t xml:space="preserve"> </w:t>
      </w:r>
      <w:r>
        <w:rPr>
          <w:spacing w:val="-1"/>
        </w:rPr>
        <w:t>visitors,</w:t>
      </w:r>
      <w:r w:rsidR="00932420">
        <w:rPr>
          <w:spacing w:val="-1"/>
        </w:rPr>
        <w:t xml:space="preserve"> </w:t>
      </w:r>
      <w:r>
        <w:rPr>
          <w:spacing w:val="-1"/>
        </w:rPr>
        <w:t>position</w:t>
      </w:r>
      <w:r w:rsidR="00932420">
        <w:rPr>
          <w:spacing w:val="-1"/>
        </w:rPr>
        <w:t xml:space="preserve"> </w:t>
      </w:r>
      <w:r>
        <w:rPr>
          <w:spacing w:val="-1"/>
        </w:rPr>
        <w:t>Victoria</w:t>
      </w:r>
      <w:r w:rsidR="00932420">
        <w:rPr>
          <w:spacing w:val="-1"/>
        </w:rPr>
        <w:t xml:space="preserve"> </w:t>
      </w:r>
      <w:r>
        <w:rPr>
          <w:spacing w:val="-1"/>
        </w:rPr>
        <w:t>as</w:t>
      </w:r>
      <w:r w:rsidR="00932420">
        <w:rPr>
          <w:spacing w:val="-1"/>
        </w:rPr>
        <w:t xml:space="preserve"> </w:t>
      </w:r>
      <w:r>
        <w:t>the</w:t>
      </w:r>
      <w:r w:rsidR="00932420">
        <w:t xml:space="preserve"> </w:t>
      </w:r>
      <w:r>
        <w:t>creative</w:t>
      </w:r>
      <w:r w:rsidR="00932420">
        <w:t xml:space="preserve"> </w:t>
      </w:r>
      <w:r>
        <w:t>state</w:t>
      </w:r>
      <w:r w:rsidR="00932420">
        <w:t xml:space="preserve"> </w:t>
      </w:r>
      <w:r>
        <w:t>and</w:t>
      </w:r>
      <w:r w:rsidR="00932420">
        <w:t xml:space="preserve"> </w:t>
      </w:r>
      <w:r>
        <w:t>a</w:t>
      </w:r>
      <w:r w:rsidR="00932420">
        <w:t xml:space="preserve"> </w:t>
      </w:r>
      <w:r>
        <w:t>major</w:t>
      </w:r>
      <w:r w:rsidR="00932420">
        <w:t xml:space="preserve"> </w:t>
      </w:r>
      <w:r>
        <w:t>events</w:t>
      </w:r>
      <w:r w:rsidR="00932420">
        <w:t xml:space="preserve"> </w:t>
      </w:r>
      <w:r>
        <w:t>destination,</w:t>
      </w:r>
      <w:r w:rsidR="00932420">
        <w:t xml:space="preserve"> </w:t>
      </w:r>
      <w:r>
        <w:t>and</w:t>
      </w:r>
      <w:r w:rsidR="00932420">
        <w:t xml:space="preserve"> </w:t>
      </w:r>
      <w:r>
        <w:t>ensure</w:t>
      </w:r>
      <w:r w:rsidR="00932420">
        <w:t xml:space="preserve"> </w:t>
      </w:r>
      <w:r>
        <w:t>the</w:t>
      </w:r>
      <w:r w:rsidR="00932420">
        <w:t xml:space="preserve"> </w:t>
      </w:r>
      <w:r>
        <w:t>best</w:t>
      </w:r>
      <w:r w:rsidR="00932420">
        <w:t xml:space="preserve"> </w:t>
      </w:r>
      <w:r>
        <w:t>cultural</w:t>
      </w:r>
      <w:r w:rsidR="00932420">
        <w:t xml:space="preserve"> </w:t>
      </w:r>
      <w:r>
        <w:t>and</w:t>
      </w:r>
      <w:r w:rsidR="00932420">
        <w:t xml:space="preserve"> </w:t>
      </w:r>
      <w:r>
        <w:t>sporting</w:t>
      </w:r>
      <w:r w:rsidR="00932420">
        <w:t xml:space="preserve"> </w:t>
      </w:r>
      <w:r>
        <w:t>experiences</w:t>
      </w:r>
      <w:r w:rsidR="00932420">
        <w:t xml:space="preserve"> </w:t>
      </w:r>
      <w:r>
        <w:t>are</w:t>
      </w:r>
      <w:r w:rsidR="00932420">
        <w:t xml:space="preserve"> </w:t>
      </w:r>
      <w:r>
        <w:t>accessible</w:t>
      </w:r>
      <w:r w:rsidR="00932420">
        <w:t xml:space="preserve"> </w:t>
      </w:r>
      <w:r>
        <w:t>to</w:t>
      </w:r>
      <w:r w:rsidR="00932420">
        <w:t xml:space="preserve"> </w:t>
      </w:r>
      <w:r>
        <w:t>everyone.</w:t>
      </w:r>
    </w:p>
    <w:p w14:paraId="3C864849" w14:textId="4958FD65" w:rsidR="00CA3C5B" w:rsidRDefault="00260033" w:rsidP="007A7D52">
      <w:pPr>
        <w:pStyle w:val="Heading3"/>
      </w:pPr>
      <w:r>
        <w:lastRenderedPageBreak/>
        <w:t>Progress</w:t>
      </w:r>
      <w:r w:rsidR="00932420">
        <w:t xml:space="preserve"> </w:t>
      </w:r>
      <w:r>
        <w:t>towards</w:t>
      </w:r>
      <w:r w:rsidR="00932420">
        <w:t xml:space="preserve"> </w:t>
      </w:r>
      <w:r>
        <w:t>achieving</w:t>
      </w:r>
      <w:r w:rsidR="00932420">
        <w:t xml:space="preserve"> </w:t>
      </w:r>
      <w:r>
        <w:t>this</w:t>
      </w:r>
      <w:r w:rsidR="00932420">
        <w:t xml:space="preserve"> </w:t>
      </w:r>
      <w:r>
        <w:t>objective</w:t>
      </w:r>
    </w:p>
    <w:p w14:paraId="068FEE04" w14:textId="4D509ECB" w:rsidR="00CA3C5B" w:rsidRDefault="00260033" w:rsidP="007A7D52">
      <w:pPr>
        <w:pStyle w:val="Normalbeforebullets"/>
      </w:pPr>
      <w:r>
        <w:t>In</w:t>
      </w:r>
      <w:r w:rsidR="00932420">
        <w:t xml:space="preserve"> </w:t>
      </w:r>
      <w:r>
        <w:t>2022–23,</w:t>
      </w:r>
      <w:r w:rsidR="00932420">
        <w:t xml:space="preserve"> </w:t>
      </w:r>
      <w:r>
        <w:t>the</w:t>
      </w:r>
      <w:r w:rsidR="00932420">
        <w:t xml:space="preserve"> </w:t>
      </w:r>
      <w:r>
        <w:t>department</w:t>
      </w:r>
      <w:r w:rsidR="00932420">
        <w:t xml:space="preserve"> </w:t>
      </w:r>
      <w:r>
        <w:t>reported</w:t>
      </w:r>
      <w:r w:rsidR="00932420">
        <w:t xml:space="preserve"> </w:t>
      </w:r>
      <w:r>
        <w:t>progress</w:t>
      </w:r>
      <w:r w:rsidR="00932420">
        <w:t xml:space="preserve"> </w:t>
      </w:r>
      <w:r>
        <w:t>against</w:t>
      </w:r>
      <w:r w:rsidR="00932420">
        <w:t xml:space="preserve"> </w:t>
      </w:r>
      <w:r>
        <w:t>this</w:t>
      </w:r>
      <w:r w:rsidR="00932420">
        <w:t xml:space="preserve"> </w:t>
      </w:r>
      <w:r>
        <w:t>objective</w:t>
      </w:r>
      <w:r w:rsidR="00932420">
        <w:t xml:space="preserve"> </w:t>
      </w:r>
      <w:r>
        <w:t>using</w:t>
      </w:r>
      <w:r w:rsidR="00932420">
        <w:t xml:space="preserve"> </w:t>
      </w:r>
      <w:r>
        <w:t>the</w:t>
      </w:r>
      <w:r w:rsidR="00932420">
        <w:t xml:space="preserve"> </w:t>
      </w:r>
      <w:r>
        <w:t>following</w:t>
      </w:r>
      <w:r w:rsidR="00932420">
        <w:t xml:space="preserve"> </w:t>
      </w:r>
      <w:r>
        <w:t>indicators</w:t>
      </w:r>
      <w:r w:rsidR="00932420">
        <w:t xml:space="preserve"> </w:t>
      </w:r>
      <w:r>
        <w:t>and</w:t>
      </w:r>
      <w:r w:rsidR="00932420">
        <w:t xml:space="preserve"> </w:t>
      </w:r>
      <w:r>
        <w:t>outputs:</w:t>
      </w:r>
    </w:p>
    <w:p w14:paraId="5AAACC98" w14:textId="010B6B2B" w:rsidR="00CA3C5B" w:rsidRPr="007A7D52" w:rsidRDefault="00260033" w:rsidP="007A7D52">
      <w:pPr>
        <w:pStyle w:val="Normalbeforebullets"/>
        <w:rPr>
          <w:b/>
          <w:bCs/>
        </w:rPr>
      </w:pPr>
      <w:r w:rsidRPr="007A7D52">
        <w:rPr>
          <w:b/>
          <w:bCs/>
        </w:rPr>
        <w:t>Objective</w:t>
      </w:r>
      <w:r w:rsidR="00932420" w:rsidRPr="007A7D52">
        <w:rPr>
          <w:b/>
          <w:bCs/>
        </w:rPr>
        <w:t xml:space="preserve"> </w:t>
      </w:r>
      <w:r w:rsidRPr="007A7D52">
        <w:rPr>
          <w:b/>
          <w:bCs/>
        </w:rPr>
        <w:t>Indicators</w:t>
      </w:r>
    </w:p>
    <w:p w14:paraId="6577C573" w14:textId="4F9CEDC0" w:rsidR="00CA3C5B" w:rsidRDefault="00260033" w:rsidP="007A7D52">
      <w:pPr>
        <w:pStyle w:val="Bullet"/>
      </w:pPr>
      <w:r>
        <w:t>Attendances</w:t>
      </w:r>
      <w:r w:rsidR="00932420">
        <w:t xml:space="preserve"> </w:t>
      </w:r>
      <w:r>
        <w:t>at</w:t>
      </w:r>
      <w:r w:rsidR="00932420">
        <w:t xml:space="preserve"> </w:t>
      </w:r>
      <w:r>
        <w:t>Creative</w:t>
      </w:r>
      <w:r w:rsidR="00932420">
        <w:t xml:space="preserve"> </w:t>
      </w:r>
      <w:r>
        <w:t>Industries</w:t>
      </w:r>
      <w:r w:rsidR="00932420">
        <w:t xml:space="preserve"> </w:t>
      </w:r>
      <w:r>
        <w:t>agencies</w:t>
      </w:r>
      <w:r w:rsidR="00932420">
        <w:t xml:space="preserve"> </w:t>
      </w:r>
      <w:r>
        <w:t>and</w:t>
      </w:r>
      <w:r w:rsidR="00932420">
        <w:t xml:space="preserve"> </w:t>
      </w:r>
      <w:r>
        <w:t>funded</w:t>
      </w:r>
      <w:r w:rsidR="00932420">
        <w:t xml:space="preserve"> </w:t>
      </w:r>
      <w:r>
        <w:t>Major</w:t>
      </w:r>
      <w:r w:rsidR="00932420">
        <w:t xml:space="preserve"> </w:t>
      </w:r>
      <w:r>
        <w:t>Performing</w:t>
      </w:r>
      <w:r w:rsidR="00932420">
        <w:t xml:space="preserve"> </w:t>
      </w:r>
      <w:r>
        <w:t>Arts</w:t>
      </w:r>
      <w:r w:rsidR="00932420">
        <w:t xml:space="preserve"> </w:t>
      </w:r>
      <w:r>
        <w:t>organisations</w:t>
      </w:r>
    </w:p>
    <w:p w14:paraId="3EDEABA3" w14:textId="13D783D6" w:rsidR="00CA3C5B" w:rsidRDefault="00260033" w:rsidP="007A7D52">
      <w:pPr>
        <w:pStyle w:val="Bullet"/>
      </w:pPr>
      <w:r>
        <w:t>Employment</w:t>
      </w:r>
      <w:r w:rsidR="00932420">
        <w:t xml:space="preserve"> </w:t>
      </w:r>
      <w:r>
        <w:t>in</w:t>
      </w:r>
      <w:r w:rsidR="00932420">
        <w:t xml:space="preserve"> </w:t>
      </w:r>
      <w:r>
        <w:t>the</w:t>
      </w:r>
      <w:r w:rsidR="00932420">
        <w:t xml:space="preserve"> </w:t>
      </w:r>
      <w:r>
        <w:t>Creative</w:t>
      </w:r>
      <w:r w:rsidR="00932420">
        <w:t xml:space="preserve"> </w:t>
      </w:r>
      <w:r>
        <w:t>Industries</w:t>
      </w:r>
      <w:r w:rsidR="00932420">
        <w:t xml:space="preserve"> </w:t>
      </w:r>
      <w:r>
        <w:t>sector</w:t>
      </w:r>
    </w:p>
    <w:p w14:paraId="7F6B6467" w14:textId="33FF97ED" w:rsidR="00CA3C5B" w:rsidRDefault="00260033" w:rsidP="007A7D52">
      <w:pPr>
        <w:pStyle w:val="Bullet"/>
      </w:pPr>
      <w:r>
        <w:t>Employment</w:t>
      </w:r>
      <w:r w:rsidR="00932420">
        <w:t xml:space="preserve"> </w:t>
      </w:r>
      <w:r>
        <w:t>in</w:t>
      </w:r>
      <w:r w:rsidR="00932420">
        <w:t xml:space="preserve"> </w:t>
      </w:r>
      <w:r>
        <w:t>the</w:t>
      </w:r>
      <w:r w:rsidR="00932420">
        <w:t xml:space="preserve"> </w:t>
      </w:r>
      <w:r>
        <w:t>Visitor</w:t>
      </w:r>
      <w:r w:rsidR="00932420">
        <w:t xml:space="preserve"> </w:t>
      </w:r>
      <w:r>
        <w:t>Economy</w:t>
      </w:r>
      <w:r w:rsidR="00932420">
        <w:t xml:space="preserve"> </w:t>
      </w:r>
      <w:r>
        <w:t>sector</w:t>
      </w:r>
    </w:p>
    <w:p w14:paraId="55F7BB9A" w14:textId="1C45E89B" w:rsidR="00CA3C5B" w:rsidRDefault="00260033" w:rsidP="007A7D52">
      <w:pPr>
        <w:pStyle w:val="Bullet"/>
      </w:pPr>
      <w:r>
        <w:t>Tourists</w:t>
      </w:r>
      <w:r w:rsidR="00932420">
        <w:t xml:space="preserve"> </w:t>
      </w:r>
      <w:r>
        <w:t>attracted</w:t>
      </w:r>
      <w:r w:rsidR="00932420">
        <w:t xml:space="preserve"> </w:t>
      </w:r>
      <w:r>
        <w:t>to</w:t>
      </w:r>
      <w:r w:rsidR="00932420">
        <w:t xml:space="preserve"> </w:t>
      </w:r>
      <w:r>
        <w:t>Victoria</w:t>
      </w:r>
    </w:p>
    <w:p w14:paraId="1BE4EA46" w14:textId="12E74387" w:rsidR="00CA3C5B" w:rsidRDefault="00260033" w:rsidP="007A7D52">
      <w:pPr>
        <w:pStyle w:val="Bulletlast"/>
      </w:pPr>
      <w:r>
        <w:t>Increase</w:t>
      </w:r>
      <w:r w:rsidR="00932420">
        <w:t xml:space="preserve"> </w:t>
      </w:r>
      <w:r>
        <w:t>rates</w:t>
      </w:r>
      <w:r w:rsidR="00932420">
        <w:t xml:space="preserve"> </w:t>
      </w:r>
      <w:r>
        <w:t>of</w:t>
      </w:r>
      <w:r w:rsidR="00932420">
        <w:t xml:space="preserve"> </w:t>
      </w:r>
      <w:r>
        <w:t>community</w:t>
      </w:r>
      <w:r w:rsidR="00932420">
        <w:t xml:space="preserve"> </w:t>
      </w:r>
      <w:r>
        <w:t>engagement,</w:t>
      </w:r>
      <w:r w:rsidR="00932420">
        <w:t xml:space="preserve"> </w:t>
      </w:r>
      <w:r>
        <w:t>including</w:t>
      </w:r>
      <w:r w:rsidR="00932420">
        <w:t xml:space="preserve"> </w:t>
      </w:r>
      <w:r>
        <w:t>through</w:t>
      </w:r>
      <w:r w:rsidR="00932420">
        <w:t xml:space="preserve"> </w:t>
      </w:r>
      <w:r>
        <w:t>participation</w:t>
      </w:r>
      <w:r w:rsidR="00932420">
        <w:t xml:space="preserve"> </w:t>
      </w:r>
      <w:r>
        <w:t>in</w:t>
      </w:r>
      <w:r w:rsidR="00932420">
        <w:t xml:space="preserve"> </w:t>
      </w:r>
      <w:r>
        <w:t>sport</w:t>
      </w:r>
      <w:r w:rsidR="00932420">
        <w:t xml:space="preserve"> </w:t>
      </w:r>
      <w:r>
        <w:t>and</w:t>
      </w:r>
      <w:r w:rsidR="00932420">
        <w:t xml:space="preserve"> </w:t>
      </w:r>
      <w:r>
        <w:t>recreation</w:t>
      </w:r>
    </w:p>
    <w:p w14:paraId="37FC456A" w14:textId="77777777" w:rsidR="00CA3C5B" w:rsidRPr="007A7D52" w:rsidRDefault="00260033" w:rsidP="007A7D52">
      <w:pPr>
        <w:pStyle w:val="Normalbeforebullets"/>
        <w:rPr>
          <w:b/>
          <w:bCs/>
        </w:rPr>
      </w:pPr>
      <w:r w:rsidRPr="007A7D52">
        <w:rPr>
          <w:b/>
          <w:bCs/>
        </w:rPr>
        <w:t>Outputs</w:t>
      </w:r>
    </w:p>
    <w:p w14:paraId="63FFC002" w14:textId="22B861CA" w:rsidR="00CA3C5B" w:rsidRDefault="00260033" w:rsidP="007A7D52">
      <w:pPr>
        <w:pStyle w:val="Bullet"/>
      </w:pPr>
      <w:r>
        <w:t>Creative</w:t>
      </w:r>
      <w:r w:rsidR="00932420">
        <w:t xml:space="preserve"> </w:t>
      </w:r>
      <w:r>
        <w:t>Industries</w:t>
      </w:r>
      <w:r w:rsidR="00932420">
        <w:t xml:space="preserve"> </w:t>
      </w:r>
      <w:r>
        <w:t>Access,</w:t>
      </w:r>
      <w:r w:rsidR="00932420">
        <w:t xml:space="preserve"> </w:t>
      </w:r>
      <w:proofErr w:type="gramStart"/>
      <w:r>
        <w:t>Development</w:t>
      </w:r>
      <w:proofErr w:type="gramEnd"/>
      <w:r w:rsidR="00932420">
        <w:t xml:space="preserve"> </w:t>
      </w:r>
      <w:r>
        <w:t>and</w:t>
      </w:r>
      <w:r w:rsidR="00932420">
        <w:t xml:space="preserve"> </w:t>
      </w:r>
      <w:r>
        <w:t>Innovation</w:t>
      </w:r>
    </w:p>
    <w:p w14:paraId="6575F806" w14:textId="55B4610D" w:rsidR="00CA3C5B" w:rsidRDefault="00260033" w:rsidP="007A7D52">
      <w:pPr>
        <w:pStyle w:val="Bullet"/>
      </w:pPr>
      <w:r>
        <w:t>Creative</w:t>
      </w:r>
      <w:r w:rsidR="00932420">
        <w:t xml:space="preserve"> </w:t>
      </w:r>
      <w:r>
        <w:t>Industries</w:t>
      </w:r>
      <w:r w:rsidR="00932420">
        <w:t xml:space="preserve"> </w:t>
      </w:r>
      <w:r>
        <w:t>Portfolio</w:t>
      </w:r>
      <w:r w:rsidR="00932420">
        <w:t xml:space="preserve"> </w:t>
      </w:r>
      <w:r>
        <w:t>Agencies</w:t>
      </w:r>
    </w:p>
    <w:p w14:paraId="79B8DC36" w14:textId="40EACC10" w:rsidR="00CA3C5B" w:rsidRDefault="00260033" w:rsidP="007A7D52">
      <w:pPr>
        <w:pStyle w:val="Bullet"/>
      </w:pPr>
      <w:r>
        <w:t>Cultural</w:t>
      </w:r>
      <w:r w:rsidR="00932420">
        <w:t xml:space="preserve"> </w:t>
      </w:r>
      <w:r>
        <w:t>Infrastructure</w:t>
      </w:r>
      <w:r w:rsidR="00932420">
        <w:t xml:space="preserve"> </w:t>
      </w:r>
      <w:r>
        <w:t>and</w:t>
      </w:r>
      <w:r w:rsidR="00932420">
        <w:t xml:space="preserve"> </w:t>
      </w:r>
      <w:r>
        <w:t>Facilities</w:t>
      </w:r>
    </w:p>
    <w:p w14:paraId="43E5023F" w14:textId="44862244" w:rsidR="00CA3C5B" w:rsidRDefault="00260033" w:rsidP="007A7D52">
      <w:pPr>
        <w:pStyle w:val="Bullet"/>
      </w:pPr>
      <w:r>
        <w:t>Sport</w:t>
      </w:r>
      <w:r w:rsidR="00932420">
        <w:t xml:space="preserve"> </w:t>
      </w:r>
      <w:r>
        <w:t>and</w:t>
      </w:r>
      <w:r w:rsidR="00932420">
        <w:t xml:space="preserve"> </w:t>
      </w:r>
      <w:r>
        <w:t>Recreation</w:t>
      </w:r>
    </w:p>
    <w:p w14:paraId="439403D4" w14:textId="1D218302" w:rsidR="00CA3C5B" w:rsidRDefault="00260033" w:rsidP="007A7D52">
      <w:pPr>
        <w:pStyle w:val="Bulletlast"/>
      </w:pPr>
      <w:r>
        <w:t>Tourism</w:t>
      </w:r>
      <w:r w:rsidR="00932420">
        <w:t xml:space="preserve"> </w:t>
      </w:r>
      <w:r>
        <w:t>and</w:t>
      </w:r>
      <w:r w:rsidR="00932420">
        <w:t xml:space="preserve"> </w:t>
      </w:r>
      <w:r>
        <w:t>Major</w:t>
      </w:r>
      <w:r w:rsidR="00932420">
        <w:t xml:space="preserve"> </w:t>
      </w:r>
      <w:r>
        <w:t>Events</w:t>
      </w:r>
    </w:p>
    <w:p w14:paraId="2A029E3A" w14:textId="14FE27B2" w:rsidR="00CA3C5B" w:rsidRDefault="00260033" w:rsidP="007A7D52">
      <w:pPr>
        <w:pStyle w:val="Heading2"/>
      </w:pPr>
      <w:bookmarkStart w:id="36" w:name="_Toc152067228"/>
      <w:r>
        <w:t>Indicator:</w:t>
      </w:r>
      <w:r w:rsidR="00932420">
        <w:t xml:space="preserve"> </w:t>
      </w:r>
      <w:r>
        <w:t>Attendances</w:t>
      </w:r>
      <w:r w:rsidR="00932420">
        <w:t xml:space="preserve"> </w:t>
      </w:r>
      <w:r>
        <w:t>at</w:t>
      </w:r>
      <w:r w:rsidR="00932420">
        <w:t xml:space="preserve"> </w:t>
      </w:r>
      <w:r>
        <w:t>Creative</w:t>
      </w:r>
      <w:r w:rsidR="00932420">
        <w:t xml:space="preserve"> </w:t>
      </w:r>
      <w:r>
        <w:t>Industries</w:t>
      </w:r>
      <w:r w:rsidR="00932420">
        <w:t xml:space="preserve"> </w:t>
      </w:r>
      <w:r>
        <w:t>agencies</w:t>
      </w:r>
      <w:r w:rsidR="00932420">
        <w:t xml:space="preserve"> </w:t>
      </w:r>
      <w:r>
        <w:t>and</w:t>
      </w:r>
      <w:r w:rsidR="00932420">
        <w:t xml:space="preserve"> </w:t>
      </w:r>
      <w:r>
        <w:t>funded</w:t>
      </w:r>
      <w:r w:rsidR="00932420">
        <w:t xml:space="preserve"> </w:t>
      </w:r>
      <w:r>
        <w:t>major</w:t>
      </w:r>
      <w:r w:rsidR="00932420">
        <w:t xml:space="preserve"> </w:t>
      </w:r>
      <w:r>
        <w:t>performing</w:t>
      </w:r>
      <w:r w:rsidR="00932420">
        <w:t xml:space="preserve"> </w:t>
      </w:r>
      <w:r>
        <w:t>arts</w:t>
      </w:r>
      <w:r w:rsidR="00932420">
        <w:t xml:space="preserve"> </w:t>
      </w:r>
      <w:r>
        <w:t>organisations</w:t>
      </w:r>
      <w:bookmarkEnd w:id="36"/>
    </w:p>
    <w:p w14:paraId="417CE0CD" w14:textId="47A02EA6" w:rsidR="00CA3C5B" w:rsidRDefault="00260033" w:rsidP="007A7D52">
      <w:pPr>
        <w:pStyle w:val="TableHeading"/>
      </w:pPr>
      <w:r>
        <w:t>Table</w:t>
      </w:r>
      <w:r w:rsidR="00932420">
        <w:t xml:space="preserve"> </w:t>
      </w:r>
      <w:r>
        <w:t>16:</w:t>
      </w:r>
      <w:r w:rsidR="00932420">
        <w:t xml:space="preserve"> </w:t>
      </w:r>
      <w:r>
        <w:t>Attendances</w:t>
      </w:r>
      <w:r w:rsidR="00932420">
        <w:t xml:space="preserve"> </w:t>
      </w:r>
      <w:r>
        <w:t>at</w:t>
      </w:r>
      <w:r w:rsidR="00932420">
        <w:t xml:space="preserve"> </w:t>
      </w:r>
      <w:r>
        <w:t>Creative</w:t>
      </w:r>
      <w:r w:rsidR="00932420">
        <w:t xml:space="preserve"> </w:t>
      </w:r>
      <w:r>
        <w:t>Industries</w:t>
      </w:r>
      <w:r w:rsidR="00932420">
        <w:t xml:space="preserve"> </w:t>
      </w:r>
      <w:r>
        <w:t>agencies</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1201DDF1" w14:textId="77777777" w:rsidTr="00C11AB3">
        <w:trPr>
          <w:cantSplit/>
        </w:trPr>
        <w:tc>
          <w:tcPr>
            <w:tcW w:w="5102" w:type="dxa"/>
          </w:tcPr>
          <w:p w14:paraId="6EC8E81E" w14:textId="46EBD8ED" w:rsidR="00CA3C5B" w:rsidRDefault="00260033" w:rsidP="007A7D52">
            <w:pPr>
              <w:pStyle w:val="TableColumnHeading"/>
            </w:pPr>
            <w:bookmarkStart w:id="37" w:name="ColumnTitle_17"/>
            <w:bookmarkEnd w:id="37"/>
            <w:r>
              <w:t>Measure</w:t>
            </w:r>
            <w:r w:rsidR="00932420">
              <w:t xml:space="preserve"> </w:t>
            </w:r>
            <w:r>
              <w:t>(unit</w:t>
            </w:r>
            <w:r w:rsidR="00932420">
              <w:t xml:space="preserve"> </w:t>
            </w:r>
            <w:r>
              <w:t>of</w:t>
            </w:r>
            <w:r w:rsidR="00932420">
              <w:t xml:space="preserve"> </w:t>
            </w:r>
            <w:r>
              <w:t>measure)</w:t>
            </w:r>
          </w:p>
        </w:tc>
        <w:tc>
          <w:tcPr>
            <w:tcW w:w="1134" w:type="dxa"/>
          </w:tcPr>
          <w:p w14:paraId="2C7DCA53" w14:textId="77777777" w:rsidR="00CA3C5B" w:rsidRDefault="00260033" w:rsidP="007A7D52">
            <w:pPr>
              <w:pStyle w:val="TableColumnHeading"/>
              <w:jc w:val="right"/>
            </w:pPr>
            <w:r>
              <w:t>2019–20</w:t>
            </w:r>
          </w:p>
        </w:tc>
        <w:tc>
          <w:tcPr>
            <w:tcW w:w="1134" w:type="dxa"/>
          </w:tcPr>
          <w:p w14:paraId="70C79CB4" w14:textId="77777777" w:rsidR="00CA3C5B" w:rsidRDefault="00260033" w:rsidP="007A7D52">
            <w:pPr>
              <w:pStyle w:val="TableColumnHeading"/>
              <w:jc w:val="right"/>
            </w:pPr>
            <w:r>
              <w:t>2020–21</w:t>
            </w:r>
          </w:p>
        </w:tc>
        <w:tc>
          <w:tcPr>
            <w:tcW w:w="1134" w:type="dxa"/>
          </w:tcPr>
          <w:p w14:paraId="34D39B54" w14:textId="77777777" w:rsidR="00CA3C5B" w:rsidRDefault="00260033" w:rsidP="007A7D52">
            <w:pPr>
              <w:pStyle w:val="TableColumnHeading"/>
              <w:jc w:val="right"/>
            </w:pPr>
            <w:r>
              <w:t>2021–22</w:t>
            </w:r>
          </w:p>
        </w:tc>
        <w:tc>
          <w:tcPr>
            <w:tcW w:w="1134" w:type="dxa"/>
          </w:tcPr>
          <w:p w14:paraId="34FABBC2" w14:textId="77777777" w:rsidR="00CA3C5B" w:rsidRDefault="00260033" w:rsidP="007A7D52">
            <w:pPr>
              <w:pStyle w:val="TableColumnHeading"/>
              <w:jc w:val="right"/>
            </w:pPr>
            <w:r>
              <w:rPr>
                <w:lang w:val="en-US"/>
              </w:rPr>
              <w:t>2022–23</w:t>
            </w:r>
          </w:p>
        </w:tc>
      </w:tr>
      <w:tr w:rsidR="00CA3C5B" w14:paraId="411E8890" w14:textId="77777777" w:rsidTr="00C11AB3">
        <w:trPr>
          <w:cantSplit/>
        </w:trPr>
        <w:tc>
          <w:tcPr>
            <w:tcW w:w="5102" w:type="dxa"/>
          </w:tcPr>
          <w:p w14:paraId="6CAC1F92" w14:textId="38BA4F4C" w:rsidR="00CA3C5B" w:rsidRDefault="00260033" w:rsidP="007A7D52">
            <w:pPr>
              <w:pStyle w:val="TableCopy"/>
            </w:pPr>
            <w:r>
              <w:t>Attendances</w:t>
            </w:r>
            <w:r w:rsidR="00932420">
              <w:t xml:space="preserve"> </w:t>
            </w:r>
            <w:r>
              <w:t>at</w:t>
            </w:r>
            <w:r w:rsidR="00932420">
              <w:t xml:space="preserve"> </w:t>
            </w:r>
            <w:r>
              <w:t>creative</w:t>
            </w:r>
            <w:r w:rsidR="00932420">
              <w:t xml:space="preserve"> </w:t>
            </w:r>
            <w:r>
              <w:t>industries</w:t>
            </w:r>
            <w:r w:rsidR="00932420">
              <w:t xml:space="preserve"> </w:t>
            </w:r>
            <w:r>
              <w:t>portfolio</w:t>
            </w:r>
            <w:r w:rsidR="00932420">
              <w:t xml:space="preserve"> </w:t>
            </w:r>
            <w:r>
              <w:t>agencies</w:t>
            </w:r>
            <w:r w:rsidR="00932420">
              <w:t xml:space="preserve"> </w:t>
            </w:r>
            <w:r>
              <w:t>(number</w:t>
            </w:r>
            <w:r w:rsidR="00932420">
              <w:t xml:space="preserve"> </w:t>
            </w:r>
            <w:r>
              <w:t>(‘000))</w:t>
            </w:r>
          </w:p>
        </w:tc>
        <w:tc>
          <w:tcPr>
            <w:tcW w:w="1134" w:type="dxa"/>
          </w:tcPr>
          <w:p w14:paraId="224406A6" w14:textId="77777777" w:rsidR="00CA3C5B" w:rsidRDefault="00260033" w:rsidP="007A7D52">
            <w:pPr>
              <w:pStyle w:val="TableCopy"/>
              <w:jc w:val="right"/>
            </w:pPr>
            <w:r>
              <w:t>9,417</w:t>
            </w:r>
          </w:p>
        </w:tc>
        <w:tc>
          <w:tcPr>
            <w:tcW w:w="1134" w:type="dxa"/>
          </w:tcPr>
          <w:p w14:paraId="26BFC348" w14:textId="77777777" w:rsidR="00CA3C5B" w:rsidRDefault="00260033" w:rsidP="007A7D52">
            <w:pPr>
              <w:pStyle w:val="TableCopy"/>
              <w:jc w:val="right"/>
            </w:pPr>
            <w:r>
              <w:t>2,646</w:t>
            </w:r>
          </w:p>
        </w:tc>
        <w:tc>
          <w:tcPr>
            <w:tcW w:w="1134" w:type="dxa"/>
          </w:tcPr>
          <w:p w14:paraId="25B364BE" w14:textId="77777777" w:rsidR="00CA3C5B" w:rsidRDefault="00260033" w:rsidP="007A7D52">
            <w:pPr>
              <w:pStyle w:val="TableCopy"/>
              <w:jc w:val="right"/>
            </w:pPr>
            <w:r>
              <w:t>4,934</w:t>
            </w:r>
          </w:p>
        </w:tc>
        <w:tc>
          <w:tcPr>
            <w:tcW w:w="1134" w:type="dxa"/>
          </w:tcPr>
          <w:p w14:paraId="6E2CA0B7" w14:textId="77777777" w:rsidR="00CA3C5B" w:rsidRDefault="00260033" w:rsidP="007A7D52">
            <w:pPr>
              <w:pStyle w:val="TableCopy"/>
              <w:jc w:val="right"/>
            </w:pPr>
            <w:r>
              <w:t>10,841</w:t>
            </w:r>
          </w:p>
        </w:tc>
      </w:tr>
    </w:tbl>
    <w:p w14:paraId="4B69CE5C" w14:textId="77777777" w:rsidR="00CA3C5B" w:rsidRDefault="00CA3C5B" w:rsidP="007A7D52"/>
    <w:p w14:paraId="351E754A" w14:textId="2286DAD5" w:rsidR="00CA3C5B" w:rsidRDefault="00260033" w:rsidP="007A7D52">
      <w:pPr>
        <w:pStyle w:val="FigureHeading"/>
      </w:pPr>
      <w:r>
        <w:lastRenderedPageBreak/>
        <w:t>Figure</w:t>
      </w:r>
      <w:r w:rsidR="00932420">
        <w:t xml:space="preserve"> </w:t>
      </w:r>
      <w:r>
        <w:t>15:</w:t>
      </w:r>
      <w:r w:rsidR="00932420">
        <w:t xml:space="preserve"> </w:t>
      </w:r>
      <w:r>
        <w:t>Attendances</w:t>
      </w:r>
      <w:r w:rsidR="00932420">
        <w:t xml:space="preserve"> </w:t>
      </w:r>
      <w:r>
        <w:t>at</w:t>
      </w:r>
      <w:r w:rsidR="00932420">
        <w:t xml:space="preserve"> </w:t>
      </w:r>
      <w:r>
        <w:t>Creative</w:t>
      </w:r>
      <w:r w:rsidR="00932420">
        <w:t xml:space="preserve"> </w:t>
      </w:r>
      <w:r>
        <w:t>Industries</w:t>
      </w:r>
      <w:r w:rsidR="00932420">
        <w:t xml:space="preserve"> </w:t>
      </w:r>
      <w:r>
        <w:t>portfolio</w:t>
      </w:r>
      <w:r w:rsidR="00932420">
        <w:t xml:space="preserve"> </w:t>
      </w:r>
      <w:r>
        <w:t>agencies</w:t>
      </w:r>
    </w:p>
    <w:p w14:paraId="6C8677DD" w14:textId="479945F2" w:rsidR="00CA3C5B" w:rsidRDefault="007A7D52" w:rsidP="007A7D52">
      <w:r>
        <w:rPr>
          <w:noProof/>
        </w:rPr>
        <w:drawing>
          <wp:inline distT="0" distB="0" distL="0" distR="0" wp14:anchorId="5E1D278F" wp14:editId="202A2ACE">
            <wp:extent cx="3235124" cy="2164425"/>
            <wp:effectExtent l="0" t="0" r="3810" b="7620"/>
            <wp:docPr id="15" name="Picture 15" descr="Figure 15: Attendances at Creative Industries portfolio agencie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15: Attendances at Creative Industries portfolio agencies graph. Data in table above."/>
                    <pic:cNvPicPr/>
                  </pic:nvPicPr>
                  <pic:blipFill>
                    <a:blip r:embed="rId24"/>
                    <a:stretch>
                      <a:fillRect/>
                    </a:stretch>
                  </pic:blipFill>
                  <pic:spPr>
                    <a:xfrm>
                      <a:off x="0" y="0"/>
                      <a:ext cx="3247116" cy="2172448"/>
                    </a:xfrm>
                    <a:prstGeom prst="rect">
                      <a:avLst/>
                    </a:prstGeom>
                  </pic:spPr>
                </pic:pic>
              </a:graphicData>
            </a:graphic>
          </wp:inline>
        </w:drawing>
      </w:r>
    </w:p>
    <w:p w14:paraId="7DB14D45" w14:textId="70C37A43" w:rsidR="00CA3C5B" w:rsidRDefault="00260033" w:rsidP="007A7D52">
      <w:r>
        <w:t>In</w:t>
      </w:r>
      <w:r w:rsidR="00932420">
        <w:t xml:space="preserve"> </w:t>
      </w:r>
      <w:r>
        <w:t>2022–23,</w:t>
      </w:r>
      <w:r w:rsidR="00932420">
        <w:t xml:space="preserve"> </w:t>
      </w:r>
      <w:r>
        <w:t>Victoria’s</w:t>
      </w:r>
      <w:r w:rsidR="00932420">
        <w:t xml:space="preserve"> </w:t>
      </w:r>
      <w:r>
        <w:t>state-owned</w:t>
      </w:r>
      <w:r w:rsidR="00932420">
        <w:t xml:space="preserve"> </w:t>
      </w:r>
      <w:r>
        <w:t>arts</w:t>
      </w:r>
      <w:r w:rsidR="00932420">
        <w:t xml:space="preserve"> </w:t>
      </w:r>
      <w:r>
        <w:t>and</w:t>
      </w:r>
      <w:r w:rsidR="00932420">
        <w:t xml:space="preserve"> </w:t>
      </w:r>
      <w:r>
        <w:t>cultural</w:t>
      </w:r>
      <w:r w:rsidR="00932420">
        <w:t xml:space="preserve"> </w:t>
      </w:r>
      <w:r>
        <w:t>institutions</w:t>
      </w:r>
      <w:r w:rsidR="00932420">
        <w:t xml:space="preserve"> </w:t>
      </w:r>
      <w:r>
        <w:t>–</w:t>
      </w:r>
      <w:r w:rsidR="00932420">
        <w:t xml:space="preserve"> </w:t>
      </w:r>
      <w:r>
        <w:t>Arts</w:t>
      </w:r>
      <w:r w:rsidR="00932420">
        <w:t xml:space="preserve"> </w:t>
      </w:r>
      <w:r>
        <w:t>Centre</w:t>
      </w:r>
      <w:r w:rsidR="00932420">
        <w:t xml:space="preserve"> </w:t>
      </w:r>
      <w:r>
        <w:t>Melbourne</w:t>
      </w:r>
      <w:r w:rsidR="00932420">
        <w:t xml:space="preserve"> </w:t>
      </w:r>
      <w:r>
        <w:t>(ACM),</w:t>
      </w:r>
      <w:r w:rsidR="00932420">
        <w:t xml:space="preserve"> </w:t>
      </w:r>
      <w:r>
        <w:t>Australian</w:t>
      </w:r>
      <w:r w:rsidR="00932420">
        <w:t xml:space="preserve"> </w:t>
      </w:r>
      <w:r>
        <w:t>Centre</w:t>
      </w:r>
      <w:r w:rsidR="00932420">
        <w:t xml:space="preserve"> </w:t>
      </w:r>
      <w:r>
        <w:t>for</w:t>
      </w:r>
      <w:r w:rsidR="00932420">
        <w:t xml:space="preserve"> </w:t>
      </w:r>
      <w:r>
        <w:t>the</w:t>
      </w:r>
      <w:r w:rsidR="00932420">
        <w:t xml:space="preserve"> </w:t>
      </w:r>
      <w:r>
        <w:t>Moving</w:t>
      </w:r>
      <w:r w:rsidR="00932420">
        <w:t xml:space="preserve"> </w:t>
      </w:r>
      <w:r>
        <w:t>Image</w:t>
      </w:r>
      <w:r w:rsidR="00932420">
        <w:t xml:space="preserve"> </w:t>
      </w:r>
      <w:r>
        <w:t>(ACMI),</w:t>
      </w:r>
      <w:r w:rsidR="00932420">
        <w:t xml:space="preserve"> </w:t>
      </w:r>
      <w:r>
        <w:t>Geelong</w:t>
      </w:r>
      <w:r w:rsidR="00932420">
        <w:t xml:space="preserve"> </w:t>
      </w:r>
      <w:r>
        <w:t>Arts</w:t>
      </w:r>
      <w:r w:rsidR="00932420">
        <w:t xml:space="preserve"> </w:t>
      </w:r>
      <w:r>
        <w:t>Centre,</w:t>
      </w:r>
      <w:r w:rsidR="00932420">
        <w:t xml:space="preserve"> </w:t>
      </w:r>
      <w:r>
        <w:t>Melbourne</w:t>
      </w:r>
      <w:r w:rsidR="00932420">
        <w:t xml:space="preserve"> </w:t>
      </w:r>
      <w:r>
        <w:t>Recital</w:t>
      </w:r>
      <w:r w:rsidR="00932420">
        <w:t xml:space="preserve"> </w:t>
      </w:r>
      <w:r>
        <w:t>Centre,</w:t>
      </w:r>
      <w:r w:rsidR="00932420">
        <w:t xml:space="preserve"> </w:t>
      </w:r>
      <w:r>
        <w:t>Museums</w:t>
      </w:r>
      <w:r w:rsidR="00932420">
        <w:t xml:space="preserve"> </w:t>
      </w:r>
      <w:r>
        <w:t>Victoria,</w:t>
      </w:r>
      <w:r w:rsidR="00932420">
        <w:t xml:space="preserve"> </w:t>
      </w:r>
      <w:r>
        <w:t>National</w:t>
      </w:r>
      <w:r w:rsidR="00932420">
        <w:t xml:space="preserve"> </w:t>
      </w:r>
      <w:r>
        <w:t>Gallery</w:t>
      </w:r>
      <w:r w:rsidR="00932420">
        <w:t xml:space="preserve"> </w:t>
      </w:r>
      <w:r>
        <w:t>of</w:t>
      </w:r>
      <w:r w:rsidR="00932420">
        <w:t xml:space="preserve"> </w:t>
      </w:r>
      <w:r>
        <w:t>Victoria</w:t>
      </w:r>
      <w:r w:rsidR="00932420">
        <w:t xml:space="preserve"> </w:t>
      </w:r>
      <w:r>
        <w:t>(NGV),</w:t>
      </w:r>
      <w:r w:rsidR="00932420">
        <w:t xml:space="preserve"> </w:t>
      </w:r>
      <w:r>
        <w:t>and</w:t>
      </w:r>
      <w:r w:rsidR="00932420">
        <w:t xml:space="preserve"> </w:t>
      </w:r>
      <w:r>
        <w:t>State</w:t>
      </w:r>
      <w:r w:rsidR="00932420">
        <w:t xml:space="preserve"> </w:t>
      </w:r>
      <w:r>
        <w:t>Library</w:t>
      </w:r>
      <w:r w:rsidR="00932420">
        <w:t xml:space="preserve"> </w:t>
      </w:r>
      <w:r>
        <w:t>Victoria</w:t>
      </w:r>
      <w:r w:rsidR="00932420">
        <w:t xml:space="preserve"> </w:t>
      </w:r>
      <w:r>
        <w:t>–</w:t>
      </w:r>
      <w:r w:rsidR="00932420">
        <w:t xml:space="preserve"> </w:t>
      </w:r>
      <w:r>
        <w:t>were</w:t>
      </w:r>
      <w:r w:rsidR="00932420">
        <w:t xml:space="preserve"> </w:t>
      </w:r>
      <w:r>
        <w:t>attended</w:t>
      </w:r>
      <w:r w:rsidR="00932420">
        <w:t xml:space="preserve"> </w:t>
      </w:r>
      <w:r>
        <w:t>by</w:t>
      </w:r>
      <w:r w:rsidR="00932420">
        <w:t xml:space="preserve"> </w:t>
      </w:r>
      <w:r>
        <w:t>approximately</w:t>
      </w:r>
      <w:r w:rsidR="00932420">
        <w:t xml:space="preserve"> </w:t>
      </w:r>
      <w:r>
        <w:t>10.8</w:t>
      </w:r>
      <w:r w:rsidR="00932420">
        <w:t xml:space="preserve"> </w:t>
      </w:r>
      <w:r>
        <w:t>million</w:t>
      </w:r>
      <w:r w:rsidR="00932420">
        <w:t xml:space="preserve"> </w:t>
      </w:r>
      <w:r>
        <w:t>visitors</w:t>
      </w:r>
      <w:r w:rsidR="00932420">
        <w:t xml:space="preserve"> </w:t>
      </w:r>
      <w:r>
        <w:t>–</w:t>
      </w:r>
      <w:r w:rsidR="00932420">
        <w:t xml:space="preserve"> </w:t>
      </w:r>
      <w:r>
        <w:t>a</w:t>
      </w:r>
      <w:r w:rsidR="00932420">
        <w:t xml:space="preserve"> </w:t>
      </w:r>
      <w:r>
        <w:t>significant</w:t>
      </w:r>
      <w:r w:rsidR="00932420">
        <w:t xml:space="preserve"> </w:t>
      </w:r>
      <w:r>
        <w:t>improvement</w:t>
      </w:r>
      <w:r w:rsidR="00932420">
        <w:t xml:space="preserve"> </w:t>
      </w:r>
      <w:r>
        <w:t>on</w:t>
      </w:r>
      <w:r w:rsidR="00932420">
        <w:t xml:space="preserve"> </w:t>
      </w:r>
      <w:r>
        <w:t>previous</w:t>
      </w:r>
      <w:r w:rsidR="00932420">
        <w:t xml:space="preserve"> </w:t>
      </w:r>
      <w:r>
        <w:t>years</w:t>
      </w:r>
      <w:r w:rsidR="00932420">
        <w:t xml:space="preserve"> </w:t>
      </w:r>
      <w:r>
        <w:t>and</w:t>
      </w:r>
      <w:r w:rsidR="00932420">
        <w:t xml:space="preserve"> </w:t>
      </w:r>
      <w:r>
        <w:t>an</w:t>
      </w:r>
      <w:r w:rsidR="00932420">
        <w:t xml:space="preserve"> </w:t>
      </w:r>
      <w:r>
        <w:t>increase</w:t>
      </w:r>
      <w:r w:rsidR="00932420">
        <w:t xml:space="preserve"> </w:t>
      </w:r>
      <w:r>
        <w:t>of</w:t>
      </w:r>
      <w:r w:rsidR="00932420">
        <w:t xml:space="preserve"> </w:t>
      </w:r>
      <w:r>
        <w:t>15.1%</w:t>
      </w:r>
      <w:r w:rsidR="00932420">
        <w:t xml:space="preserve"> </w:t>
      </w:r>
      <w:r>
        <w:t>over</w:t>
      </w:r>
      <w:r w:rsidR="00932420">
        <w:t xml:space="preserve"> </w:t>
      </w:r>
      <w:r>
        <w:t>the</w:t>
      </w:r>
      <w:r w:rsidR="00932420">
        <w:t xml:space="preserve"> </w:t>
      </w:r>
      <w:r>
        <w:t>2019–20</w:t>
      </w:r>
      <w:r w:rsidR="00932420">
        <w:t xml:space="preserve"> </w:t>
      </w:r>
      <w:r>
        <w:t>result.</w:t>
      </w:r>
      <w:r w:rsidR="00932420">
        <w:t xml:space="preserve"> </w:t>
      </w:r>
      <w:r>
        <w:t>The</w:t>
      </w:r>
      <w:r w:rsidR="00932420">
        <w:t xml:space="preserve"> </w:t>
      </w:r>
      <w:r>
        <w:t>trend</w:t>
      </w:r>
      <w:r w:rsidR="00932420">
        <w:t xml:space="preserve"> </w:t>
      </w:r>
      <w:r>
        <w:t>data</w:t>
      </w:r>
      <w:r w:rsidR="00932420">
        <w:t xml:space="preserve"> </w:t>
      </w:r>
      <w:r>
        <w:t>over</w:t>
      </w:r>
      <w:r w:rsidR="00932420">
        <w:t xml:space="preserve"> </w:t>
      </w:r>
      <w:r>
        <w:t>this</w:t>
      </w:r>
      <w:r w:rsidR="00932420">
        <w:t xml:space="preserve"> </w:t>
      </w:r>
      <w:r>
        <w:t>period</w:t>
      </w:r>
      <w:r w:rsidR="00932420">
        <w:t xml:space="preserve"> </w:t>
      </w:r>
      <w:r>
        <w:t>shows</w:t>
      </w:r>
      <w:r w:rsidR="00932420">
        <w:t xml:space="preserve"> </w:t>
      </w:r>
      <w:r>
        <w:t>the</w:t>
      </w:r>
      <w:r w:rsidR="00932420">
        <w:t xml:space="preserve"> </w:t>
      </w:r>
      <w:r>
        <w:t>negative</w:t>
      </w:r>
      <w:r w:rsidR="00932420">
        <w:t xml:space="preserve"> </w:t>
      </w:r>
      <w:r>
        <w:t>impact</w:t>
      </w:r>
      <w:r w:rsidR="00932420">
        <w:t xml:space="preserve"> </w:t>
      </w:r>
      <w:r>
        <w:t>of</w:t>
      </w:r>
      <w:r w:rsidR="00932420">
        <w:t xml:space="preserve"> </w:t>
      </w:r>
      <w:r>
        <w:t>closures</w:t>
      </w:r>
      <w:r w:rsidR="00932420">
        <w:t xml:space="preserve"> </w:t>
      </w:r>
      <w:r>
        <w:t>during</w:t>
      </w:r>
      <w:r w:rsidR="00932420">
        <w:t xml:space="preserve"> </w:t>
      </w:r>
      <w:r>
        <w:t>the</w:t>
      </w:r>
      <w:r w:rsidR="00932420">
        <w:t xml:space="preserve"> </w:t>
      </w:r>
      <w:r>
        <w:t>pandemic</w:t>
      </w:r>
      <w:r w:rsidR="00932420">
        <w:t xml:space="preserve"> </w:t>
      </w:r>
      <w:r>
        <w:t>but</w:t>
      </w:r>
      <w:r w:rsidR="00932420">
        <w:t xml:space="preserve"> </w:t>
      </w:r>
      <w:r>
        <w:t>also</w:t>
      </w:r>
      <w:r w:rsidR="00932420">
        <w:t xml:space="preserve"> </w:t>
      </w:r>
      <w:r>
        <w:t>illustrates</w:t>
      </w:r>
      <w:r w:rsidR="00932420">
        <w:t xml:space="preserve"> </w:t>
      </w:r>
      <w:r>
        <w:t>the</w:t>
      </w:r>
      <w:r w:rsidR="00932420">
        <w:t xml:space="preserve"> </w:t>
      </w:r>
      <w:r>
        <w:t>strong</w:t>
      </w:r>
      <w:r w:rsidR="00932420">
        <w:t xml:space="preserve"> </w:t>
      </w:r>
      <w:r>
        <w:t>recovery</w:t>
      </w:r>
      <w:r w:rsidR="00932420">
        <w:t xml:space="preserve"> </w:t>
      </w:r>
      <w:r>
        <w:t>and</w:t>
      </w:r>
      <w:r w:rsidR="00932420">
        <w:t xml:space="preserve"> </w:t>
      </w:r>
      <w:r>
        <w:t>interest</w:t>
      </w:r>
      <w:r w:rsidR="00932420">
        <w:t xml:space="preserve"> </w:t>
      </w:r>
      <w:r>
        <w:t>in</w:t>
      </w:r>
      <w:r w:rsidR="00932420">
        <w:t xml:space="preserve"> </w:t>
      </w:r>
      <w:r>
        <w:t>the</w:t>
      </w:r>
      <w:r w:rsidR="00932420">
        <w:t xml:space="preserve"> </w:t>
      </w:r>
      <w:r>
        <w:t>creative</w:t>
      </w:r>
      <w:r w:rsidR="00932420">
        <w:t xml:space="preserve"> </w:t>
      </w:r>
      <w:r>
        <w:t>experiences</w:t>
      </w:r>
      <w:r w:rsidR="00932420">
        <w:t xml:space="preserve"> </w:t>
      </w:r>
      <w:r>
        <w:t>on</w:t>
      </w:r>
      <w:r w:rsidR="00932420">
        <w:t xml:space="preserve"> </w:t>
      </w:r>
      <w:r>
        <w:t>offer</w:t>
      </w:r>
      <w:r w:rsidR="00932420">
        <w:t xml:space="preserve"> </w:t>
      </w:r>
      <w:r>
        <w:t>since</w:t>
      </w:r>
      <w:r w:rsidR="00932420">
        <w:t xml:space="preserve"> </w:t>
      </w:r>
      <w:r>
        <w:t>the</w:t>
      </w:r>
      <w:r w:rsidR="00932420">
        <w:t xml:space="preserve"> </w:t>
      </w:r>
      <w:r>
        <w:t>state</w:t>
      </w:r>
      <w:r w:rsidR="00932420">
        <w:t xml:space="preserve"> </w:t>
      </w:r>
      <w:r>
        <w:t>re-opened.</w:t>
      </w:r>
    </w:p>
    <w:p w14:paraId="15EE572A" w14:textId="12856858" w:rsidR="00CA3C5B" w:rsidRDefault="00260033" w:rsidP="007A7D52">
      <w:pPr>
        <w:pStyle w:val="Normalbeforebullets"/>
      </w:pPr>
      <w:r>
        <w:t>The</w:t>
      </w:r>
      <w:r w:rsidR="00932420">
        <w:t xml:space="preserve"> </w:t>
      </w:r>
      <w:r>
        <w:rPr>
          <w:spacing w:val="-1"/>
        </w:rPr>
        <w:t>entire</w:t>
      </w:r>
      <w:r w:rsidR="00932420">
        <w:rPr>
          <w:spacing w:val="-1"/>
        </w:rPr>
        <w:t xml:space="preserve"> </w:t>
      </w:r>
      <w:r>
        <w:rPr>
          <w:spacing w:val="-1"/>
        </w:rPr>
        <w:t>portfolio</w:t>
      </w:r>
      <w:r w:rsidR="00932420">
        <w:rPr>
          <w:spacing w:val="-1"/>
        </w:rPr>
        <w:t xml:space="preserve"> </w:t>
      </w:r>
      <w:r>
        <w:rPr>
          <w:spacing w:val="-1"/>
        </w:rPr>
        <w:t>performed</w:t>
      </w:r>
      <w:r w:rsidR="00932420">
        <w:rPr>
          <w:spacing w:val="-1"/>
        </w:rPr>
        <w:t xml:space="preserve"> </w:t>
      </w:r>
      <w:r>
        <w:rPr>
          <w:spacing w:val="-1"/>
        </w:rPr>
        <w:t>strongly</w:t>
      </w:r>
      <w:r w:rsidR="00932420">
        <w:rPr>
          <w:spacing w:val="-1"/>
        </w:rPr>
        <w:t xml:space="preserve"> </w:t>
      </w:r>
      <w:proofErr w:type="gramStart"/>
      <w:r>
        <w:rPr>
          <w:spacing w:val="-1"/>
        </w:rPr>
        <w:t>as</w:t>
      </w:r>
      <w:r w:rsidR="00932420">
        <w:rPr>
          <w:spacing w:val="-1"/>
        </w:rPr>
        <w:t xml:space="preserve"> </w:t>
      </w:r>
      <w:r>
        <w:rPr>
          <w:spacing w:val="-1"/>
        </w:rPr>
        <w:t>a</w:t>
      </w:r>
      <w:r w:rsidR="00932420">
        <w:rPr>
          <w:spacing w:val="-1"/>
        </w:rPr>
        <w:t xml:space="preserve"> </w:t>
      </w:r>
      <w:r>
        <w:rPr>
          <w:spacing w:val="-1"/>
        </w:rPr>
        <w:t>result</w:t>
      </w:r>
      <w:r w:rsidR="00932420">
        <w:rPr>
          <w:spacing w:val="-1"/>
        </w:rPr>
        <w:t xml:space="preserve"> </w:t>
      </w:r>
      <w:r>
        <w:rPr>
          <w:spacing w:val="-1"/>
        </w:rPr>
        <w:t>of</w:t>
      </w:r>
      <w:proofErr w:type="gramEnd"/>
      <w:r w:rsidR="00932420">
        <w:rPr>
          <w:spacing w:val="-1"/>
        </w:rPr>
        <w:t xml:space="preserve"> </w:t>
      </w:r>
      <w:r>
        <w:t>investment</w:t>
      </w:r>
      <w:r w:rsidR="00932420">
        <w:t xml:space="preserve"> </w:t>
      </w:r>
      <w:r>
        <w:t>in</w:t>
      </w:r>
      <w:r w:rsidR="00932420">
        <w:t xml:space="preserve"> </w:t>
      </w:r>
      <w:r>
        <w:t>engaging</w:t>
      </w:r>
      <w:r w:rsidR="00932420">
        <w:t xml:space="preserve"> </w:t>
      </w:r>
      <w:r>
        <w:t>exhibitions</w:t>
      </w:r>
      <w:r w:rsidR="00932420">
        <w:t xml:space="preserve"> </w:t>
      </w:r>
      <w:r>
        <w:t>and</w:t>
      </w:r>
      <w:r w:rsidR="00932420">
        <w:t xml:space="preserve"> </w:t>
      </w:r>
      <w:r>
        <w:t>productions,</w:t>
      </w:r>
      <w:r w:rsidR="00932420">
        <w:t xml:space="preserve"> </w:t>
      </w:r>
      <w:r>
        <w:t>rejuvenated</w:t>
      </w:r>
      <w:r w:rsidR="00932420">
        <w:t xml:space="preserve"> </w:t>
      </w:r>
      <w:r>
        <w:t>facilities</w:t>
      </w:r>
      <w:r w:rsidR="00932420">
        <w:t xml:space="preserve"> </w:t>
      </w:r>
      <w:r>
        <w:t>and</w:t>
      </w:r>
      <w:r w:rsidR="00932420">
        <w:t xml:space="preserve"> </w:t>
      </w:r>
      <w:r>
        <w:t>innovative</w:t>
      </w:r>
      <w:r w:rsidR="00932420">
        <w:t xml:space="preserve"> </w:t>
      </w:r>
      <w:r>
        <w:t>programming</w:t>
      </w:r>
      <w:r w:rsidR="00932420">
        <w:t xml:space="preserve"> </w:t>
      </w:r>
      <w:r>
        <w:t>such</w:t>
      </w:r>
      <w:r w:rsidR="00932420">
        <w:t xml:space="preserve"> </w:t>
      </w:r>
      <w:r>
        <w:t>as:</w:t>
      </w:r>
      <w:r w:rsidR="00932420">
        <w:t xml:space="preserve"> </w:t>
      </w:r>
    </w:p>
    <w:p w14:paraId="7392ACEA" w14:textId="2040356D" w:rsidR="00CA3C5B" w:rsidRDefault="00260033" w:rsidP="007A7D52">
      <w:pPr>
        <w:pStyle w:val="Bullet"/>
      </w:pPr>
      <w:r>
        <w:t>an</w:t>
      </w:r>
      <w:r w:rsidR="00932420">
        <w:t xml:space="preserve"> </w:t>
      </w:r>
      <w:r>
        <w:t>increase</w:t>
      </w:r>
      <w:r w:rsidR="00932420">
        <w:t xml:space="preserve"> </w:t>
      </w:r>
      <w:r>
        <w:t>in</w:t>
      </w:r>
      <w:r w:rsidR="00932420">
        <w:t xml:space="preserve"> </w:t>
      </w:r>
      <w:r>
        <w:t>music</w:t>
      </w:r>
      <w:r w:rsidR="00932420">
        <w:t xml:space="preserve"> </w:t>
      </w:r>
      <w:r>
        <w:t>performances,</w:t>
      </w:r>
      <w:r w:rsidR="00932420">
        <w:t xml:space="preserve"> </w:t>
      </w:r>
      <w:r>
        <w:t>festivals</w:t>
      </w:r>
      <w:r w:rsidR="00932420">
        <w:t xml:space="preserve"> </w:t>
      </w:r>
      <w:r>
        <w:t>and</w:t>
      </w:r>
      <w:r w:rsidR="00932420">
        <w:t xml:space="preserve"> </w:t>
      </w:r>
      <w:r>
        <w:t>other</w:t>
      </w:r>
      <w:r w:rsidR="00932420">
        <w:t xml:space="preserve"> </w:t>
      </w:r>
      <w:r>
        <w:t>events</w:t>
      </w:r>
      <w:r w:rsidR="00932420">
        <w:t xml:space="preserve"> </w:t>
      </w:r>
      <w:r>
        <w:t>hosted</w:t>
      </w:r>
      <w:r w:rsidR="00932420">
        <w:t xml:space="preserve"> </w:t>
      </w:r>
      <w:r>
        <w:t>at</w:t>
      </w:r>
      <w:r w:rsidR="00932420">
        <w:t xml:space="preserve"> </w:t>
      </w:r>
      <w:r>
        <w:t>the</w:t>
      </w:r>
      <w:r w:rsidR="00932420">
        <w:t xml:space="preserve"> </w:t>
      </w:r>
      <w:r>
        <w:t>Sidney</w:t>
      </w:r>
      <w:r w:rsidR="00932420">
        <w:t xml:space="preserve"> </w:t>
      </w:r>
      <w:r>
        <w:t>Myer</w:t>
      </w:r>
      <w:r w:rsidR="00932420">
        <w:t xml:space="preserve"> </w:t>
      </w:r>
      <w:r>
        <w:t>Music</w:t>
      </w:r>
      <w:r w:rsidR="00932420">
        <w:t xml:space="preserve"> </w:t>
      </w:r>
      <w:r>
        <w:t>Bowl</w:t>
      </w:r>
      <w:r w:rsidR="00932420">
        <w:t xml:space="preserve"> </w:t>
      </w:r>
      <w:r>
        <w:t>through</w:t>
      </w:r>
      <w:r w:rsidR="00932420">
        <w:t xml:space="preserve"> </w:t>
      </w:r>
      <w:r>
        <w:t>the</w:t>
      </w:r>
      <w:r w:rsidR="00932420">
        <w:t xml:space="preserve"> </w:t>
      </w:r>
      <w:r>
        <w:t>summer</w:t>
      </w:r>
      <w:r w:rsidR="00932420">
        <w:t xml:space="preserve"> </w:t>
      </w:r>
      <w:r w:rsidRPr="00C11AB3">
        <w:rPr>
          <w:i/>
          <w:iCs/>
        </w:rPr>
        <w:t>Live</w:t>
      </w:r>
      <w:r w:rsidR="00932420" w:rsidRPr="00C11AB3">
        <w:rPr>
          <w:i/>
          <w:iCs/>
        </w:rPr>
        <w:t xml:space="preserve"> </w:t>
      </w:r>
      <w:r w:rsidRPr="00C11AB3">
        <w:rPr>
          <w:i/>
          <w:iCs/>
        </w:rPr>
        <w:t>at</w:t>
      </w:r>
      <w:r w:rsidR="00932420" w:rsidRPr="00C11AB3">
        <w:rPr>
          <w:i/>
          <w:iCs/>
        </w:rPr>
        <w:t xml:space="preserve"> </w:t>
      </w:r>
      <w:r w:rsidRPr="00C11AB3">
        <w:rPr>
          <w:i/>
          <w:iCs/>
        </w:rPr>
        <w:t>the</w:t>
      </w:r>
      <w:r w:rsidR="00932420" w:rsidRPr="00C11AB3">
        <w:rPr>
          <w:i/>
          <w:iCs/>
        </w:rPr>
        <w:t xml:space="preserve"> </w:t>
      </w:r>
      <w:r w:rsidRPr="00C11AB3">
        <w:rPr>
          <w:i/>
          <w:iCs/>
        </w:rPr>
        <w:t>Bowl</w:t>
      </w:r>
      <w:r w:rsidR="00932420" w:rsidRPr="00D23DEC">
        <w:rPr>
          <w:i/>
          <w:iCs/>
        </w:rPr>
        <w:t xml:space="preserve"> </w:t>
      </w:r>
      <w:r>
        <w:t>program.</w:t>
      </w:r>
      <w:r w:rsidR="00932420">
        <w:t xml:space="preserve"> </w:t>
      </w:r>
      <w:r>
        <w:t>This</w:t>
      </w:r>
      <w:r w:rsidR="00932420">
        <w:t xml:space="preserve"> </w:t>
      </w:r>
      <w:r>
        <w:t>contributed</w:t>
      </w:r>
      <w:r w:rsidR="00932420">
        <w:t xml:space="preserve"> </w:t>
      </w:r>
      <w:r>
        <w:t>to</w:t>
      </w:r>
      <w:r w:rsidR="00932420">
        <w:t xml:space="preserve"> </w:t>
      </w:r>
      <w:r>
        <w:t>the</w:t>
      </w:r>
      <w:r w:rsidR="00932420">
        <w:t xml:space="preserve"> </w:t>
      </w:r>
      <w:r>
        <w:t>Bowl’s</w:t>
      </w:r>
      <w:r w:rsidR="00932420">
        <w:t xml:space="preserve"> </w:t>
      </w:r>
      <w:r>
        <w:t>biggest</w:t>
      </w:r>
      <w:r w:rsidR="00932420">
        <w:t xml:space="preserve"> </w:t>
      </w:r>
      <w:r>
        <w:t>ever</w:t>
      </w:r>
      <w:r w:rsidR="00932420">
        <w:t xml:space="preserve"> </w:t>
      </w:r>
      <w:r>
        <w:t>season,</w:t>
      </w:r>
      <w:r w:rsidR="00932420">
        <w:t xml:space="preserve"> </w:t>
      </w:r>
      <w:r>
        <w:t>welcoming</w:t>
      </w:r>
      <w:r w:rsidR="00932420">
        <w:t xml:space="preserve"> </w:t>
      </w:r>
      <w:r>
        <w:t>over</w:t>
      </w:r>
      <w:r w:rsidR="00932420">
        <w:t xml:space="preserve"> </w:t>
      </w:r>
      <w:r>
        <w:t>335,000</w:t>
      </w:r>
      <w:r w:rsidR="00932420">
        <w:t xml:space="preserve"> </w:t>
      </w:r>
      <w:r>
        <w:t>people</w:t>
      </w:r>
      <w:r w:rsidR="00932420">
        <w:t xml:space="preserve"> </w:t>
      </w:r>
      <w:r>
        <w:t>between</w:t>
      </w:r>
      <w:r w:rsidR="00932420">
        <w:t xml:space="preserve"> </w:t>
      </w:r>
      <w:r>
        <w:t>September</w:t>
      </w:r>
      <w:r w:rsidR="00932420">
        <w:t xml:space="preserve"> </w:t>
      </w:r>
      <w:r>
        <w:t>2022</w:t>
      </w:r>
      <w:r w:rsidR="00932420">
        <w:t xml:space="preserve"> </w:t>
      </w:r>
      <w:r>
        <w:t>and</w:t>
      </w:r>
      <w:r w:rsidR="00932420">
        <w:t xml:space="preserve"> </w:t>
      </w:r>
      <w:r>
        <w:t>April</w:t>
      </w:r>
      <w:r w:rsidR="00932420">
        <w:t xml:space="preserve"> </w:t>
      </w:r>
      <w:r>
        <w:t>2023</w:t>
      </w:r>
    </w:p>
    <w:p w14:paraId="5D0071DC" w14:textId="1248D332" w:rsidR="00CA3C5B" w:rsidRDefault="00260033" w:rsidP="00C11AB3">
      <w:pPr>
        <w:pStyle w:val="Bullet"/>
      </w:pPr>
      <w:r>
        <w:t>Blockbuster</w:t>
      </w:r>
      <w:r w:rsidR="00932420">
        <w:t xml:space="preserve"> </w:t>
      </w:r>
      <w:r>
        <w:t>exhibitions</w:t>
      </w:r>
      <w:r w:rsidR="00932420">
        <w:t xml:space="preserve"> </w:t>
      </w:r>
      <w:r>
        <w:t>at</w:t>
      </w:r>
      <w:r w:rsidR="00932420">
        <w:t xml:space="preserve"> </w:t>
      </w:r>
      <w:r>
        <w:t>the</w:t>
      </w:r>
      <w:r w:rsidR="00932420">
        <w:t xml:space="preserve"> </w:t>
      </w:r>
      <w:r>
        <w:t>NGV</w:t>
      </w:r>
      <w:r w:rsidR="00932420">
        <w:t xml:space="preserve"> </w:t>
      </w:r>
      <w:r>
        <w:t>including:</w:t>
      </w:r>
      <w:r w:rsidR="00932420">
        <w:t xml:space="preserve"> </w:t>
      </w:r>
    </w:p>
    <w:p w14:paraId="751CF1A4" w14:textId="19BBF5F5" w:rsidR="00CA3C5B" w:rsidRDefault="00260033" w:rsidP="00C11AB3">
      <w:pPr>
        <w:pStyle w:val="Bullet2"/>
      </w:pPr>
      <w:r>
        <w:t>the</w:t>
      </w:r>
      <w:r w:rsidR="00932420">
        <w:t xml:space="preserve"> </w:t>
      </w:r>
      <w:r>
        <w:t>Melbourne</w:t>
      </w:r>
      <w:r w:rsidR="00932420">
        <w:t xml:space="preserve"> </w:t>
      </w:r>
      <w:r>
        <w:t>Winter</w:t>
      </w:r>
      <w:r w:rsidR="00932420">
        <w:t xml:space="preserve"> </w:t>
      </w:r>
      <w:r>
        <w:t>Masterpiece</w:t>
      </w:r>
      <w:r w:rsidR="00932420">
        <w:t xml:space="preserve"> </w:t>
      </w:r>
      <w:r>
        <w:t>exhibitions,</w:t>
      </w:r>
      <w:r w:rsidR="00932420">
        <w:t xml:space="preserve"> </w:t>
      </w:r>
      <w:r w:rsidRPr="00C11AB3">
        <w:rPr>
          <w:i/>
          <w:iCs/>
        </w:rPr>
        <w:t>The</w:t>
      </w:r>
      <w:r w:rsidR="00932420" w:rsidRPr="00C11AB3">
        <w:rPr>
          <w:i/>
          <w:iCs/>
        </w:rPr>
        <w:t xml:space="preserve"> </w:t>
      </w:r>
      <w:r w:rsidRPr="00C11AB3">
        <w:rPr>
          <w:i/>
          <w:iCs/>
        </w:rPr>
        <w:t>Picasso</w:t>
      </w:r>
      <w:r w:rsidR="00932420" w:rsidRPr="00C11AB3">
        <w:rPr>
          <w:i/>
          <w:iCs/>
        </w:rPr>
        <w:t xml:space="preserve"> </w:t>
      </w:r>
      <w:r w:rsidRPr="00C11AB3">
        <w:rPr>
          <w:i/>
          <w:iCs/>
        </w:rPr>
        <w:t>Century</w:t>
      </w:r>
      <w:r w:rsidR="00932420">
        <w:t xml:space="preserve"> </w:t>
      </w:r>
      <w:r>
        <w:t>and</w:t>
      </w:r>
      <w:r w:rsidR="00932420">
        <w:t xml:space="preserve"> </w:t>
      </w:r>
      <w:r w:rsidRPr="00C11AB3">
        <w:rPr>
          <w:i/>
          <w:iCs/>
        </w:rPr>
        <w:t>Pierre</w:t>
      </w:r>
      <w:r w:rsidR="00932420" w:rsidRPr="00C11AB3">
        <w:rPr>
          <w:i/>
          <w:iCs/>
        </w:rPr>
        <w:t xml:space="preserve"> </w:t>
      </w:r>
      <w:r w:rsidRPr="00C11AB3">
        <w:rPr>
          <w:i/>
          <w:iCs/>
        </w:rPr>
        <w:t>Bonnard:</w:t>
      </w:r>
      <w:r w:rsidR="00932420" w:rsidRPr="00C11AB3">
        <w:rPr>
          <w:i/>
          <w:iCs/>
        </w:rPr>
        <w:t xml:space="preserve"> </w:t>
      </w:r>
      <w:r w:rsidRPr="00C11AB3">
        <w:rPr>
          <w:i/>
          <w:iCs/>
        </w:rPr>
        <w:t>Designed</w:t>
      </w:r>
      <w:r w:rsidR="00932420" w:rsidRPr="00C11AB3">
        <w:rPr>
          <w:i/>
          <w:iCs/>
        </w:rPr>
        <w:t xml:space="preserve"> </w:t>
      </w:r>
      <w:r w:rsidRPr="00C11AB3">
        <w:rPr>
          <w:i/>
          <w:iCs/>
        </w:rPr>
        <w:t>by</w:t>
      </w:r>
      <w:r w:rsidR="00932420" w:rsidRPr="00C11AB3">
        <w:rPr>
          <w:i/>
          <w:iCs/>
        </w:rPr>
        <w:t xml:space="preserve"> </w:t>
      </w:r>
      <w:r w:rsidRPr="00C11AB3">
        <w:rPr>
          <w:i/>
          <w:iCs/>
        </w:rPr>
        <w:t>India</w:t>
      </w:r>
      <w:r w:rsidR="00932420" w:rsidRPr="00C11AB3">
        <w:rPr>
          <w:i/>
          <w:iCs/>
        </w:rPr>
        <w:t xml:space="preserve"> </w:t>
      </w:r>
      <w:r w:rsidRPr="00C11AB3">
        <w:rPr>
          <w:i/>
          <w:iCs/>
        </w:rPr>
        <w:t>Mahdavi</w:t>
      </w:r>
    </w:p>
    <w:p w14:paraId="726F0FEB" w14:textId="2AC4A694" w:rsidR="00CA3C5B" w:rsidRPr="00C11AB3" w:rsidRDefault="00260033" w:rsidP="00C11AB3">
      <w:pPr>
        <w:pStyle w:val="Bullet2"/>
        <w:rPr>
          <w:i/>
          <w:iCs/>
        </w:rPr>
      </w:pPr>
      <w:r w:rsidRPr="00C11AB3">
        <w:rPr>
          <w:i/>
          <w:iCs/>
        </w:rPr>
        <w:t>Alexander</w:t>
      </w:r>
      <w:r w:rsidR="00932420" w:rsidRPr="00C11AB3">
        <w:rPr>
          <w:i/>
          <w:iCs/>
        </w:rPr>
        <w:t xml:space="preserve"> </w:t>
      </w:r>
      <w:r w:rsidRPr="00C11AB3">
        <w:rPr>
          <w:i/>
          <w:iCs/>
        </w:rPr>
        <w:t>McQueen:</w:t>
      </w:r>
      <w:r w:rsidR="00932420" w:rsidRPr="00C11AB3">
        <w:rPr>
          <w:i/>
          <w:iCs/>
        </w:rPr>
        <w:t xml:space="preserve"> </w:t>
      </w:r>
      <w:r w:rsidRPr="00C11AB3">
        <w:rPr>
          <w:i/>
          <w:iCs/>
        </w:rPr>
        <w:t>Mind,</w:t>
      </w:r>
      <w:r w:rsidR="00932420" w:rsidRPr="00C11AB3">
        <w:rPr>
          <w:i/>
          <w:iCs/>
        </w:rPr>
        <w:t xml:space="preserve"> </w:t>
      </w:r>
      <w:r w:rsidRPr="00C11AB3">
        <w:rPr>
          <w:i/>
          <w:iCs/>
        </w:rPr>
        <w:t>Mythos,</w:t>
      </w:r>
      <w:r w:rsidR="00932420" w:rsidRPr="00C11AB3">
        <w:rPr>
          <w:i/>
          <w:iCs/>
        </w:rPr>
        <w:t xml:space="preserve"> </w:t>
      </w:r>
      <w:r w:rsidRPr="00C11AB3">
        <w:rPr>
          <w:i/>
          <w:iCs/>
        </w:rPr>
        <w:t>Muse</w:t>
      </w:r>
    </w:p>
    <w:p w14:paraId="29C2A794" w14:textId="44BF854B" w:rsidR="00CA3C5B" w:rsidRPr="00C11AB3" w:rsidRDefault="00260033" w:rsidP="00C11AB3">
      <w:pPr>
        <w:pStyle w:val="Bullet2"/>
        <w:rPr>
          <w:i/>
          <w:iCs/>
        </w:rPr>
      </w:pPr>
      <w:r w:rsidRPr="00C11AB3">
        <w:rPr>
          <w:i/>
          <w:iCs/>
        </w:rPr>
        <w:t>Melbourne</w:t>
      </w:r>
      <w:r w:rsidR="00932420" w:rsidRPr="00C11AB3">
        <w:rPr>
          <w:i/>
          <w:iCs/>
        </w:rPr>
        <w:t xml:space="preserve"> </w:t>
      </w:r>
      <w:r w:rsidRPr="00C11AB3">
        <w:rPr>
          <w:i/>
          <w:iCs/>
        </w:rPr>
        <w:t>Now</w:t>
      </w:r>
    </w:p>
    <w:p w14:paraId="2BA3A053" w14:textId="27A5DFDA" w:rsidR="00CA3C5B" w:rsidRDefault="00260033" w:rsidP="00C11AB3">
      <w:pPr>
        <w:pStyle w:val="Bullet"/>
      </w:pPr>
      <w:r>
        <w:t>ACMI’s</w:t>
      </w:r>
      <w:r w:rsidR="00932420">
        <w:t xml:space="preserve"> </w:t>
      </w:r>
      <w:r>
        <w:t>Melbourne</w:t>
      </w:r>
      <w:r w:rsidR="00932420">
        <w:t xml:space="preserve"> </w:t>
      </w:r>
      <w:r>
        <w:t>Winter</w:t>
      </w:r>
      <w:r w:rsidR="00932420">
        <w:t xml:space="preserve"> </w:t>
      </w:r>
      <w:r>
        <w:t>Masterpiece</w:t>
      </w:r>
      <w:r w:rsidR="00932420">
        <w:t xml:space="preserve"> </w:t>
      </w:r>
      <w:r>
        <w:t>exhibitions</w:t>
      </w:r>
      <w:r w:rsidR="00932420">
        <w:t xml:space="preserve"> </w:t>
      </w:r>
      <w:r w:rsidRPr="00C11AB3">
        <w:rPr>
          <w:i/>
          <w:iCs/>
        </w:rPr>
        <w:t>Light:</w:t>
      </w:r>
      <w:r w:rsidR="00932420" w:rsidRPr="00C11AB3">
        <w:rPr>
          <w:i/>
          <w:iCs/>
        </w:rPr>
        <w:t xml:space="preserve"> </w:t>
      </w:r>
      <w:r w:rsidRPr="00C11AB3">
        <w:rPr>
          <w:i/>
          <w:iCs/>
        </w:rPr>
        <w:t>Works</w:t>
      </w:r>
      <w:r w:rsidR="00932420" w:rsidRPr="00C11AB3">
        <w:rPr>
          <w:i/>
          <w:iCs/>
        </w:rPr>
        <w:t xml:space="preserve"> </w:t>
      </w:r>
      <w:r w:rsidRPr="00C11AB3">
        <w:rPr>
          <w:i/>
          <w:iCs/>
        </w:rPr>
        <w:t>from</w:t>
      </w:r>
      <w:r w:rsidR="00932420" w:rsidRPr="00C11AB3">
        <w:rPr>
          <w:i/>
          <w:iCs/>
        </w:rPr>
        <w:t xml:space="preserve"> </w:t>
      </w:r>
      <w:r w:rsidRPr="00C11AB3">
        <w:rPr>
          <w:i/>
          <w:iCs/>
        </w:rPr>
        <w:t>Tate’s</w:t>
      </w:r>
      <w:r w:rsidR="00932420" w:rsidRPr="00C11AB3">
        <w:rPr>
          <w:i/>
          <w:iCs/>
        </w:rPr>
        <w:t xml:space="preserve"> </w:t>
      </w:r>
      <w:r w:rsidRPr="00C11AB3">
        <w:rPr>
          <w:i/>
          <w:iCs/>
        </w:rPr>
        <w:t>Collection</w:t>
      </w:r>
      <w:r w:rsidR="00932420">
        <w:t xml:space="preserve"> </w:t>
      </w:r>
      <w:r>
        <w:t>and</w:t>
      </w:r>
      <w:r w:rsidR="00932420">
        <w:t xml:space="preserve"> </w:t>
      </w:r>
      <w:r w:rsidRPr="00C11AB3">
        <w:rPr>
          <w:i/>
          <w:iCs/>
        </w:rPr>
        <w:t>Goddess:</w:t>
      </w:r>
      <w:r w:rsidR="00932420" w:rsidRPr="00C11AB3">
        <w:rPr>
          <w:i/>
          <w:iCs/>
        </w:rPr>
        <w:t xml:space="preserve"> </w:t>
      </w:r>
      <w:r w:rsidRPr="00C11AB3">
        <w:rPr>
          <w:i/>
          <w:iCs/>
        </w:rPr>
        <w:t>Power,</w:t>
      </w:r>
      <w:r w:rsidR="00932420" w:rsidRPr="00C11AB3">
        <w:rPr>
          <w:i/>
          <w:iCs/>
        </w:rPr>
        <w:t xml:space="preserve"> </w:t>
      </w:r>
      <w:r w:rsidRPr="00C11AB3">
        <w:rPr>
          <w:i/>
          <w:iCs/>
        </w:rPr>
        <w:t>Glamour,</w:t>
      </w:r>
      <w:r w:rsidR="00932420" w:rsidRPr="00C11AB3">
        <w:rPr>
          <w:i/>
          <w:iCs/>
        </w:rPr>
        <w:t xml:space="preserve"> </w:t>
      </w:r>
      <w:r w:rsidRPr="00C11AB3">
        <w:rPr>
          <w:i/>
          <w:iCs/>
        </w:rPr>
        <w:t>Rebellion</w:t>
      </w:r>
    </w:p>
    <w:p w14:paraId="3F4A5589" w14:textId="27FEC2CF" w:rsidR="00CA3C5B" w:rsidRDefault="00260033" w:rsidP="00C11AB3">
      <w:pPr>
        <w:pStyle w:val="Bullet"/>
      </w:pPr>
      <w:r>
        <w:t>Melbourne</w:t>
      </w:r>
      <w:r w:rsidR="00932420">
        <w:t xml:space="preserve"> </w:t>
      </w:r>
      <w:r>
        <w:t>Museum</w:t>
      </w:r>
      <w:r w:rsidR="00932420">
        <w:t xml:space="preserve"> </w:t>
      </w:r>
      <w:r>
        <w:t>attracted</w:t>
      </w:r>
      <w:r w:rsidR="00932420">
        <w:t xml:space="preserve"> </w:t>
      </w:r>
      <w:r>
        <w:t>visitors</w:t>
      </w:r>
      <w:r w:rsidR="00932420">
        <w:t xml:space="preserve"> </w:t>
      </w:r>
      <w:r>
        <w:t>to</w:t>
      </w:r>
      <w:r w:rsidR="00932420">
        <w:t xml:space="preserve"> </w:t>
      </w:r>
      <w:r>
        <w:t>new</w:t>
      </w:r>
      <w:r w:rsidR="00932420">
        <w:t xml:space="preserve"> </w:t>
      </w:r>
      <w:r>
        <w:t>exhibitions</w:t>
      </w:r>
      <w:r w:rsidR="00932420">
        <w:t xml:space="preserve"> </w:t>
      </w:r>
      <w:r>
        <w:t>and</w:t>
      </w:r>
      <w:r w:rsidR="00932420">
        <w:t xml:space="preserve"> </w:t>
      </w:r>
      <w:r>
        <w:t>attractions</w:t>
      </w:r>
      <w:r w:rsidR="00932420">
        <w:t xml:space="preserve"> </w:t>
      </w:r>
      <w:r>
        <w:t>including</w:t>
      </w:r>
      <w:r w:rsidR="00932420">
        <w:t xml:space="preserve"> </w:t>
      </w:r>
      <w:proofErr w:type="spellStart"/>
      <w:r w:rsidRPr="00C11AB3">
        <w:rPr>
          <w:i/>
          <w:iCs/>
        </w:rPr>
        <w:t>Tyama</w:t>
      </w:r>
      <w:proofErr w:type="spellEnd"/>
      <w:r w:rsidRPr="00C11AB3">
        <w:rPr>
          <w:i/>
          <w:iCs/>
        </w:rPr>
        <w:t>:</w:t>
      </w:r>
      <w:r w:rsidR="00932420" w:rsidRPr="00C11AB3">
        <w:rPr>
          <w:i/>
          <w:iCs/>
        </w:rPr>
        <w:t xml:space="preserve"> </w:t>
      </w:r>
      <w:r w:rsidRPr="00C11AB3">
        <w:rPr>
          <w:i/>
          <w:iCs/>
        </w:rPr>
        <w:t>A</w:t>
      </w:r>
      <w:r w:rsidR="00932420" w:rsidRPr="00C11AB3">
        <w:rPr>
          <w:i/>
          <w:iCs/>
        </w:rPr>
        <w:t xml:space="preserve"> </w:t>
      </w:r>
      <w:r w:rsidRPr="00C11AB3">
        <w:rPr>
          <w:i/>
          <w:iCs/>
        </w:rPr>
        <w:t>deeper</w:t>
      </w:r>
      <w:r w:rsidR="00932420" w:rsidRPr="00C11AB3">
        <w:rPr>
          <w:i/>
          <w:iCs/>
        </w:rPr>
        <w:t xml:space="preserve"> </w:t>
      </w:r>
      <w:r w:rsidRPr="00C11AB3">
        <w:rPr>
          <w:i/>
          <w:iCs/>
        </w:rPr>
        <w:t>sense</w:t>
      </w:r>
      <w:r w:rsidR="00932420" w:rsidRPr="00C11AB3">
        <w:rPr>
          <w:i/>
          <w:iCs/>
        </w:rPr>
        <w:t xml:space="preserve"> </w:t>
      </w:r>
      <w:r w:rsidRPr="00C11AB3">
        <w:rPr>
          <w:i/>
          <w:iCs/>
        </w:rPr>
        <w:t>of</w:t>
      </w:r>
      <w:r w:rsidR="00932420" w:rsidRPr="00C11AB3">
        <w:rPr>
          <w:i/>
          <w:iCs/>
        </w:rPr>
        <w:t xml:space="preserve"> </w:t>
      </w:r>
      <w:r w:rsidRPr="00C11AB3">
        <w:rPr>
          <w:i/>
          <w:iCs/>
        </w:rPr>
        <w:t>knowing</w:t>
      </w:r>
      <w:r w:rsidR="00932420">
        <w:t xml:space="preserve"> </w:t>
      </w:r>
      <w:r>
        <w:t>which</w:t>
      </w:r>
      <w:r w:rsidR="00932420">
        <w:t xml:space="preserve"> </w:t>
      </w:r>
      <w:r>
        <w:t>brought</w:t>
      </w:r>
      <w:r w:rsidR="00932420">
        <w:t xml:space="preserve"> </w:t>
      </w:r>
      <w:r>
        <w:t>together</w:t>
      </w:r>
      <w:r w:rsidR="00932420">
        <w:t xml:space="preserve"> </w:t>
      </w:r>
      <w:r>
        <w:t>First</w:t>
      </w:r>
      <w:r w:rsidR="00932420">
        <w:t xml:space="preserve"> </w:t>
      </w:r>
      <w:r>
        <w:t>Peoples</w:t>
      </w:r>
      <w:r w:rsidR="00932420">
        <w:t xml:space="preserve"> </w:t>
      </w:r>
      <w:r>
        <w:t>knowledge</w:t>
      </w:r>
      <w:r w:rsidR="00932420">
        <w:t xml:space="preserve"> </w:t>
      </w:r>
      <w:r>
        <w:t>of</w:t>
      </w:r>
      <w:r w:rsidR="00932420">
        <w:t xml:space="preserve"> </w:t>
      </w:r>
      <w:r>
        <w:t>nature</w:t>
      </w:r>
      <w:r w:rsidR="00932420">
        <w:t xml:space="preserve"> </w:t>
      </w:r>
      <w:r>
        <w:t>and</w:t>
      </w:r>
      <w:r w:rsidR="00932420">
        <w:t xml:space="preserve"> </w:t>
      </w:r>
      <w:r>
        <w:t>cutting-edge</w:t>
      </w:r>
      <w:r w:rsidR="00932420">
        <w:t xml:space="preserve"> </w:t>
      </w:r>
      <w:r>
        <w:t>immersive</w:t>
      </w:r>
      <w:r w:rsidR="00932420">
        <w:t xml:space="preserve"> </w:t>
      </w:r>
      <w:r>
        <w:t>technology,</w:t>
      </w:r>
      <w:r w:rsidR="00932420">
        <w:t xml:space="preserve"> </w:t>
      </w:r>
      <w:r>
        <w:t>and</w:t>
      </w:r>
      <w:r w:rsidR="00932420">
        <w:t xml:space="preserve"> </w:t>
      </w:r>
      <w:r>
        <w:t>the</w:t>
      </w:r>
      <w:r w:rsidR="00932420">
        <w:t xml:space="preserve"> </w:t>
      </w:r>
      <w:r>
        <w:t>opening</w:t>
      </w:r>
      <w:r w:rsidR="00932420">
        <w:t xml:space="preserve"> </w:t>
      </w:r>
      <w:r>
        <w:t>of</w:t>
      </w:r>
      <w:r w:rsidR="00932420">
        <w:t xml:space="preserve"> </w:t>
      </w:r>
      <w:r>
        <w:t>the</w:t>
      </w:r>
      <w:r w:rsidR="00932420">
        <w:t xml:space="preserve"> </w:t>
      </w:r>
      <w:r>
        <w:t>Gandel</w:t>
      </w:r>
      <w:r w:rsidR="00932420">
        <w:t xml:space="preserve"> </w:t>
      </w:r>
      <w:r>
        <w:t>Gondwana</w:t>
      </w:r>
      <w:r w:rsidR="00932420">
        <w:t xml:space="preserve"> </w:t>
      </w:r>
      <w:r>
        <w:t>Garden</w:t>
      </w:r>
    </w:p>
    <w:p w14:paraId="21C04A41" w14:textId="01098B32" w:rsidR="00CA3C5B" w:rsidRDefault="00260033" w:rsidP="00C11AB3">
      <w:pPr>
        <w:pStyle w:val="Bulletlast"/>
      </w:pPr>
      <w:r>
        <w:t>the</w:t>
      </w:r>
      <w:r w:rsidR="00932420">
        <w:t xml:space="preserve"> </w:t>
      </w:r>
      <w:r>
        <w:t>State</w:t>
      </w:r>
      <w:r w:rsidR="00932420">
        <w:t xml:space="preserve"> </w:t>
      </w:r>
      <w:r>
        <w:t>Library</w:t>
      </w:r>
      <w:r w:rsidR="00932420">
        <w:t xml:space="preserve"> </w:t>
      </w:r>
      <w:r>
        <w:t>also</w:t>
      </w:r>
      <w:r w:rsidR="00932420">
        <w:t xml:space="preserve"> </w:t>
      </w:r>
      <w:r>
        <w:t>achieved</w:t>
      </w:r>
      <w:r w:rsidR="00932420">
        <w:t xml:space="preserve"> </w:t>
      </w:r>
      <w:r>
        <w:t>a</w:t>
      </w:r>
      <w:r w:rsidR="00932420">
        <w:t xml:space="preserve"> </w:t>
      </w:r>
      <w:r>
        <w:t>record</w:t>
      </w:r>
      <w:r w:rsidR="00932420">
        <w:t xml:space="preserve"> </w:t>
      </w:r>
      <w:r>
        <w:t>for</w:t>
      </w:r>
      <w:r w:rsidR="00932420">
        <w:t xml:space="preserve"> </w:t>
      </w:r>
      <w:r>
        <w:t>attendance.</w:t>
      </w:r>
    </w:p>
    <w:p w14:paraId="68ED5F26" w14:textId="0E1CE272" w:rsidR="00CA3C5B" w:rsidRDefault="00260033" w:rsidP="00C11AB3">
      <w:pPr>
        <w:pStyle w:val="TableHeading"/>
      </w:pPr>
      <w:r>
        <w:lastRenderedPageBreak/>
        <w:t>Table</w:t>
      </w:r>
      <w:r w:rsidR="00932420">
        <w:t xml:space="preserve"> </w:t>
      </w:r>
      <w:r>
        <w:t>17:</w:t>
      </w:r>
      <w:r w:rsidR="00932420">
        <w:t xml:space="preserve"> </w:t>
      </w:r>
      <w:r>
        <w:t>Attendances</w:t>
      </w:r>
      <w:r w:rsidR="00932420">
        <w:t xml:space="preserve"> </w:t>
      </w:r>
      <w:r>
        <w:t>at</w:t>
      </w:r>
      <w:r w:rsidR="00932420">
        <w:t xml:space="preserve"> </w:t>
      </w:r>
      <w:r>
        <w:t>funded</w:t>
      </w:r>
      <w:r w:rsidR="00932420">
        <w:t xml:space="preserve"> </w:t>
      </w:r>
      <w:r>
        <w:t>Major</w:t>
      </w:r>
      <w:r w:rsidR="00932420">
        <w:t xml:space="preserve"> </w:t>
      </w:r>
      <w:r>
        <w:t>Performing</w:t>
      </w:r>
      <w:r w:rsidR="00932420">
        <w:t xml:space="preserve"> </w:t>
      </w:r>
      <w:r>
        <w:t>Arts</w:t>
      </w:r>
      <w:r w:rsidR="00932420">
        <w:t xml:space="preserve"> </w:t>
      </w:r>
      <w:r>
        <w:t>organisations</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2C210E82" w14:textId="77777777" w:rsidTr="00C11AB3">
        <w:trPr>
          <w:cantSplit/>
        </w:trPr>
        <w:tc>
          <w:tcPr>
            <w:tcW w:w="5102" w:type="dxa"/>
          </w:tcPr>
          <w:p w14:paraId="75683634" w14:textId="5AC6CBC6" w:rsidR="00CA3C5B" w:rsidRDefault="00260033" w:rsidP="00C11AB3">
            <w:pPr>
              <w:pStyle w:val="TableColumnHeading"/>
            </w:pPr>
            <w:bookmarkStart w:id="38" w:name="ColumnTitle_18"/>
            <w:bookmarkEnd w:id="38"/>
            <w:r>
              <w:t>Measure</w:t>
            </w:r>
            <w:r w:rsidR="00932420">
              <w:t xml:space="preserve"> </w:t>
            </w:r>
            <w:r>
              <w:t>(unit</w:t>
            </w:r>
            <w:r w:rsidR="00932420">
              <w:t xml:space="preserve"> </w:t>
            </w:r>
            <w:r>
              <w:t>of</w:t>
            </w:r>
            <w:r w:rsidR="00932420">
              <w:t xml:space="preserve"> </w:t>
            </w:r>
            <w:r>
              <w:t>measure)</w:t>
            </w:r>
          </w:p>
        </w:tc>
        <w:tc>
          <w:tcPr>
            <w:tcW w:w="1134" w:type="dxa"/>
          </w:tcPr>
          <w:p w14:paraId="39F45D54" w14:textId="77777777" w:rsidR="00CA3C5B" w:rsidRDefault="00260033" w:rsidP="00C11AB3">
            <w:pPr>
              <w:pStyle w:val="TableColumnHeading"/>
              <w:jc w:val="right"/>
            </w:pPr>
            <w:r>
              <w:t>2019–20</w:t>
            </w:r>
          </w:p>
        </w:tc>
        <w:tc>
          <w:tcPr>
            <w:tcW w:w="1134" w:type="dxa"/>
          </w:tcPr>
          <w:p w14:paraId="6EAD43D8" w14:textId="77777777" w:rsidR="00CA3C5B" w:rsidRDefault="00260033" w:rsidP="00C11AB3">
            <w:pPr>
              <w:pStyle w:val="TableColumnHeading"/>
              <w:jc w:val="right"/>
            </w:pPr>
            <w:r>
              <w:t>2020–21</w:t>
            </w:r>
          </w:p>
        </w:tc>
        <w:tc>
          <w:tcPr>
            <w:tcW w:w="1134" w:type="dxa"/>
          </w:tcPr>
          <w:p w14:paraId="081097A1" w14:textId="77777777" w:rsidR="00CA3C5B" w:rsidRDefault="00260033" w:rsidP="00C11AB3">
            <w:pPr>
              <w:pStyle w:val="TableColumnHeading"/>
              <w:jc w:val="right"/>
            </w:pPr>
            <w:r>
              <w:t>2021–22</w:t>
            </w:r>
          </w:p>
        </w:tc>
        <w:tc>
          <w:tcPr>
            <w:tcW w:w="1134" w:type="dxa"/>
          </w:tcPr>
          <w:p w14:paraId="7F95AD2A" w14:textId="77777777" w:rsidR="00CA3C5B" w:rsidRDefault="00260033" w:rsidP="00C11AB3">
            <w:pPr>
              <w:pStyle w:val="TableColumnHeading"/>
              <w:jc w:val="right"/>
            </w:pPr>
            <w:r>
              <w:rPr>
                <w:lang w:val="en-US"/>
              </w:rPr>
              <w:t>2022–23</w:t>
            </w:r>
          </w:p>
        </w:tc>
      </w:tr>
      <w:tr w:rsidR="00CA3C5B" w14:paraId="140A1054" w14:textId="77777777" w:rsidTr="00C11AB3">
        <w:trPr>
          <w:cantSplit/>
        </w:trPr>
        <w:tc>
          <w:tcPr>
            <w:tcW w:w="5102" w:type="dxa"/>
          </w:tcPr>
          <w:p w14:paraId="0B365A96" w14:textId="28C79711" w:rsidR="00CA3C5B" w:rsidRDefault="00260033" w:rsidP="00C11AB3">
            <w:pPr>
              <w:pStyle w:val="TableCopy"/>
            </w:pPr>
            <w:r>
              <w:t>Attendances</w:t>
            </w:r>
            <w:r w:rsidR="00932420">
              <w:t xml:space="preserve"> </w:t>
            </w:r>
            <w:r>
              <w:t>at</w:t>
            </w:r>
            <w:r w:rsidR="00932420">
              <w:t xml:space="preserve"> </w:t>
            </w:r>
            <w:r>
              <w:t>funded</w:t>
            </w:r>
            <w:r w:rsidR="00932420">
              <w:t xml:space="preserve"> </w:t>
            </w:r>
            <w:r>
              <w:t>Major</w:t>
            </w:r>
            <w:r w:rsidR="00932420">
              <w:t xml:space="preserve"> </w:t>
            </w:r>
            <w:r>
              <w:t>Performing</w:t>
            </w:r>
            <w:r w:rsidR="00932420">
              <w:t xml:space="preserve"> </w:t>
            </w:r>
            <w:r>
              <w:t>Arts</w:t>
            </w:r>
            <w:r w:rsidR="00932420">
              <w:t xml:space="preserve"> </w:t>
            </w:r>
            <w:r>
              <w:t>organisations</w:t>
            </w:r>
            <w:r w:rsidR="00932420">
              <w:t xml:space="preserve"> </w:t>
            </w:r>
            <w:r>
              <w:t>(number</w:t>
            </w:r>
            <w:r w:rsidR="00932420">
              <w:t xml:space="preserve"> </w:t>
            </w:r>
            <w:r>
              <w:t>(‘000))</w:t>
            </w:r>
          </w:p>
        </w:tc>
        <w:tc>
          <w:tcPr>
            <w:tcW w:w="1134" w:type="dxa"/>
          </w:tcPr>
          <w:p w14:paraId="3F3DD94D" w14:textId="77777777" w:rsidR="00CA3C5B" w:rsidRDefault="00260033" w:rsidP="00C11AB3">
            <w:pPr>
              <w:pStyle w:val="TableCopy"/>
              <w:jc w:val="right"/>
            </w:pPr>
            <w:r>
              <w:t>1,169</w:t>
            </w:r>
          </w:p>
        </w:tc>
        <w:tc>
          <w:tcPr>
            <w:tcW w:w="1134" w:type="dxa"/>
          </w:tcPr>
          <w:p w14:paraId="42C62A47" w14:textId="77777777" w:rsidR="00CA3C5B" w:rsidRDefault="00260033" w:rsidP="00C11AB3">
            <w:pPr>
              <w:pStyle w:val="TableCopy"/>
              <w:jc w:val="right"/>
            </w:pPr>
            <w:r>
              <w:t>287</w:t>
            </w:r>
          </w:p>
        </w:tc>
        <w:tc>
          <w:tcPr>
            <w:tcW w:w="1134" w:type="dxa"/>
          </w:tcPr>
          <w:p w14:paraId="4750AE53" w14:textId="77777777" w:rsidR="00CA3C5B" w:rsidRDefault="00260033" w:rsidP="00C11AB3">
            <w:pPr>
              <w:pStyle w:val="TableCopy"/>
              <w:jc w:val="right"/>
            </w:pPr>
            <w:r>
              <w:t>279</w:t>
            </w:r>
          </w:p>
        </w:tc>
        <w:tc>
          <w:tcPr>
            <w:tcW w:w="1134" w:type="dxa"/>
          </w:tcPr>
          <w:p w14:paraId="7D3C7965" w14:textId="77777777" w:rsidR="00CA3C5B" w:rsidRDefault="00260033" w:rsidP="00C11AB3">
            <w:pPr>
              <w:pStyle w:val="TableCopy"/>
              <w:jc w:val="right"/>
            </w:pPr>
            <w:r>
              <w:rPr>
                <w:lang w:val="en-US"/>
              </w:rPr>
              <w:t>977</w:t>
            </w:r>
          </w:p>
        </w:tc>
      </w:tr>
    </w:tbl>
    <w:p w14:paraId="61212B13" w14:textId="77777777" w:rsidR="00CA3C5B" w:rsidRDefault="00CA3C5B" w:rsidP="00C11AB3"/>
    <w:p w14:paraId="507E5975" w14:textId="4CD98B27" w:rsidR="00CA3C5B" w:rsidRDefault="00260033" w:rsidP="00C11AB3">
      <w:pPr>
        <w:pStyle w:val="FigureHeading"/>
      </w:pPr>
      <w:r>
        <w:t>Figure</w:t>
      </w:r>
      <w:r w:rsidR="00932420">
        <w:t xml:space="preserve"> </w:t>
      </w:r>
      <w:r>
        <w:t>16:</w:t>
      </w:r>
      <w:r w:rsidR="00932420">
        <w:t xml:space="preserve"> </w:t>
      </w:r>
      <w:r>
        <w:t>Attendances</w:t>
      </w:r>
      <w:r w:rsidR="00932420">
        <w:t xml:space="preserve"> </w:t>
      </w:r>
      <w:r>
        <w:t>at</w:t>
      </w:r>
      <w:r w:rsidR="00932420">
        <w:t xml:space="preserve"> </w:t>
      </w:r>
      <w:r>
        <w:t>funded</w:t>
      </w:r>
      <w:r w:rsidR="00932420">
        <w:t xml:space="preserve"> </w:t>
      </w:r>
      <w:r>
        <w:t>Major</w:t>
      </w:r>
      <w:r w:rsidR="00932420">
        <w:t xml:space="preserve"> </w:t>
      </w:r>
      <w:r>
        <w:t>Performing</w:t>
      </w:r>
      <w:r w:rsidR="00932420">
        <w:t xml:space="preserve"> </w:t>
      </w:r>
      <w:r>
        <w:t>Arts</w:t>
      </w:r>
      <w:r w:rsidR="00932420">
        <w:t xml:space="preserve"> </w:t>
      </w:r>
      <w:r>
        <w:t>organisations</w:t>
      </w:r>
    </w:p>
    <w:p w14:paraId="1A3ACA61" w14:textId="275A9583" w:rsidR="00CA3C5B" w:rsidRDefault="00C11AB3" w:rsidP="00C11AB3">
      <w:r>
        <w:rPr>
          <w:noProof/>
        </w:rPr>
        <w:drawing>
          <wp:inline distT="0" distB="0" distL="0" distR="0" wp14:anchorId="5926887F" wp14:editId="0A8D90F5">
            <wp:extent cx="3217762" cy="2152809"/>
            <wp:effectExtent l="0" t="0" r="1905" b="0"/>
            <wp:docPr id="16" name="Picture 16" descr="Figure 16: Attendances at funded Major Performing Arts organisation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16: Attendances at funded Major Performing Arts organisations graph. Data in table above."/>
                    <pic:cNvPicPr/>
                  </pic:nvPicPr>
                  <pic:blipFill>
                    <a:blip r:embed="rId25"/>
                    <a:stretch>
                      <a:fillRect/>
                    </a:stretch>
                  </pic:blipFill>
                  <pic:spPr>
                    <a:xfrm>
                      <a:off x="0" y="0"/>
                      <a:ext cx="3228206" cy="2159797"/>
                    </a:xfrm>
                    <a:prstGeom prst="rect">
                      <a:avLst/>
                    </a:prstGeom>
                  </pic:spPr>
                </pic:pic>
              </a:graphicData>
            </a:graphic>
          </wp:inline>
        </w:drawing>
      </w:r>
    </w:p>
    <w:p w14:paraId="33CF8932" w14:textId="181FCF14" w:rsidR="00CA3C5B" w:rsidRDefault="00260033" w:rsidP="00C11AB3">
      <w:pPr>
        <w:pStyle w:val="Normalbeforebullets"/>
      </w:pPr>
      <w:r>
        <w:t>The</w:t>
      </w:r>
      <w:r w:rsidR="00932420">
        <w:t xml:space="preserve"> </w:t>
      </w:r>
      <w:r>
        <w:t>2022–23</w:t>
      </w:r>
      <w:r w:rsidR="00932420">
        <w:t xml:space="preserve"> </w:t>
      </w:r>
      <w:r>
        <w:t>full</w:t>
      </w:r>
      <w:r w:rsidR="00932420">
        <w:t xml:space="preserve"> </w:t>
      </w:r>
      <w:r>
        <w:t>year</w:t>
      </w:r>
      <w:r w:rsidR="00932420">
        <w:t xml:space="preserve"> </w:t>
      </w:r>
      <w:r>
        <w:t>attendances</w:t>
      </w:r>
      <w:r w:rsidR="00932420">
        <w:t xml:space="preserve"> </w:t>
      </w:r>
      <w:r>
        <w:t>figure</w:t>
      </w:r>
      <w:r w:rsidR="00932420">
        <w:t xml:space="preserve"> </w:t>
      </w:r>
      <w:r>
        <w:t>was</w:t>
      </w:r>
      <w:r w:rsidR="00932420">
        <w:t xml:space="preserve"> </w:t>
      </w:r>
      <w:r>
        <w:t>977,000,</w:t>
      </w:r>
      <w:r w:rsidR="00932420">
        <w:t xml:space="preserve"> </w:t>
      </w:r>
      <w:r>
        <w:t>which</w:t>
      </w:r>
      <w:r w:rsidR="00932420">
        <w:t xml:space="preserve"> </w:t>
      </w:r>
      <w:r>
        <w:t>is</w:t>
      </w:r>
      <w:r w:rsidR="00932420">
        <w:t xml:space="preserve"> </w:t>
      </w:r>
      <w:r>
        <w:t>within</w:t>
      </w:r>
      <w:r w:rsidR="00932420">
        <w:t xml:space="preserve"> </w:t>
      </w:r>
      <w:r>
        <w:t>5%</w:t>
      </w:r>
      <w:r w:rsidR="00932420">
        <w:t xml:space="preserve"> </w:t>
      </w:r>
      <w:r>
        <w:t>of</w:t>
      </w:r>
      <w:r w:rsidR="00932420">
        <w:t xml:space="preserve"> </w:t>
      </w:r>
      <w:r>
        <w:t>the</w:t>
      </w:r>
      <w:r w:rsidR="00932420">
        <w:t xml:space="preserve"> </w:t>
      </w:r>
      <w:r>
        <w:t>target</w:t>
      </w:r>
      <w:r w:rsidR="00932420">
        <w:t xml:space="preserve"> </w:t>
      </w:r>
      <w:r>
        <w:t>for</w:t>
      </w:r>
      <w:r w:rsidR="00932420">
        <w:t xml:space="preserve"> </w:t>
      </w:r>
      <w:r>
        <w:t>live</w:t>
      </w:r>
      <w:r w:rsidR="00932420">
        <w:t xml:space="preserve"> </w:t>
      </w:r>
      <w:r>
        <w:t>attendances</w:t>
      </w:r>
      <w:r w:rsidR="00932420">
        <w:t xml:space="preserve"> </w:t>
      </w:r>
      <w:r>
        <w:t>at</w:t>
      </w:r>
      <w:r w:rsidR="00932420">
        <w:t xml:space="preserve"> </w:t>
      </w:r>
      <w:r>
        <w:t>performances.</w:t>
      </w:r>
      <w:r w:rsidR="00932420">
        <w:t xml:space="preserve"> </w:t>
      </w:r>
      <w:r>
        <w:t>It</w:t>
      </w:r>
      <w:r w:rsidR="00932420">
        <w:t xml:space="preserve"> </w:t>
      </w:r>
      <w:r>
        <w:t>is</w:t>
      </w:r>
      <w:r w:rsidR="00932420">
        <w:t xml:space="preserve"> </w:t>
      </w:r>
      <w:r>
        <w:t>a</w:t>
      </w:r>
      <w:r w:rsidR="00932420">
        <w:t xml:space="preserve"> </w:t>
      </w:r>
      <w:r>
        <w:t>decrease</w:t>
      </w:r>
      <w:r w:rsidR="00932420">
        <w:t xml:space="preserve"> </w:t>
      </w:r>
      <w:r>
        <w:t>of</w:t>
      </w:r>
      <w:r w:rsidR="00932420">
        <w:t xml:space="preserve"> </w:t>
      </w:r>
      <w:r>
        <w:t>16.4%</w:t>
      </w:r>
      <w:r w:rsidR="00932420">
        <w:t xml:space="preserve"> </w:t>
      </w:r>
      <w:r>
        <w:t>from</w:t>
      </w:r>
      <w:r w:rsidR="00932420">
        <w:t xml:space="preserve"> </w:t>
      </w:r>
      <w:r>
        <w:t>the</w:t>
      </w:r>
      <w:r w:rsidR="00932420">
        <w:t xml:space="preserve"> </w:t>
      </w:r>
      <w:r>
        <w:t>2019–20</w:t>
      </w:r>
      <w:r w:rsidR="00932420">
        <w:t xml:space="preserve"> </w:t>
      </w:r>
      <w:r>
        <w:t>result</w:t>
      </w:r>
      <w:r w:rsidR="00932420">
        <w:t xml:space="preserve"> </w:t>
      </w:r>
      <w:r>
        <w:t>of</w:t>
      </w:r>
      <w:r w:rsidR="00932420">
        <w:t xml:space="preserve"> </w:t>
      </w:r>
      <w:r>
        <w:t>1,169,000</w:t>
      </w:r>
      <w:r w:rsidR="00932420">
        <w:t xml:space="preserve"> </w:t>
      </w:r>
      <w:r>
        <w:t>attendances.</w:t>
      </w:r>
      <w:r w:rsidR="00932420">
        <w:t xml:space="preserve"> </w:t>
      </w:r>
      <w:r>
        <w:t>The</w:t>
      </w:r>
      <w:r w:rsidR="00932420">
        <w:t xml:space="preserve"> </w:t>
      </w:r>
      <w:r>
        <w:t>trend</w:t>
      </w:r>
      <w:r w:rsidR="00932420">
        <w:t xml:space="preserve"> </w:t>
      </w:r>
      <w:r>
        <w:t>data</w:t>
      </w:r>
      <w:r w:rsidR="00932420">
        <w:t xml:space="preserve"> </w:t>
      </w:r>
      <w:r>
        <w:t>over</w:t>
      </w:r>
      <w:r w:rsidR="00932420">
        <w:t xml:space="preserve"> </w:t>
      </w:r>
      <w:r>
        <w:t>this</w:t>
      </w:r>
      <w:r w:rsidR="00932420">
        <w:t xml:space="preserve"> </w:t>
      </w:r>
      <w:r>
        <w:t>period</w:t>
      </w:r>
      <w:r w:rsidR="00932420">
        <w:t xml:space="preserve"> </w:t>
      </w:r>
      <w:r>
        <w:t>shows</w:t>
      </w:r>
      <w:r w:rsidR="00932420">
        <w:t xml:space="preserve"> </w:t>
      </w:r>
      <w:r>
        <w:t>the</w:t>
      </w:r>
      <w:r w:rsidR="00932420">
        <w:t xml:space="preserve"> </w:t>
      </w:r>
      <w:r>
        <w:t>negative</w:t>
      </w:r>
      <w:r w:rsidR="00932420">
        <w:t xml:space="preserve"> </w:t>
      </w:r>
      <w:r>
        <w:t>impact</w:t>
      </w:r>
      <w:r w:rsidR="00932420">
        <w:t xml:space="preserve"> </w:t>
      </w:r>
      <w:r>
        <w:t>of</w:t>
      </w:r>
      <w:r w:rsidR="00932420">
        <w:t xml:space="preserve"> </w:t>
      </w:r>
      <w:r>
        <w:t>closures</w:t>
      </w:r>
      <w:r w:rsidR="00932420">
        <w:t xml:space="preserve"> </w:t>
      </w:r>
      <w:r>
        <w:t>on</w:t>
      </w:r>
      <w:r w:rsidR="00932420">
        <w:t xml:space="preserve"> </w:t>
      </w:r>
      <w:r>
        <w:t>funded</w:t>
      </w:r>
      <w:r w:rsidR="00932420">
        <w:t xml:space="preserve"> </w:t>
      </w:r>
      <w:r>
        <w:t>major</w:t>
      </w:r>
      <w:r w:rsidR="00932420">
        <w:t xml:space="preserve"> </w:t>
      </w:r>
      <w:r>
        <w:t>performing</w:t>
      </w:r>
      <w:r w:rsidR="00932420">
        <w:t xml:space="preserve"> </w:t>
      </w:r>
      <w:r>
        <w:t>arts</w:t>
      </w:r>
      <w:r w:rsidR="00932420">
        <w:t xml:space="preserve"> </w:t>
      </w:r>
      <w:r>
        <w:t>organisations</w:t>
      </w:r>
      <w:r w:rsidR="00932420">
        <w:t xml:space="preserve"> </w:t>
      </w:r>
      <w:r>
        <w:t>during</w:t>
      </w:r>
      <w:r w:rsidR="00932420">
        <w:t xml:space="preserve"> </w:t>
      </w:r>
      <w:r>
        <w:t>the</w:t>
      </w:r>
      <w:r w:rsidR="00932420">
        <w:t xml:space="preserve"> </w:t>
      </w:r>
      <w:r>
        <w:t>pandemic.</w:t>
      </w:r>
      <w:r w:rsidR="00932420">
        <w:t xml:space="preserve"> </w:t>
      </w:r>
      <w:r>
        <w:t>While</w:t>
      </w:r>
      <w:r w:rsidR="00932420">
        <w:t xml:space="preserve"> </w:t>
      </w:r>
      <w:r>
        <w:t>some</w:t>
      </w:r>
      <w:r w:rsidR="00932420">
        <w:t xml:space="preserve"> </w:t>
      </w:r>
      <w:r>
        <w:t>challenges</w:t>
      </w:r>
      <w:r w:rsidR="00932420">
        <w:t xml:space="preserve"> </w:t>
      </w:r>
      <w:r>
        <w:t>remain</w:t>
      </w:r>
      <w:r w:rsidR="00932420">
        <w:t xml:space="preserve"> </w:t>
      </w:r>
      <w:r>
        <w:t>for</w:t>
      </w:r>
      <w:r w:rsidR="00932420">
        <w:t xml:space="preserve"> </w:t>
      </w:r>
      <w:r>
        <w:t>these</w:t>
      </w:r>
      <w:r w:rsidR="00932420">
        <w:t xml:space="preserve"> </w:t>
      </w:r>
      <w:r>
        <w:t>companies,</w:t>
      </w:r>
      <w:r w:rsidR="00932420">
        <w:t xml:space="preserve"> </w:t>
      </w:r>
      <w:r>
        <w:t>the</w:t>
      </w:r>
      <w:r w:rsidR="00932420">
        <w:t xml:space="preserve"> </w:t>
      </w:r>
      <w:r>
        <w:t>significant</w:t>
      </w:r>
      <w:r w:rsidR="00932420">
        <w:t xml:space="preserve"> </w:t>
      </w:r>
      <w:r>
        <w:t>increase</w:t>
      </w:r>
      <w:r w:rsidR="00932420">
        <w:t xml:space="preserve"> </w:t>
      </w:r>
      <w:r>
        <w:t>in</w:t>
      </w:r>
      <w:r w:rsidR="00932420">
        <w:t xml:space="preserve"> </w:t>
      </w:r>
      <w:r>
        <w:t>attendances</w:t>
      </w:r>
      <w:r w:rsidR="00932420">
        <w:t xml:space="preserve"> </w:t>
      </w:r>
      <w:r>
        <w:t>in</w:t>
      </w:r>
      <w:r w:rsidR="00932420">
        <w:t xml:space="preserve"> </w:t>
      </w:r>
      <w:r>
        <w:t>2022–23</w:t>
      </w:r>
      <w:r w:rsidR="00932420">
        <w:t xml:space="preserve"> </w:t>
      </w:r>
      <w:r>
        <w:t>demonstrates</w:t>
      </w:r>
      <w:r w:rsidR="00932420">
        <w:t xml:space="preserve"> </w:t>
      </w:r>
      <w:r>
        <w:t>a</w:t>
      </w:r>
      <w:r w:rsidR="00932420">
        <w:t xml:space="preserve"> </w:t>
      </w:r>
      <w:r>
        <w:t>strong</w:t>
      </w:r>
      <w:r w:rsidR="00932420">
        <w:t xml:space="preserve"> </w:t>
      </w:r>
      <w:r>
        <w:t>recovery.</w:t>
      </w:r>
      <w:r w:rsidR="00932420">
        <w:t xml:space="preserve"> </w:t>
      </w:r>
      <w:r>
        <w:t>Victorian</w:t>
      </w:r>
      <w:r w:rsidR="00932420">
        <w:t xml:space="preserve"> </w:t>
      </w:r>
      <w:r>
        <w:t>Government-funded</w:t>
      </w:r>
      <w:r w:rsidR="00932420">
        <w:t xml:space="preserve"> </w:t>
      </w:r>
      <w:r>
        <w:t>major</w:t>
      </w:r>
      <w:r w:rsidR="00932420">
        <w:t xml:space="preserve"> </w:t>
      </w:r>
      <w:r>
        <w:t>performing</w:t>
      </w:r>
      <w:r w:rsidR="00932420">
        <w:t xml:space="preserve"> </w:t>
      </w:r>
      <w:r>
        <w:t>arts</w:t>
      </w:r>
      <w:r w:rsidR="00932420">
        <w:t xml:space="preserve"> </w:t>
      </w:r>
      <w:r>
        <w:t>organisations</w:t>
      </w:r>
      <w:r w:rsidR="00932420">
        <w:t xml:space="preserve"> </w:t>
      </w:r>
      <w:r>
        <w:t>in</w:t>
      </w:r>
      <w:r w:rsidR="00932420">
        <w:t xml:space="preserve"> </w:t>
      </w:r>
      <w:r>
        <w:t>2022–23</w:t>
      </w:r>
      <w:r w:rsidR="00932420">
        <w:t xml:space="preserve"> </w:t>
      </w:r>
      <w:proofErr w:type="gramStart"/>
      <w:r>
        <w:t>were</w:t>
      </w:r>
      <w:proofErr w:type="gramEnd"/>
      <w:r>
        <w:t>:</w:t>
      </w:r>
    </w:p>
    <w:p w14:paraId="3BCF23D2" w14:textId="42E96FAF" w:rsidR="00CA3C5B" w:rsidRDefault="00260033" w:rsidP="00C11AB3">
      <w:pPr>
        <w:pStyle w:val="Bullet"/>
      </w:pPr>
      <w:proofErr w:type="spellStart"/>
      <w:r>
        <w:t>Ilbijerri</w:t>
      </w:r>
      <w:proofErr w:type="spellEnd"/>
      <w:r w:rsidR="00932420">
        <w:t xml:space="preserve"> </w:t>
      </w:r>
      <w:r>
        <w:t>Theatre</w:t>
      </w:r>
      <w:r w:rsidR="00932420">
        <w:t xml:space="preserve"> </w:t>
      </w:r>
      <w:r>
        <w:t>Company</w:t>
      </w:r>
    </w:p>
    <w:p w14:paraId="149E1545" w14:textId="7C9BE3AE" w:rsidR="00CA3C5B" w:rsidRDefault="00260033" w:rsidP="00C11AB3">
      <w:pPr>
        <w:pStyle w:val="Bullet"/>
      </w:pPr>
      <w:proofErr w:type="gramStart"/>
      <w:r>
        <w:t>Back</w:t>
      </w:r>
      <w:r w:rsidR="00932420">
        <w:t xml:space="preserve"> </w:t>
      </w:r>
      <w:r>
        <w:t>to</w:t>
      </w:r>
      <w:r w:rsidR="00932420">
        <w:t xml:space="preserve"> </w:t>
      </w:r>
      <w:r>
        <w:t>Back</w:t>
      </w:r>
      <w:proofErr w:type="gramEnd"/>
      <w:r w:rsidR="00932420">
        <w:t xml:space="preserve"> </w:t>
      </w:r>
      <w:r>
        <w:t>Theatre</w:t>
      </w:r>
    </w:p>
    <w:p w14:paraId="0FA2B3B6" w14:textId="6153D856" w:rsidR="00CA3C5B" w:rsidRDefault="00260033" w:rsidP="00C11AB3">
      <w:pPr>
        <w:pStyle w:val="Bullet"/>
      </w:pPr>
      <w:r>
        <w:t>Melbourne</w:t>
      </w:r>
      <w:r w:rsidR="00932420">
        <w:t xml:space="preserve"> </w:t>
      </w:r>
      <w:r>
        <w:t>Theatre</w:t>
      </w:r>
      <w:r w:rsidR="00932420">
        <w:t xml:space="preserve"> </w:t>
      </w:r>
      <w:r>
        <w:t>Company</w:t>
      </w:r>
    </w:p>
    <w:p w14:paraId="6FD51712" w14:textId="4C2C517D" w:rsidR="00CA3C5B" w:rsidRDefault="00260033" w:rsidP="00C11AB3">
      <w:pPr>
        <w:pStyle w:val="Bullet"/>
      </w:pPr>
      <w:r>
        <w:t>The</w:t>
      </w:r>
      <w:r w:rsidR="00932420">
        <w:t xml:space="preserve"> </w:t>
      </w:r>
      <w:r>
        <w:t>Australian</w:t>
      </w:r>
      <w:r w:rsidR="00932420">
        <w:t xml:space="preserve"> </w:t>
      </w:r>
      <w:r>
        <w:t>Ballet</w:t>
      </w:r>
    </w:p>
    <w:p w14:paraId="5CE2F217" w14:textId="1D59EB00" w:rsidR="00CA3C5B" w:rsidRDefault="00260033" w:rsidP="00C11AB3">
      <w:pPr>
        <w:pStyle w:val="Bullet"/>
      </w:pPr>
      <w:r>
        <w:t>Opera</w:t>
      </w:r>
      <w:r w:rsidR="00932420">
        <w:t xml:space="preserve"> </w:t>
      </w:r>
      <w:r>
        <w:t>Australia</w:t>
      </w:r>
    </w:p>
    <w:p w14:paraId="096E5392" w14:textId="15103C5D" w:rsidR="00CA3C5B" w:rsidRDefault="00260033" w:rsidP="00C11AB3">
      <w:pPr>
        <w:pStyle w:val="Bullet"/>
      </w:pPr>
      <w:r>
        <w:t>Orchestra</w:t>
      </w:r>
      <w:r w:rsidR="00932420">
        <w:t xml:space="preserve"> </w:t>
      </w:r>
      <w:r>
        <w:t>Victoria</w:t>
      </w:r>
    </w:p>
    <w:p w14:paraId="6888BB23" w14:textId="6621136E" w:rsidR="00CA3C5B" w:rsidRDefault="00260033" w:rsidP="00C11AB3">
      <w:pPr>
        <w:pStyle w:val="Bullet"/>
      </w:pPr>
      <w:r>
        <w:t>Melbourne</w:t>
      </w:r>
      <w:r w:rsidR="00932420">
        <w:t xml:space="preserve"> </w:t>
      </w:r>
      <w:r>
        <w:t>Symphony</w:t>
      </w:r>
      <w:r w:rsidR="00932420">
        <w:t xml:space="preserve"> </w:t>
      </w:r>
      <w:r>
        <w:t>Orchestra</w:t>
      </w:r>
    </w:p>
    <w:p w14:paraId="60802945" w14:textId="17CF31E1" w:rsidR="00CA3C5B" w:rsidRDefault="00260033" w:rsidP="00C11AB3">
      <w:pPr>
        <w:pStyle w:val="Bullet"/>
      </w:pPr>
      <w:r>
        <w:t>Malthouse</w:t>
      </w:r>
      <w:r w:rsidR="00932420">
        <w:t xml:space="preserve"> </w:t>
      </w:r>
      <w:r>
        <w:t>Theatre</w:t>
      </w:r>
    </w:p>
    <w:p w14:paraId="2FBC2A10" w14:textId="193AEA4C" w:rsidR="00CA3C5B" w:rsidRDefault="00260033" w:rsidP="00C11AB3">
      <w:pPr>
        <w:pStyle w:val="Bulletlast"/>
      </w:pPr>
      <w:r>
        <w:t>Victorian</w:t>
      </w:r>
      <w:r w:rsidR="00932420">
        <w:t xml:space="preserve"> </w:t>
      </w:r>
      <w:r>
        <w:t>Opera.</w:t>
      </w:r>
    </w:p>
    <w:p w14:paraId="60A6742A" w14:textId="34FDBF40" w:rsidR="00CA3C5B" w:rsidRDefault="00260033" w:rsidP="00C11AB3">
      <w:pPr>
        <w:pStyle w:val="Heading2"/>
      </w:pPr>
      <w:bookmarkStart w:id="39" w:name="_Toc152067229"/>
      <w:r>
        <w:lastRenderedPageBreak/>
        <w:t>Indicator:</w:t>
      </w:r>
      <w:r w:rsidR="00932420">
        <w:t xml:space="preserve"> </w:t>
      </w:r>
      <w:r>
        <w:t>Employment</w:t>
      </w:r>
      <w:r w:rsidR="00932420">
        <w:t xml:space="preserve"> </w:t>
      </w:r>
      <w:r>
        <w:t>in</w:t>
      </w:r>
      <w:r w:rsidR="00932420">
        <w:t xml:space="preserve"> </w:t>
      </w:r>
      <w:r>
        <w:t>the</w:t>
      </w:r>
      <w:r w:rsidR="00932420">
        <w:t xml:space="preserve"> </w:t>
      </w:r>
      <w:r>
        <w:t>Creative</w:t>
      </w:r>
      <w:r w:rsidR="00932420">
        <w:t xml:space="preserve"> </w:t>
      </w:r>
      <w:r>
        <w:t>Industries</w:t>
      </w:r>
      <w:r w:rsidR="00932420">
        <w:t xml:space="preserve"> </w:t>
      </w:r>
      <w:r>
        <w:t>sector</w:t>
      </w:r>
      <w:bookmarkEnd w:id="39"/>
    </w:p>
    <w:p w14:paraId="6CC34C9E" w14:textId="7A43E86B" w:rsidR="00CA3C5B" w:rsidRDefault="00260033" w:rsidP="00C11AB3">
      <w:pPr>
        <w:pStyle w:val="TableHeading"/>
      </w:pPr>
      <w:r>
        <w:t>Table</w:t>
      </w:r>
      <w:r w:rsidR="00932420">
        <w:t xml:space="preserve"> </w:t>
      </w:r>
      <w:r>
        <w:t>18:</w:t>
      </w:r>
      <w:r w:rsidR="00932420">
        <w:t xml:space="preserve"> </w:t>
      </w:r>
      <w:r>
        <w:t>Employment</w:t>
      </w:r>
      <w:r w:rsidR="00932420">
        <w:t xml:space="preserve"> </w:t>
      </w:r>
      <w:r>
        <w:t>in</w:t>
      </w:r>
      <w:r w:rsidR="00932420">
        <w:t xml:space="preserve"> </w:t>
      </w:r>
      <w:r>
        <w:t>the</w:t>
      </w:r>
      <w:r w:rsidR="00932420">
        <w:t xml:space="preserve"> </w:t>
      </w:r>
      <w:r>
        <w:t>Creative</w:t>
      </w:r>
      <w:r w:rsidR="00932420">
        <w:t xml:space="preserve"> </w:t>
      </w:r>
      <w:r>
        <w:t>Industries</w:t>
      </w:r>
      <w:r w:rsidR="00932420">
        <w:t xml:space="preserve"> </w:t>
      </w:r>
      <w:r>
        <w:t>sector</w:t>
      </w:r>
    </w:p>
    <w:tbl>
      <w:tblPr>
        <w:tblStyle w:val="TableGrid"/>
        <w:tblW w:w="9634" w:type="dxa"/>
        <w:tblLayout w:type="fixed"/>
        <w:tblLook w:val="0020" w:firstRow="1" w:lastRow="0" w:firstColumn="0" w:lastColumn="0" w:noHBand="0" w:noVBand="0"/>
      </w:tblPr>
      <w:tblGrid>
        <w:gridCol w:w="5102"/>
        <w:gridCol w:w="1133"/>
        <w:gridCol w:w="1133"/>
        <w:gridCol w:w="1133"/>
        <w:gridCol w:w="1133"/>
      </w:tblGrid>
      <w:tr w:rsidR="005A297E" w14:paraId="7BB69A50" w14:textId="77777777" w:rsidTr="005A297E">
        <w:trPr>
          <w:trHeight w:val="333"/>
        </w:trPr>
        <w:tc>
          <w:tcPr>
            <w:tcW w:w="5102" w:type="dxa"/>
          </w:tcPr>
          <w:p w14:paraId="1B5F2FAE" w14:textId="71E60C75" w:rsidR="005A297E" w:rsidRDefault="005A297E" w:rsidP="005A297E">
            <w:pPr>
              <w:pStyle w:val="TableColumnHeading"/>
            </w:pPr>
            <w:bookmarkStart w:id="40" w:name="ColumnTitle_19"/>
            <w:bookmarkEnd w:id="40"/>
            <w:r>
              <w:t>Measure (unit of measure)</w:t>
            </w:r>
          </w:p>
        </w:tc>
        <w:tc>
          <w:tcPr>
            <w:tcW w:w="1133" w:type="dxa"/>
          </w:tcPr>
          <w:p w14:paraId="2DB4D771" w14:textId="77777777" w:rsidR="005A297E" w:rsidRDefault="005A297E" w:rsidP="005A297E">
            <w:pPr>
              <w:pStyle w:val="TableColumnHeading"/>
              <w:jc w:val="right"/>
            </w:pPr>
            <w:r>
              <w:t>2019–20</w:t>
            </w:r>
          </w:p>
        </w:tc>
        <w:tc>
          <w:tcPr>
            <w:tcW w:w="1133" w:type="dxa"/>
          </w:tcPr>
          <w:p w14:paraId="0DB9CA7E" w14:textId="77777777" w:rsidR="005A297E" w:rsidRDefault="005A297E" w:rsidP="005A297E">
            <w:pPr>
              <w:pStyle w:val="TableColumnHeading"/>
              <w:jc w:val="right"/>
            </w:pPr>
            <w:r>
              <w:t>2020–21</w:t>
            </w:r>
          </w:p>
        </w:tc>
        <w:tc>
          <w:tcPr>
            <w:tcW w:w="1133" w:type="dxa"/>
          </w:tcPr>
          <w:p w14:paraId="2B99FF58" w14:textId="54582DFE" w:rsidR="005A297E" w:rsidRDefault="005A297E" w:rsidP="005A297E">
            <w:pPr>
              <w:pStyle w:val="TableColumnHeading"/>
              <w:jc w:val="right"/>
            </w:pPr>
            <w:r>
              <w:t>2021–22</w:t>
            </w:r>
          </w:p>
        </w:tc>
        <w:tc>
          <w:tcPr>
            <w:tcW w:w="1133" w:type="dxa"/>
          </w:tcPr>
          <w:p w14:paraId="4DE595F4" w14:textId="77777777" w:rsidR="005A297E" w:rsidRDefault="005A297E" w:rsidP="005A297E">
            <w:pPr>
              <w:pStyle w:val="TableColumnHeading"/>
              <w:jc w:val="right"/>
            </w:pPr>
            <w:r>
              <w:rPr>
                <w:lang w:val="en-US"/>
              </w:rPr>
              <w:t>2022–23</w:t>
            </w:r>
          </w:p>
        </w:tc>
      </w:tr>
      <w:tr w:rsidR="005A297E" w14:paraId="1B7B09A0" w14:textId="77777777" w:rsidTr="005A297E">
        <w:trPr>
          <w:trHeight w:val="60"/>
        </w:trPr>
        <w:tc>
          <w:tcPr>
            <w:tcW w:w="5102" w:type="dxa"/>
          </w:tcPr>
          <w:p w14:paraId="274AE5C0" w14:textId="1D28A55A" w:rsidR="005A297E" w:rsidRDefault="005A297E" w:rsidP="005A297E">
            <w:pPr>
              <w:pStyle w:val="TableCopy"/>
            </w:pPr>
            <w:r>
              <w:t>Number of primary jobs in the creative industries (number) (2021 Census based)</w:t>
            </w:r>
          </w:p>
        </w:tc>
        <w:tc>
          <w:tcPr>
            <w:tcW w:w="1133" w:type="dxa"/>
          </w:tcPr>
          <w:p w14:paraId="7F5CC5CC" w14:textId="77777777" w:rsidR="005A297E" w:rsidRDefault="005A297E" w:rsidP="005A297E">
            <w:pPr>
              <w:pStyle w:val="TableCopy"/>
              <w:jc w:val="right"/>
            </w:pPr>
            <w:r>
              <w:t>289,000</w:t>
            </w:r>
          </w:p>
        </w:tc>
        <w:tc>
          <w:tcPr>
            <w:tcW w:w="1133" w:type="dxa"/>
          </w:tcPr>
          <w:p w14:paraId="251D1527" w14:textId="77777777" w:rsidR="005A297E" w:rsidRDefault="005A297E" w:rsidP="005A297E">
            <w:pPr>
              <w:pStyle w:val="TableCopy"/>
              <w:jc w:val="right"/>
            </w:pPr>
            <w:r>
              <w:t>298,000</w:t>
            </w:r>
          </w:p>
        </w:tc>
        <w:tc>
          <w:tcPr>
            <w:tcW w:w="1133" w:type="dxa"/>
          </w:tcPr>
          <w:p w14:paraId="67C13E53" w14:textId="0BD53C4C" w:rsidR="005A297E" w:rsidRDefault="005A297E" w:rsidP="005A297E">
            <w:pPr>
              <w:pStyle w:val="TableCopy"/>
              <w:jc w:val="right"/>
            </w:pPr>
            <w:r>
              <w:t>303,000</w:t>
            </w:r>
          </w:p>
        </w:tc>
        <w:tc>
          <w:tcPr>
            <w:tcW w:w="1133" w:type="dxa"/>
          </w:tcPr>
          <w:p w14:paraId="7B80E917" w14:textId="77777777" w:rsidR="005A297E" w:rsidRDefault="005A297E" w:rsidP="005A297E">
            <w:pPr>
              <w:pStyle w:val="TableCopy"/>
              <w:jc w:val="right"/>
            </w:pPr>
            <w:r>
              <w:t>311,000</w:t>
            </w:r>
          </w:p>
        </w:tc>
      </w:tr>
      <w:tr w:rsidR="005A297E" w14:paraId="6A9A2B63" w14:textId="77777777" w:rsidTr="005A297E">
        <w:trPr>
          <w:trHeight w:val="60"/>
        </w:trPr>
        <w:tc>
          <w:tcPr>
            <w:tcW w:w="5102" w:type="dxa"/>
          </w:tcPr>
          <w:p w14:paraId="5A2CF2C0" w14:textId="78122C2E" w:rsidR="005A297E" w:rsidRDefault="005A297E" w:rsidP="005A297E">
            <w:pPr>
              <w:pStyle w:val="TableCopy"/>
            </w:pPr>
            <w:r>
              <w:rPr>
                <w:lang w:val="en-US"/>
              </w:rPr>
              <w:t xml:space="preserve">Prior measure (2016 Census </w:t>
            </w:r>
            <w:proofErr w:type="gramStart"/>
            <w:r>
              <w:rPr>
                <w:lang w:val="en-US"/>
              </w:rPr>
              <w:t>based)*</w:t>
            </w:r>
            <w:proofErr w:type="gramEnd"/>
          </w:p>
        </w:tc>
        <w:tc>
          <w:tcPr>
            <w:tcW w:w="1133" w:type="dxa"/>
          </w:tcPr>
          <w:p w14:paraId="09698F5D" w14:textId="77777777" w:rsidR="005A297E" w:rsidRDefault="005A297E" w:rsidP="005A297E">
            <w:pPr>
              <w:pStyle w:val="TableCopy"/>
              <w:jc w:val="right"/>
            </w:pPr>
            <w:r>
              <w:t>292,000</w:t>
            </w:r>
          </w:p>
        </w:tc>
        <w:tc>
          <w:tcPr>
            <w:tcW w:w="1133" w:type="dxa"/>
          </w:tcPr>
          <w:p w14:paraId="31AD8D92" w14:textId="77777777" w:rsidR="005A297E" w:rsidRDefault="005A297E" w:rsidP="005A297E">
            <w:pPr>
              <w:pStyle w:val="TableCopy"/>
              <w:jc w:val="right"/>
            </w:pPr>
            <w:r>
              <w:t>304,000</w:t>
            </w:r>
          </w:p>
        </w:tc>
        <w:tc>
          <w:tcPr>
            <w:tcW w:w="1133" w:type="dxa"/>
          </w:tcPr>
          <w:p w14:paraId="6A1CE903" w14:textId="06BF1FEC" w:rsidR="005A297E" w:rsidRDefault="005A297E" w:rsidP="005A297E">
            <w:pPr>
              <w:pStyle w:val="TableCopy"/>
              <w:jc w:val="right"/>
            </w:pPr>
            <w:r>
              <w:t>309,000</w:t>
            </w:r>
          </w:p>
        </w:tc>
        <w:tc>
          <w:tcPr>
            <w:tcW w:w="1133" w:type="dxa"/>
          </w:tcPr>
          <w:p w14:paraId="72240329" w14:textId="2269A31D" w:rsidR="005A297E" w:rsidRDefault="005A297E" w:rsidP="005A297E">
            <w:pPr>
              <w:pStyle w:val="TableCopy"/>
              <w:jc w:val="right"/>
            </w:pPr>
            <w:r>
              <w:t>–</w:t>
            </w:r>
          </w:p>
        </w:tc>
      </w:tr>
    </w:tbl>
    <w:p w14:paraId="3F4512DF" w14:textId="54F00944" w:rsidR="00CA3C5B" w:rsidRDefault="00C11AB3" w:rsidP="005A297E">
      <w:pPr>
        <w:pStyle w:val="FootnoteText"/>
        <w:spacing w:before="120" w:after="280"/>
      </w:pPr>
      <w:r>
        <w:t>* Following the 2021 Census, employment figures were rebased in November 2022, impacting employment figures back to 2016.</w:t>
      </w:r>
    </w:p>
    <w:p w14:paraId="57F1D2D2" w14:textId="28CA495E" w:rsidR="00CA3C5B" w:rsidRDefault="00260033" w:rsidP="005A297E">
      <w:pPr>
        <w:pStyle w:val="FigureHeading"/>
      </w:pPr>
      <w:r>
        <w:t>Figure</w:t>
      </w:r>
      <w:r w:rsidR="00932420">
        <w:t xml:space="preserve"> </w:t>
      </w:r>
      <w:r>
        <w:t>17:</w:t>
      </w:r>
      <w:r w:rsidR="00932420">
        <w:t xml:space="preserve"> </w:t>
      </w:r>
      <w:r>
        <w:t>Number</w:t>
      </w:r>
      <w:r w:rsidR="00932420">
        <w:t xml:space="preserve"> </w:t>
      </w:r>
      <w:r>
        <w:t>of</w:t>
      </w:r>
      <w:r w:rsidR="00932420">
        <w:t xml:space="preserve"> </w:t>
      </w:r>
      <w:r>
        <w:t>primary</w:t>
      </w:r>
      <w:r w:rsidR="00932420">
        <w:t xml:space="preserve"> </w:t>
      </w:r>
      <w:r>
        <w:t>jobs</w:t>
      </w:r>
      <w:r w:rsidR="00932420">
        <w:t xml:space="preserve"> </w:t>
      </w:r>
      <w:r>
        <w:t>in</w:t>
      </w:r>
      <w:r w:rsidR="00932420">
        <w:t xml:space="preserve"> </w:t>
      </w:r>
      <w:r>
        <w:t>the</w:t>
      </w:r>
      <w:r w:rsidR="00932420">
        <w:t xml:space="preserve"> </w:t>
      </w:r>
      <w:r>
        <w:t>creative</w:t>
      </w:r>
      <w:r w:rsidR="00932420">
        <w:t xml:space="preserve"> </w:t>
      </w:r>
      <w:r>
        <w:t>industries</w:t>
      </w:r>
    </w:p>
    <w:p w14:paraId="7331AC03" w14:textId="18992CE4" w:rsidR="00CA3C5B" w:rsidRDefault="005A297E" w:rsidP="005A297E">
      <w:r>
        <w:rPr>
          <w:noProof/>
        </w:rPr>
        <w:drawing>
          <wp:inline distT="0" distB="0" distL="0" distR="0" wp14:anchorId="475BF2A8" wp14:editId="38B7E76F">
            <wp:extent cx="3235124" cy="2164425"/>
            <wp:effectExtent l="0" t="0" r="3810" b="7620"/>
            <wp:docPr id="17" name="Picture 17" descr="Figure 17: Number of primary jobs in the creative industrie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17: Number of primary jobs in the creative industries graph. Data in table above."/>
                    <pic:cNvPicPr/>
                  </pic:nvPicPr>
                  <pic:blipFill>
                    <a:blip r:embed="rId26"/>
                    <a:stretch>
                      <a:fillRect/>
                    </a:stretch>
                  </pic:blipFill>
                  <pic:spPr>
                    <a:xfrm>
                      <a:off x="0" y="0"/>
                      <a:ext cx="3251595" cy="2175445"/>
                    </a:xfrm>
                    <a:prstGeom prst="rect">
                      <a:avLst/>
                    </a:prstGeom>
                  </pic:spPr>
                </pic:pic>
              </a:graphicData>
            </a:graphic>
          </wp:inline>
        </w:drawing>
      </w:r>
    </w:p>
    <w:p w14:paraId="53A0D43E" w14:textId="12079196" w:rsidR="00CA3C5B" w:rsidRDefault="00260033" w:rsidP="005A297E">
      <w:pPr>
        <w:pStyle w:val="Normalbeforebullets"/>
        <w:rPr>
          <w:lang w:val="en-US"/>
        </w:rPr>
      </w:pPr>
      <w:r>
        <w:rPr>
          <w:lang w:val="en-US"/>
        </w:rPr>
        <w:t>During</w:t>
      </w:r>
      <w:r w:rsidR="00932420">
        <w:rPr>
          <w:rFonts w:cs="Times New Roman"/>
          <w:rtl/>
          <w:lang w:bidi="ar-YE"/>
        </w:rPr>
        <w:t xml:space="preserve"> </w:t>
      </w:r>
      <w:r>
        <w:rPr>
          <w:lang w:val="en-US"/>
        </w:rPr>
        <w:t>2022–23</w:t>
      </w:r>
      <w:r w:rsidR="00932420">
        <w:rPr>
          <w:rFonts w:cs="Times New Roman"/>
          <w:rtl/>
          <w:lang w:bidi="ar-YE"/>
        </w:rPr>
        <w:t xml:space="preserve"> </w:t>
      </w:r>
      <w:r>
        <w:rPr>
          <w:lang w:val="en-US"/>
        </w:rPr>
        <w:t>an</w:t>
      </w:r>
      <w:r w:rsidR="00932420">
        <w:rPr>
          <w:lang w:val="en-US"/>
        </w:rPr>
        <w:t xml:space="preserve"> </w:t>
      </w:r>
      <w:r>
        <w:rPr>
          <w:lang w:val="en-US"/>
        </w:rPr>
        <w:t>average</w:t>
      </w:r>
      <w:r w:rsidR="00932420">
        <w:rPr>
          <w:lang w:val="en-US"/>
        </w:rPr>
        <w:t xml:space="preserve"> </w:t>
      </w:r>
      <w:r>
        <w:rPr>
          <w:lang w:val="en-US"/>
        </w:rPr>
        <w:t>of</w:t>
      </w:r>
      <w:r w:rsidR="00932420">
        <w:rPr>
          <w:rFonts w:cs="Times New Roman"/>
          <w:rtl/>
          <w:lang w:bidi="ar-YE"/>
        </w:rPr>
        <w:t xml:space="preserve"> </w:t>
      </w:r>
      <w:r>
        <w:rPr>
          <w:lang w:val="en-US"/>
        </w:rPr>
        <w:t>311,000</w:t>
      </w:r>
      <w:r w:rsidR="00932420">
        <w:rPr>
          <w:rFonts w:cs="Times New Roman"/>
          <w:rtl/>
          <w:lang w:bidi="ar-YE"/>
        </w:rPr>
        <w:t xml:space="preserve"> </w:t>
      </w:r>
      <w:r>
        <w:rPr>
          <w:lang w:val="en-US"/>
        </w:rPr>
        <w:t>people</w:t>
      </w:r>
      <w:r w:rsidR="00932420">
        <w:rPr>
          <w:lang w:val="en-US"/>
        </w:rPr>
        <w:t xml:space="preserve"> </w:t>
      </w:r>
      <w:r>
        <w:rPr>
          <w:lang w:val="en-US"/>
        </w:rPr>
        <w:t>were</w:t>
      </w:r>
      <w:r w:rsidR="00932420">
        <w:rPr>
          <w:lang w:val="en-US"/>
        </w:rPr>
        <w:t xml:space="preserve"> </w:t>
      </w:r>
      <w:r>
        <w:rPr>
          <w:lang w:val="en-US"/>
        </w:rPr>
        <w:t>employed</w:t>
      </w:r>
      <w:r w:rsidR="00932420">
        <w:rPr>
          <w:lang w:val="en-US"/>
        </w:rPr>
        <w:t xml:space="preserve"> </w:t>
      </w:r>
      <w:r>
        <w:rPr>
          <w:lang w:val="en-US"/>
        </w:rPr>
        <w:t>in</w:t>
      </w:r>
      <w:r w:rsidR="00932420">
        <w:rPr>
          <w:lang w:val="en-US"/>
        </w:rPr>
        <w:t xml:space="preserve"> </w:t>
      </w:r>
      <w:r>
        <w:rPr>
          <w:lang w:val="en-US"/>
        </w:rPr>
        <w:t>creative</w:t>
      </w:r>
      <w:r w:rsidR="00932420">
        <w:rPr>
          <w:lang w:val="en-US"/>
        </w:rPr>
        <w:t xml:space="preserve"> </w:t>
      </w:r>
      <w:r>
        <w:rPr>
          <w:lang w:val="en-US"/>
        </w:rPr>
        <w:t>or</w:t>
      </w:r>
      <w:r w:rsidR="00932420">
        <w:rPr>
          <w:lang w:val="en-US"/>
        </w:rPr>
        <w:t xml:space="preserve"> </w:t>
      </w:r>
      <w:r>
        <w:rPr>
          <w:lang w:val="en-US"/>
        </w:rPr>
        <w:t>cultural</w:t>
      </w:r>
      <w:r w:rsidR="00932420">
        <w:rPr>
          <w:lang w:val="en-US"/>
        </w:rPr>
        <w:t xml:space="preserve"> </w:t>
      </w:r>
      <w:r>
        <w:rPr>
          <w:lang w:val="en-US"/>
        </w:rPr>
        <w:t>activities</w:t>
      </w:r>
      <w:r w:rsidR="00932420">
        <w:rPr>
          <w:lang w:val="en-US"/>
        </w:rPr>
        <w:t xml:space="preserve"> </w:t>
      </w:r>
      <w:r>
        <w:rPr>
          <w:lang w:val="en-US"/>
        </w:rPr>
        <w:t>as</w:t>
      </w:r>
      <w:r w:rsidR="00932420">
        <w:rPr>
          <w:lang w:val="en-US"/>
        </w:rPr>
        <w:t xml:space="preserve"> </w:t>
      </w:r>
      <w:r>
        <w:rPr>
          <w:lang w:val="en-US"/>
        </w:rPr>
        <w:t>their</w:t>
      </w:r>
      <w:r w:rsidR="00932420">
        <w:rPr>
          <w:lang w:val="en-US"/>
        </w:rPr>
        <w:t xml:space="preserve"> </w:t>
      </w:r>
      <w:r>
        <w:rPr>
          <w:lang w:val="en-US"/>
        </w:rPr>
        <w:t>primary</w:t>
      </w:r>
      <w:r w:rsidR="00932420">
        <w:rPr>
          <w:lang w:val="en-US"/>
        </w:rPr>
        <w:t xml:space="preserve"> </w:t>
      </w:r>
      <w:r>
        <w:rPr>
          <w:lang w:val="en-US"/>
        </w:rPr>
        <w:t>jobs,</w:t>
      </w:r>
      <w:r w:rsidR="00932420">
        <w:rPr>
          <w:lang w:val="en-US"/>
        </w:rPr>
        <w:t xml:space="preserve"> </w:t>
      </w:r>
      <w:r>
        <w:rPr>
          <w:lang w:val="en-US"/>
        </w:rPr>
        <w:t>representing</w:t>
      </w:r>
      <w:r w:rsidR="00932420">
        <w:rPr>
          <w:rFonts w:cs="Times New Roman"/>
          <w:rtl/>
          <w:lang w:bidi="ar-YE"/>
        </w:rPr>
        <w:t xml:space="preserve"> </w:t>
      </w:r>
      <w:r>
        <w:rPr>
          <w:lang w:val="en-US"/>
        </w:rPr>
        <w:t>8.7%</w:t>
      </w:r>
      <w:r w:rsidR="00932420">
        <w:rPr>
          <w:rFonts w:cs="Times New Roman"/>
          <w:rtl/>
          <w:lang w:bidi="ar-YE"/>
        </w:rPr>
        <w:t xml:space="preserve"> </w:t>
      </w:r>
      <w:r>
        <w:rPr>
          <w:lang w:val="en-US"/>
        </w:rPr>
        <w:t>of</w:t>
      </w:r>
      <w:r w:rsidR="00932420">
        <w:rPr>
          <w:lang w:val="en-US"/>
        </w:rPr>
        <w:t xml:space="preserve"> </w:t>
      </w:r>
      <w:r>
        <w:rPr>
          <w:lang w:val="en-US"/>
        </w:rPr>
        <w:t>total</w:t>
      </w:r>
      <w:r w:rsidR="00932420">
        <w:rPr>
          <w:lang w:val="en-US"/>
        </w:rPr>
        <w:t xml:space="preserve"> </w:t>
      </w:r>
      <w:r>
        <w:rPr>
          <w:lang w:val="en-US"/>
        </w:rPr>
        <w:t>employment</w:t>
      </w:r>
      <w:r w:rsidR="00932420">
        <w:rPr>
          <w:lang w:val="en-US"/>
        </w:rPr>
        <w:t xml:space="preserve"> </w:t>
      </w:r>
      <w:r>
        <w:rPr>
          <w:lang w:val="en-US"/>
        </w:rPr>
        <w:t>across</w:t>
      </w:r>
      <w:r w:rsidR="00932420">
        <w:rPr>
          <w:lang w:val="en-US"/>
        </w:rPr>
        <w:t xml:space="preserve"> </w:t>
      </w:r>
      <w:r>
        <w:rPr>
          <w:lang w:val="en-US"/>
        </w:rPr>
        <w:t>Victoria.</w:t>
      </w:r>
      <w:r w:rsidR="00932420">
        <w:rPr>
          <w:lang w:val="en-US"/>
        </w:rPr>
        <w:t xml:space="preserve"> </w:t>
      </w:r>
      <w:r>
        <w:rPr>
          <w:lang w:val="en-US"/>
        </w:rPr>
        <w:t>Creative</w:t>
      </w:r>
      <w:r w:rsidR="00932420">
        <w:rPr>
          <w:lang w:val="en-US"/>
        </w:rPr>
        <w:t xml:space="preserve"> </w:t>
      </w:r>
      <w:r>
        <w:rPr>
          <w:lang w:val="en-US"/>
        </w:rPr>
        <w:t>industry</w:t>
      </w:r>
      <w:r w:rsidR="00932420">
        <w:rPr>
          <w:lang w:val="en-US"/>
        </w:rPr>
        <w:t xml:space="preserve"> </w:t>
      </w:r>
      <w:r>
        <w:rPr>
          <w:lang w:val="en-US"/>
        </w:rPr>
        <w:t>employment</w:t>
      </w:r>
      <w:r w:rsidR="00932420">
        <w:rPr>
          <w:lang w:val="en-US"/>
        </w:rPr>
        <w:t xml:space="preserve"> </w:t>
      </w:r>
      <w:r>
        <w:rPr>
          <w:lang w:val="en-US"/>
        </w:rPr>
        <w:t>grew</w:t>
      </w:r>
      <w:r w:rsidR="00932420">
        <w:rPr>
          <w:lang w:val="en-US"/>
        </w:rPr>
        <w:t xml:space="preserve"> </w:t>
      </w:r>
      <w:r>
        <w:rPr>
          <w:lang w:val="en-US"/>
        </w:rPr>
        <w:t>by</w:t>
      </w:r>
      <w:r w:rsidR="00932420">
        <w:rPr>
          <w:lang w:val="en-US"/>
        </w:rPr>
        <w:t xml:space="preserve"> </w:t>
      </w:r>
      <w:r>
        <w:rPr>
          <w:lang w:val="en-US"/>
        </w:rPr>
        <w:t>2.6%</w:t>
      </w:r>
      <w:r w:rsidR="00932420">
        <w:rPr>
          <w:lang w:val="en-US"/>
        </w:rPr>
        <w:t xml:space="preserve"> </w:t>
      </w:r>
      <w:r>
        <w:rPr>
          <w:lang w:val="en-US"/>
        </w:rPr>
        <w:t>from</w:t>
      </w:r>
      <w:r w:rsidR="00932420">
        <w:rPr>
          <w:lang w:val="en-US"/>
        </w:rPr>
        <w:t xml:space="preserve"> </w:t>
      </w:r>
      <w:r>
        <w:rPr>
          <w:lang w:val="en-US"/>
        </w:rPr>
        <w:t>2021–22</w:t>
      </w:r>
      <w:r w:rsidR="00932420">
        <w:rPr>
          <w:lang w:val="en-US"/>
        </w:rPr>
        <w:t xml:space="preserve"> </w:t>
      </w:r>
      <w:r>
        <w:rPr>
          <w:lang w:val="en-US"/>
        </w:rPr>
        <w:t>to</w:t>
      </w:r>
      <w:r w:rsidR="00932420">
        <w:rPr>
          <w:lang w:val="en-US"/>
        </w:rPr>
        <w:t xml:space="preserve"> </w:t>
      </w:r>
      <w:r>
        <w:rPr>
          <w:lang w:val="en-US"/>
        </w:rPr>
        <w:t>2022–23.</w:t>
      </w:r>
      <w:r w:rsidR="00932420">
        <w:rPr>
          <w:lang w:val="en-US"/>
        </w:rPr>
        <w:t xml:space="preserve"> </w:t>
      </w:r>
    </w:p>
    <w:p w14:paraId="5BFB30C1" w14:textId="2866F1EB" w:rsidR="00CA3C5B" w:rsidRDefault="00260033" w:rsidP="005A297E">
      <w:pPr>
        <w:pStyle w:val="Bullet"/>
      </w:pPr>
      <w:r>
        <w:t>Employment</w:t>
      </w:r>
      <w:r w:rsidR="00932420">
        <w:t xml:space="preserve"> </w:t>
      </w:r>
      <w:r>
        <w:t>across</w:t>
      </w:r>
      <w:r w:rsidR="00932420">
        <w:t xml:space="preserve"> </w:t>
      </w:r>
      <w:r>
        <w:t>Victoria’s</w:t>
      </w:r>
      <w:r w:rsidR="00932420">
        <w:t xml:space="preserve"> </w:t>
      </w:r>
      <w:r>
        <w:t>screen</w:t>
      </w:r>
      <w:r w:rsidR="00932420">
        <w:t xml:space="preserve"> </w:t>
      </w:r>
      <w:r>
        <w:t>industry</w:t>
      </w:r>
      <w:r w:rsidR="00932420">
        <w:t xml:space="preserve"> </w:t>
      </w:r>
      <w:r>
        <w:t>continued</w:t>
      </w:r>
      <w:r w:rsidR="00932420">
        <w:t xml:space="preserve"> </w:t>
      </w:r>
      <w:r>
        <w:t>to</w:t>
      </w:r>
      <w:r w:rsidR="00932420">
        <w:t xml:space="preserve"> </w:t>
      </w:r>
      <w:r>
        <w:t>grow.</w:t>
      </w:r>
      <w:r w:rsidR="00932420">
        <w:t xml:space="preserve"> </w:t>
      </w:r>
      <w:r>
        <w:t>In</w:t>
      </w:r>
      <w:r w:rsidR="00932420">
        <w:t xml:space="preserve"> </w:t>
      </w:r>
      <w:r>
        <w:t>2022–23,</w:t>
      </w:r>
      <w:r w:rsidR="00932420">
        <w:t xml:space="preserve"> </w:t>
      </w:r>
      <w:r>
        <w:t>3,231</w:t>
      </w:r>
      <w:r w:rsidR="00932420">
        <w:t xml:space="preserve"> </w:t>
      </w:r>
      <w:r>
        <w:t>full-time</w:t>
      </w:r>
      <w:r w:rsidR="00932420">
        <w:t xml:space="preserve"> </w:t>
      </w:r>
      <w:r>
        <w:t>equivalent</w:t>
      </w:r>
      <w:r w:rsidR="00932420">
        <w:t xml:space="preserve"> </w:t>
      </w:r>
      <w:r>
        <w:t>jobs</w:t>
      </w:r>
      <w:r w:rsidR="00932420">
        <w:t xml:space="preserve"> </w:t>
      </w:r>
      <w:r>
        <w:t>were</w:t>
      </w:r>
      <w:r w:rsidR="00932420">
        <w:t xml:space="preserve"> </w:t>
      </w:r>
      <w:r>
        <w:t>created</w:t>
      </w:r>
      <w:r w:rsidR="00932420">
        <w:t xml:space="preserve"> </w:t>
      </w:r>
      <w:r>
        <w:t>through</w:t>
      </w:r>
      <w:r w:rsidR="00932420">
        <w:t xml:space="preserve"> </w:t>
      </w:r>
      <w:r>
        <w:t>Victorian</w:t>
      </w:r>
      <w:r w:rsidR="00932420">
        <w:t xml:space="preserve"> </w:t>
      </w:r>
      <w:r>
        <w:t>Government-supported</w:t>
      </w:r>
      <w:r w:rsidR="00932420">
        <w:t xml:space="preserve"> </w:t>
      </w:r>
      <w:r>
        <w:t>productions</w:t>
      </w:r>
      <w:r w:rsidR="00932420">
        <w:t xml:space="preserve"> </w:t>
      </w:r>
      <w:r>
        <w:t>–</w:t>
      </w:r>
      <w:r w:rsidR="00932420">
        <w:t xml:space="preserve"> </w:t>
      </w:r>
      <w:r>
        <w:t>a</w:t>
      </w:r>
      <w:r w:rsidR="00932420">
        <w:t xml:space="preserve"> </w:t>
      </w:r>
      <w:r>
        <w:t>79%</w:t>
      </w:r>
      <w:r w:rsidR="00932420">
        <w:t xml:space="preserve"> </w:t>
      </w:r>
      <w:r>
        <w:t>increase</w:t>
      </w:r>
      <w:r w:rsidR="00932420">
        <w:t xml:space="preserve"> </w:t>
      </w:r>
      <w:r>
        <w:t>from</w:t>
      </w:r>
      <w:r w:rsidR="00932420">
        <w:t xml:space="preserve"> </w:t>
      </w:r>
      <w:r>
        <w:t>2019.</w:t>
      </w:r>
      <w:r w:rsidR="00932420">
        <w:t xml:space="preserve"> </w:t>
      </w:r>
      <w:r>
        <w:t>Since</w:t>
      </w:r>
      <w:r w:rsidR="00932420">
        <w:t xml:space="preserve"> </w:t>
      </w:r>
      <w:r>
        <w:t>the</w:t>
      </w:r>
      <w:r w:rsidR="00932420">
        <w:t xml:space="preserve"> </w:t>
      </w:r>
      <w:r>
        <w:t>introduction</w:t>
      </w:r>
      <w:r w:rsidR="00932420">
        <w:t xml:space="preserve"> </w:t>
      </w:r>
      <w:r>
        <w:rPr>
          <w:spacing w:val="-1"/>
        </w:rPr>
        <w:t>of</w:t>
      </w:r>
      <w:r w:rsidR="00932420">
        <w:rPr>
          <w:spacing w:val="-1"/>
        </w:rPr>
        <w:t xml:space="preserve"> </w:t>
      </w:r>
      <w:r>
        <w:rPr>
          <w:spacing w:val="-1"/>
        </w:rPr>
        <w:t>the</w:t>
      </w:r>
      <w:r w:rsidR="00932420">
        <w:rPr>
          <w:spacing w:val="-1"/>
        </w:rPr>
        <w:t xml:space="preserve"> </w:t>
      </w:r>
      <w:proofErr w:type="spellStart"/>
      <w:r>
        <w:rPr>
          <w:spacing w:val="-1"/>
        </w:rPr>
        <w:t>VicScreen</w:t>
      </w:r>
      <w:proofErr w:type="spellEnd"/>
      <w:r w:rsidR="00932420">
        <w:rPr>
          <w:spacing w:val="-1"/>
        </w:rPr>
        <w:t xml:space="preserve"> </w:t>
      </w:r>
      <w:r>
        <w:rPr>
          <w:spacing w:val="-1"/>
        </w:rPr>
        <w:t>strategy</w:t>
      </w:r>
      <w:r w:rsidR="00932420">
        <w:rPr>
          <w:spacing w:val="-1"/>
        </w:rPr>
        <w:t xml:space="preserve"> </w:t>
      </w:r>
      <w:r>
        <w:rPr>
          <w:spacing w:val="-1"/>
        </w:rPr>
        <w:t>in</w:t>
      </w:r>
      <w:r w:rsidR="00932420">
        <w:rPr>
          <w:spacing w:val="-1"/>
        </w:rPr>
        <w:t xml:space="preserve"> </w:t>
      </w:r>
      <w:r>
        <w:rPr>
          <w:spacing w:val="-1"/>
        </w:rPr>
        <w:t>2021,</w:t>
      </w:r>
      <w:r w:rsidR="00932420">
        <w:rPr>
          <w:spacing w:val="-1"/>
        </w:rPr>
        <w:t xml:space="preserve"> </w:t>
      </w:r>
      <w:r>
        <w:rPr>
          <w:spacing w:val="-1"/>
        </w:rPr>
        <w:t>an</w:t>
      </w:r>
      <w:r w:rsidR="00932420">
        <w:rPr>
          <w:spacing w:val="-1"/>
        </w:rPr>
        <w:t xml:space="preserve"> </w:t>
      </w:r>
      <w:r>
        <w:rPr>
          <w:spacing w:val="-1"/>
        </w:rPr>
        <w:t>average</w:t>
      </w:r>
      <w:r w:rsidR="00932420">
        <w:rPr>
          <w:spacing w:val="-1"/>
        </w:rPr>
        <w:t xml:space="preserve"> </w:t>
      </w:r>
      <w:r>
        <w:rPr>
          <w:spacing w:val="-1"/>
        </w:rPr>
        <w:t>of</w:t>
      </w:r>
      <w:r w:rsidR="00932420">
        <w:rPr>
          <w:spacing w:val="-1"/>
        </w:rPr>
        <w:t xml:space="preserve"> </w:t>
      </w:r>
      <w:r>
        <w:t>11,215</w:t>
      </w:r>
      <w:r w:rsidR="00932420">
        <w:t xml:space="preserve"> </w:t>
      </w:r>
      <w:r>
        <w:t>project</w:t>
      </w:r>
      <w:r w:rsidR="00932420">
        <w:t xml:space="preserve"> </w:t>
      </w:r>
      <w:r>
        <w:t>jobs</w:t>
      </w:r>
      <w:r w:rsidR="00932420">
        <w:t xml:space="preserve"> </w:t>
      </w:r>
      <w:r>
        <w:t>have</w:t>
      </w:r>
      <w:r w:rsidR="00932420">
        <w:t xml:space="preserve"> </w:t>
      </w:r>
      <w:r>
        <w:t>been</w:t>
      </w:r>
      <w:r w:rsidR="00932420">
        <w:t xml:space="preserve"> </w:t>
      </w:r>
      <w:r>
        <w:t>generated</w:t>
      </w:r>
      <w:r w:rsidR="00932420">
        <w:t xml:space="preserve"> </w:t>
      </w:r>
      <w:r>
        <w:t>per</w:t>
      </w:r>
      <w:r w:rsidR="00932420">
        <w:t xml:space="preserve"> </w:t>
      </w:r>
      <w:r>
        <w:t>year,</w:t>
      </w:r>
      <w:r w:rsidR="00932420">
        <w:t xml:space="preserve"> </w:t>
      </w:r>
      <w:r>
        <w:t>a</w:t>
      </w:r>
      <w:r w:rsidR="00932420">
        <w:t xml:space="preserve"> </w:t>
      </w:r>
      <w:r>
        <w:t>34%</w:t>
      </w:r>
      <w:r w:rsidR="00932420">
        <w:t xml:space="preserve"> </w:t>
      </w:r>
      <w:r>
        <w:t>increase</w:t>
      </w:r>
      <w:r w:rsidR="00932420">
        <w:t xml:space="preserve"> </w:t>
      </w:r>
      <w:r>
        <w:t>from</w:t>
      </w:r>
      <w:r w:rsidR="00932420">
        <w:t xml:space="preserve"> </w:t>
      </w:r>
      <w:r>
        <w:t>2019</w:t>
      </w:r>
      <w:r w:rsidR="00932420">
        <w:t xml:space="preserve"> </w:t>
      </w:r>
    </w:p>
    <w:p w14:paraId="4E8A3AF9" w14:textId="563A0615" w:rsidR="00CA3C5B" w:rsidRDefault="00260033" w:rsidP="005A297E">
      <w:pPr>
        <w:pStyle w:val="Bullet"/>
      </w:pPr>
      <w:r>
        <w:t>The</w:t>
      </w:r>
      <w:r w:rsidR="00932420">
        <w:t xml:space="preserve"> </w:t>
      </w:r>
      <w:r>
        <w:t>2023</w:t>
      </w:r>
      <w:r w:rsidR="00932420">
        <w:t xml:space="preserve"> </w:t>
      </w:r>
      <w:r>
        <w:t>RISING</w:t>
      </w:r>
      <w:r w:rsidR="00932420">
        <w:t xml:space="preserve"> </w:t>
      </w:r>
      <w:r>
        <w:t>festival</w:t>
      </w:r>
      <w:r w:rsidR="00932420">
        <w:t xml:space="preserve"> </w:t>
      </w:r>
      <w:r>
        <w:t>–</w:t>
      </w:r>
      <w:r w:rsidR="00932420">
        <w:t xml:space="preserve"> </w:t>
      </w:r>
      <w:r>
        <w:t>backed</w:t>
      </w:r>
      <w:r w:rsidR="00932420">
        <w:t xml:space="preserve"> </w:t>
      </w:r>
      <w:r>
        <w:t>by</w:t>
      </w:r>
      <w:r w:rsidR="00932420">
        <w:t xml:space="preserve"> </w:t>
      </w:r>
      <w:r>
        <w:t>the</w:t>
      </w:r>
      <w:r w:rsidR="00932420">
        <w:t xml:space="preserve"> </w:t>
      </w:r>
      <w:r>
        <w:t>Victorian</w:t>
      </w:r>
      <w:r w:rsidR="00932420">
        <w:t xml:space="preserve"> </w:t>
      </w:r>
      <w:r>
        <w:t>Government</w:t>
      </w:r>
      <w:r w:rsidR="00932420">
        <w:t xml:space="preserve"> </w:t>
      </w:r>
      <w:r>
        <w:t>through</w:t>
      </w:r>
      <w:r w:rsidR="00932420">
        <w:t xml:space="preserve"> </w:t>
      </w:r>
      <w:r>
        <w:t>Creative</w:t>
      </w:r>
      <w:r w:rsidR="00932420">
        <w:t xml:space="preserve"> </w:t>
      </w:r>
      <w:r>
        <w:t>Victoria</w:t>
      </w:r>
      <w:r w:rsidR="00932420">
        <w:t xml:space="preserve"> </w:t>
      </w:r>
      <w:r>
        <w:t>and</w:t>
      </w:r>
      <w:r w:rsidR="00932420">
        <w:t xml:space="preserve"> </w:t>
      </w:r>
      <w:r>
        <w:t>Visit</w:t>
      </w:r>
      <w:r w:rsidR="00932420">
        <w:t xml:space="preserve"> </w:t>
      </w:r>
      <w:r>
        <w:t>Victoria</w:t>
      </w:r>
      <w:r w:rsidR="00932420">
        <w:t xml:space="preserve"> </w:t>
      </w:r>
      <w:r>
        <w:t>–</w:t>
      </w:r>
      <w:r w:rsidR="00932420">
        <w:t xml:space="preserve"> </w:t>
      </w:r>
      <w:r>
        <w:t>provided</w:t>
      </w:r>
      <w:r w:rsidR="00932420">
        <w:t xml:space="preserve"> </w:t>
      </w:r>
      <w:r>
        <w:t>jobs</w:t>
      </w:r>
      <w:r w:rsidR="00932420">
        <w:t xml:space="preserve"> </w:t>
      </w:r>
      <w:r>
        <w:t>for</w:t>
      </w:r>
      <w:r w:rsidR="00932420">
        <w:t xml:space="preserve"> </w:t>
      </w:r>
      <w:r>
        <w:t>more</w:t>
      </w:r>
      <w:r w:rsidR="00932420">
        <w:t xml:space="preserve"> </w:t>
      </w:r>
      <w:r>
        <w:t>than</w:t>
      </w:r>
      <w:r w:rsidR="00932420">
        <w:t xml:space="preserve"> </w:t>
      </w:r>
      <w:r>
        <w:t>1,800</w:t>
      </w:r>
      <w:r w:rsidR="00932420">
        <w:t xml:space="preserve"> </w:t>
      </w:r>
      <w:r>
        <w:t>people,</w:t>
      </w:r>
      <w:r w:rsidR="00932420">
        <w:t xml:space="preserve"> </w:t>
      </w:r>
      <w:r>
        <w:t>including</w:t>
      </w:r>
      <w:r w:rsidR="00932420">
        <w:t xml:space="preserve"> </w:t>
      </w:r>
      <w:r>
        <w:t>800</w:t>
      </w:r>
      <w:r w:rsidR="00932420">
        <w:t xml:space="preserve"> </w:t>
      </w:r>
      <w:r>
        <w:t>artists</w:t>
      </w:r>
      <w:r w:rsidR="00932420">
        <w:t xml:space="preserve"> </w:t>
      </w:r>
      <w:r>
        <w:t>and</w:t>
      </w:r>
      <w:r w:rsidR="00932420">
        <w:t xml:space="preserve"> </w:t>
      </w:r>
      <w:r>
        <w:t>1,000</w:t>
      </w:r>
      <w:r w:rsidR="00932420">
        <w:t xml:space="preserve"> </w:t>
      </w:r>
      <w:r>
        <w:t>event</w:t>
      </w:r>
      <w:r w:rsidR="00932420">
        <w:t xml:space="preserve"> </w:t>
      </w:r>
      <w:r>
        <w:t>workers</w:t>
      </w:r>
      <w:r w:rsidR="00932420">
        <w:t xml:space="preserve"> </w:t>
      </w:r>
    </w:p>
    <w:p w14:paraId="28053AA6" w14:textId="0D98DF35" w:rsidR="00CA3C5B" w:rsidRDefault="00260033" w:rsidP="005A297E">
      <w:pPr>
        <w:pStyle w:val="Bullet"/>
        <w:rPr>
          <w:spacing w:val="-1"/>
        </w:rPr>
      </w:pPr>
      <w:r>
        <w:t>Set</w:t>
      </w:r>
      <w:r w:rsidR="00932420">
        <w:t xml:space="preserve"> </w:t>
      </w:r>
      <w:r>
        <w:t>to</w:t>
      </w:r>
      <w:r w:rsidR="00932420">
        <w:t xml:space="preserve"> </w:t>
      </w:r>
      <w:r>
        <w:t>open</w:t>
      </w:r>
      <w:r w:rsidR="00932420">
        <w:t xml:space="preserve"> </w:t>
      </w:r>
      <w:r>
        <w:t>in</w:t>
      </w:r>
      <w:r w:rsidR="00932420">
        <w:t xml:space="preserve"> </w:t>
      </w:r>
      <w:r>
        <w:t>August</w:t>
      </w:r>
      <w:r w:rsidR="00932420">
        <w:t xml:space="preserve"> </w:t>
      </w:r>
      <w:r>
        <w:t>2023,</w:t>
      </w:r>
      <w:r w:rsidR="00932420">
        <w:t xml:space="preserve"> </w:t>
      </w:r>
      <w:r>
        <w:t>the</w:t>
      </w:r>
      <w:r w:rsidR="00932420">
        <w:t xml:space="preserve"> </w:t>
      </w:r>
      <w:r>
        <w:t>Geelong</w:t>
      </w:r>
      <w:r w:rsidR="00932420">
        <w:t xml:space="preserve"> </w:t>
      </w:r>
      <w:r>
        <w:t>Arts</w:t>
      </w:r>
      <w:r w:rsidR="00932420">
        <w:t xml:space="preserve"> </w:t>
      </w:r>
      <w:r>
        <w:t>Centre’s</w:t>
      </w:r>
      <w:r w:rsidR="00932420">
        <w:t xml:space="preserve"> </w:t>
      </w:r>
      <w:r>
        <w:t>$140</w:t>
      </w:r>
      <w:r w:rsidR="00932420">
        <w:t xml:space="preserve"> </w:t>
      </w:r>
      <w:r>
        <w:t>million</w:t>
      </w:r>
      <w:r w:rsidR="00932420">
        <w:t xml:space="preserve"> </w:t>
      </w:r>
      <w:r>
        <w:t>Little</w:t>
      </w:r>
      <w:r w:rsidR="00932420">
        <w:t xml:space="preserve"> </w:t>
      </w:r>
      <w:r>
        <w:t>Malop</w:t>
      </w:r>
      <w:r w:rsidR="00932420">
        <w:t xml:space="preserve"> </w:t>
      </w:r>
      <w:r>
        <w:t>Street</w:t>
      </w:r>
      <w:r w:rsidR="00932420">
        <w:t xml:space="preserve"> </w:t>
      </w:r>
      <w:r>
        <w:rPr>
          <w:spacing w:val="-1"/>
        </w:rPr>
        <w:t>redevelopment</w:t>
      </w:r>
      <w:r w:rsidR="00932420">
        <w:rPr>
          <w:spacing w:val="-1"/>
        </w:rPr>
        <w:t xml:space="preserve"> </w:t>
      </w:r>
      <w:r>
        <w:rPr>
          <w:spacing w:val="-1"/>
        </w:rPr>
        <w:t>created</w:t>
      </w:r>
      <w:r w:rsidR="00932420">
        <w:rPr>
          <w:spacing w:val="-1"/>
        </w:rPr>
        <w:t xml:space="preserve"> </w:t>
      </w:r>
      <w:r>
        <w:rPr>
          <w:spacing w:val="-1"/>
        </w:rPr>
        <w:t>more</w:t>
      </w:r>
      <w:r w:rsidR="00932420">
        <w:rPr>
          <w:spacing w:val="-1"/>
        </w:rPr>
        <w:t xml:space="preserve"> </w:t>
      </w:r>
      <w:r>
        <w:rPr>
          <w:spacing w:val="-1"/>
        </w:rPr>
        <w:t>than</w:t>
      </w:r>
      <w:r w:rsidR="00932420">
        <w:rPr>
          <w:spacing w:val="-1"/>
        </w:rPr>
        <w:t xml:space="preserve"> </w:t>
      </w:r>
      <w:r>
        <w:rPr>
          <w:spacing w:val="-1"/>
        </w:rPr>
        <w:t>600</w:t>
      </w:r>
      <w:r w:rsidR="00932420">
        <w:rPr>
          <w:spacing w:val="-1"/>
        </w:rPr>
        <w:t xml:space="preserve"> </w:t>
      </w:r>
      <w:r>
        <w:rPr>
          <w:spacing w:val="-1"/>
        </w:rPr>
        <w:t>jobs</w:t>
      </w:r>
      <w:r w:rsidR="00932420">
        <w:rPr>
          <w:spacing w:val="-1"/>
        </w:rPr>
        <w:t xml:space="preserve"> </w:t>
      </w:r>
      <w:r>
        <w:rPr>
          <w:spacing w:val="-1"/>
        </w:rPr>
        <w:t>during</w:t>
      </w:r>
      <w:r w:rsidR="00932420">
        <w:rPr>
          <w:spacing w:val="-1"/>
        </w:rPr>
        <w:t xml:space="preserve"> </w:t>
      </w:r>
      <w:r>
        <w:t>construction.</w:t>
      </w:r>
      <w:r w:rsidR="00932420">
        <w:t xml:space="preserve"> </w:t>
      </w:r>
      <w:r>
        <w:t>The</w:t>
      </w:r>
      <w:r w:rsidR="00932420">
        <w:t xml:space="preserve"> </w:t>
      </w:r>
      <w:r>
        <w:t>redevelopment</w:t>
      </w:r>
      <w:r w:rsidR="00932420">
        <w:t xml:space="preserve"> </w:t>
      </w:r>
      <w:r>
        <w:t>had</w:t>
      </w:r>
      <w:r w:rsidR="00932420">
        <w:t xml:space="preserve"> </w:t>
      </w:r>
      <w:r>
        <w:t>a</w:t>
      </w:r>
      <w:r w:rsidR="00932420">
        <w:t xml:space="preserve"> </w:t>
      </w:r>
      <w:r>
        <w:t>strong</w:t>
      </w:r>
      <w:r w:rsidR="00932420">
        <w:t xml:space="preserve"> </w:t>
      </w:r>
      <w:r>
        <w:t>focus</w:t>
      </w:r>
      <w:r w:rsidR="00932420">
        <w:t xml:space="preserve"> </w:t>
      </w:r>
      <w:r>
        <w:t>on</w:t>
      </w:r>
      <w:r w:rsidR="00932420">
        <w:t xml:space="preserve"> </w:t>
      </w:r>
      <w:r>
        <w:t>local</w:t>
      </w:r>
      <w:r w:rsidR="00932420">
        <w:t xml:space="preserve"> </w:t>
      </w:r>
      <w:r>
        <w:t>jobs,</w:t>
      </w:r>
      <w:r w:rsidR="00932420">
        <w:t xml:space="preserve"> </w:t>
      </w:r>
      <w:r>
        <w:t>with</w:t>
      </w:r>
      <w:r w:rsidR="00932420">
        <w:t xml:space="preserve"> </w:t>
      </w:r>
      <w:r>
        <w:t>the</w:t>
      </w:r>
      <w:r w:rsidR="00932420">
        <w:t xml:space="preserve"> </w:t>
      </w:r>
      <w:r>
        <w:t>builder</w:t>
      </w:r>
      <w:r w:rsidR="00932420">
        <w:t xml:space="preserve"> </w:t>
      </w:r>
      <w:r>
        <w:t>Lendlease</w:t>
      </w:r>
      <w:r w:rsidR="00932420">
        <w:t xml:space="preserve"> </w:t>
      </w:r>
      <w:r>
        <w:t>prioritising</w:t>
      </w:r>
      <w:r w:rsidR="00932420">
        <w:t xml:space="preserve"> </w:t>
      </w:r>
      <w:r>
        <w:t>apprenticeships,</w:t>
      </w:r>
      <w:r w:rsidR="00932420">
        <w:t xml:space="preserve"> </w:t>
      </w:r>
      <w:proofErr w:type="gramStart"/>
      <w:r>
        <w:t>contractors</w:t>
      </w:r>
      <w:proofErr w:type="gramEnd"/>
      <w:r w:rsidR="00932420">
        <w:t xml:space="preserve"> </w:t>
      </w:r>
      <w:r>
        <w:t>and</w:t>
      </w:r>
      <w:r w:rsidR="00932420">
        <w:t xml:space="preserve"> </w:t>
      </w:r>
      <w:r>
        <w:rPr>
          <w:spacing w:val="-1"/>
        </w:rPr>
        <w:t>businesses</w:t>
      </w:r>
      <w:r w:rsidR="00932420">
        <w:rPr>
          <w:spacing w:val="-1"/>
        </w:rPr>
        <w:t xml:space="preserve"> </w:t>
      </w:r>
      <w:r>
        <w:rPr>
          <w:spacing w:val="-1"/>
        </w:rPr>
        <w:t>through</w:t>
      </w:r>
      <w:r w:rsidR="00932420">
        <w:rPr>
          <w:spacing w:val="-1"/>
        </w:rPr>
        <w:t xml:space="preserve"> </w:t>
      </w:r>
      <w:r>
        <w:rPr>
          <w:spacing w:val="-1"/>
        </w:rPr>
        <w:t>the</w:t>
      </w:r>
      <w:r w:rsidR="00932420">
        <w:rPr>
          <w:spacing w:val="-1"/>
        </w:rPr>
        <w:t xml:space="preserve"> </w:t>
      </w:r>
      <w:r>
        <w:rPr>
          <w:spacing w:val="-1"/>
        </w:rPr>
        <w:t>Geelong</w:t>
      </w:r>
      <w:r w:rsidR="00932420">
        <w:rPr>
          <w:spacing w:val="-1"/>
        </w:rPr>
        <w:t xml:space="preserve"> </w:t>
      </w:r>
      <w:r>
        <w:rPr>
          <w:spacing w:val="-1"/>
        </w:rPr>
        <w:t>First</w:t>
      </w:r>
      <w:r w:rsidR="00932420">
        <w:rPr>
          <w:spacing w:val="-1"/>
        </w:rPr>
        <w:t xml:space="preserve"> </w:t>
      </w:r>
      <w:r>
        <w:rPr>
          <w:spacing w:val="-1"/>
        </w:rPr>
        <w:t>Commitment</w:t>
      </w:r>
      <w:r w:rsidR="00932420">
        <w:rPr>
          <w:spacing w:val="-1"/>
        </w:rPr>
        <w:t xml:space="preserve"> </w:t>
      </w:r>
      <w:r>
        <w:t>initiative.</w:t>
      </w:r>
      <w:r w:rsidR="00932420">
        <w:t xml:space="preserve"> </w:t>
      </w:r>
      <w:r>
        <w:t>Of</w:t>
      </w:r>
      <w:r w:rsidR="00932420">
        <w:t xml:space="preserve"> </w:t>
      </w:r>
      <w:r>
        <w:t>the</w:t>
      </w:r>
      <w:r w:rsidR="00932420">
        <w:t xml:space="preserve"> </w:t>
      </w:r>
      <w:r>
        <w:t>45</w:t>
      </w:r>
      <w:r w:rsidR="00932420">
        <w:t xml:space="preserve"> </w:t>
      </w:r>
      <w:r>
        <w:t>trade</w:t>
      </w:r>
      <w:r w:rsidR="00932420">
        <w:t xml:space="preserve"> </w:t>
      </w:r>
      <w:r>
        <w:t>packages</w:t>
      </w:r>
      <w:r w:rsidR="00932420">
        <w:t xml:space="preserve"> </w:t>
      </w:r>
      <w:r>
        <w:t>engaged</w:t>
      </w:r>
      <w:r w:rsidR="00932420">
        <w:t xml:space="preserve"> </w:t>
      </w:r>
      <w:r>
        <w:rPr>
          <w:spacing w:val="-1"/>
        </w:rPr>
        <w:t>to</w:t>
      </w:r>
      <w:r w:rsidR="00932420">
        <w:rPr>
          <w:spacing w:val="-1"/>
        </w:rPr>
        <w:t xml:space="preserve"> </w:t>
      </w:r>
      <w:r>
        <w:rPr>
          <w:spacing w:val="-1"/>
        </w:rPr>
        <w:t>work</w:t>
      </w:r>
      <w:r w:rsidR="00932420">
        <w:rPr>
          <w:spacing w:val="-1"/>
        </w:rPr>
        <w:t xml:space="preserve"> </w:t>
      </w:r>
      <w:r>
        <w:rPr>
          <w:spacing w:val="-1"/>
        </w:rPr>
        <w:t>on</w:t>
      </w:r>
      <w:r w:rsidR="00932420">
        <w:rPr>
          <w:spacing w:val="-1"/>
        </w:rPr>
        <w:t xml:space="preserve"> </w:t>
      </w:r>
      <w:r>
        <w:rPr>
          <w:spacing w:val="-1"/>
        </w:rPr>
        <w:t>the</w:t>
      </w:r>
      <w:r w:rsidR="00932420">
        <w:rPr>
          <w:spacing w:val="-1"/>
        </w:rPr>
        <w:t xml:space="preserve"> </w:t>
      </w:r>
      <w:r>
        <w:rPr>
          <w:spacing w:val="-1"/>
        </w:rPr>
        <w:t>project,</w:t>
      </w:r>
      <w:r w:rsidR="00932420">
        <w:rPr>
          <w:spacing w:val="-1"/>
        </w:rPr>
        <w:t xml:space="preserve"> </w:t>
      </w:r>
      <w:r>
        <w:rPr>
          <w:spacing w:val="-1"/>
        </w:rPr>
        <w:t>12</w:t>
      </w:r>
      <w:r w:rsidR="00932420">
        <w:rPr>
          <w:spacing w:val="-1"/>
        </w:rPr>
        <w:t xml:space="preserve"> </w:t>
      </w:r>
      <w:r>
        <w:rPr>
          <w:spacing w:val="-1"/>
        </w:rPr>
        <w:t>were</w:t>
      </w:r>
      <w:r w:rsidR="00932420">
        <w:rPr>
          <w:spacing w:val="-1"/>
        </w:rPr>
        <w:t xml:space="preserve"> </w:t>
      </w:r>
      <w:r>
        <w:rPr>
          <w:spacing w:val="-1"/>
        </w:rPr>
        <w:t>local</w:t>
      </w:r>
      <w:r w:rsidR="00932420">
        <w:rPr>
          <w:spacing w:val="-1"/>
        </w:rPr>
        <w:t xml:space="preserve"> </w:t>
      </w:r>
      <w:r>
        <w:rPr>
          <w:spacing w:val="-1"/>
        </w:rPr>
        <w:t>contractors</w:t>
      </w:r>
      <w:r w:rsidR="00932420">
        <w:rPr>
          <w:spacing w:val="-1"/>
        </w:rPr>
        <w:t xml:space="preserve"> </w:t>
      </w:r>
      <w:r>
        <w:rPr>
          <w:spacing w:val="-1"/>
        </w:rPr>
        <w:t>and</w:t>
      </w:r>
      <w:r w:rsidR="00932420">
        <w:rPr>
          <w:spacing w:val="-1"/>
        </w:rPr>
        <w:t xml:space="preserve"> </w:t>
      </w:r>
      <w:r>
        <w:rPr>
          <w:spacing w:val="-1"/>
        </w:rPr>
        <w:t>an</w:t>
      </w:r>
      <w:r w:rsidR="00932420">
        <w:rPr>
          <w:spacing w:val="-1"/>
        </w:rPr>
        <w:t xml:space="preserve"> </w:t>
      </w:r>
      <w:r>
        <w:rPr>
          <w:spacing w:val="-1"/>
        </w:rPr>
        <w:t>additional</w:t>
      </w:r>
      <w:r w:rsidR="00932420">
        <w:rPr>
          <w:spacing w:val="-1"/>
        </w:rPr>
        <w:t xml:space="preserve"> </w:t>
      </w:r>
      <w:r>
        <w:rPr>
          <w:spacing w:val="-1"/>
        </w:rPr>
        <w:t>16</w:t>
      </w:r>
      <w:r w:rsidR="00932420">
        <w:rPr>
          <w:spacing w:val="-1"/>
        </w:rPr>
        <w:t xml:space="preserve"> </w:t>
      </w:r>
      <w:r>
        <w:rPr>
          <w:spacing w:val="-1"/>
        </w:rPr>
        <w:t>were</w:t>
      </w:r>
      <w:r w:rsidR="00932420">
        <w:rPr>
          <w:spacing w:val="-1"/>
        </w:rPr>
        <w:t xml:space="preserve"> </w:t>
      </w:r>
      <w:r>
        <w:rPr>
          <w:spacing w:val="-1"/>
        </w:rPr>
        <w:t>non-local</w:t>
      </w:r>
      <w:r w:rsidR="00932420">
        <w:rPr>
          <w:spacing w:val="-1"/>
        </w:rPr>
        <w:t xml:space="preserve"> </w:t>
      </w:r>
      <w:r>
        <w:rPr>
          <w:spacing w:val="-1"/>
        </w:rPr>
        <w:t>contractors</w:t>
      </w:r>
      <w:r w:rsidR="00932420">
        <w:rPr>
          <w:spacing w:val="-1"/>
        </w:rPr>
        <w:t xml:space="preserve"> </w:t>
      </w:r>
      <w:r>
        <w:t>committed</w:t>
      </w:r>
      <w:r w:rsidR="00932420">
        <w:t xml:space="preserve"> </w:t>
      </w:r>
      <w:r>
        <w:t>to</w:t>
      </w:r>
      <w:r w:rsidR="00932420">
        <w:t xml:space="preserve"> </w:t>
      </w:r>
      <w:r>
        <w:t>employing</w:t>
      </w:r>
      <w:r w:rsidR="00932420">
        <w:t xml:space="preserve"> </w:t>
      </w:r>
      <w:r>
        <w:t>predominantly</w:t>
      </w:r>
      <w:r w:rsidR="00932420">
        <w:t xml:space="preserve"> </w:t>
      </w:r>
      <w:r>
        <w:t>local</w:t>
      </w:r>
      <w:r w:rsidR="00932420">
        <w:t xml:space="preserve"> </w:t>
      </w:r>
      <w:r>
        <w:t>Geelong</w:t>
      </w:r>
      <w:r w:rsidR="00932420">
        <w:t xml:space="preserve"> </w:t>
      </w:r>
      <w:r>
        <w:t>labour.</w:t>
      </w:r>
      <w:r w:rsidR="00932420">
        <w:t xml:space="preserve"> </w:t>
      </w:r>
      <w:r>
        <w:t>The</w:t>
      </w:r>
      <w:r w:rsidR="00932420">
        <w:t xml:space="preserve"> </w:t>
      </w:r>
      <w:r>
        <w:t>project</w:t>
      </w:r>
      <w:r w:rsidR="00932420">
        <w:t xml:space="preserve"> </w:t>
      </w:r>
      <w:r>
        <w:t>employed</w:t>
      </w:r>
      <w:r w:rsidR="00932420">
        <w:t xml:space="preserve"> </w:t>
      </w:r>
      <w:r>
        <w:rPr>
          <w:spacing w:val="-1"/>
        </w:rPr>
        <w:t>approximately</w:t>
      </w:r>
      <w:r w:rsidR="00932420">
        <w:rPr>
          <w:spacing w:val="-1"/>
        </w:rPr>
        <w:t xml:space="preserve"> </w:t>
      </w:r>
      <w:r>
        <w:rPr>
          <w:spacing w:val="-1"/>
        </w:rPr>
        <w:t>270</w:t>
      </w:r>
      <w:r w:rsidR="00932420">
        <w:rPr>
          <w:spacing w:val="-1"/>
        </w:rPr>
        <w:t xml:space="preserve"> </w:t>
      </w:r>
      <w:r>
        <w:rPr>
          <w:spacing w:val="-1"/>
        </w:rPr>
        <w:t>workers</w:t>
      </w:r>
      <w:r w:rsidR="00932420">
        <w:rPr>
          <w:spacing w:val="-1"/>
        </w:rPr>
        <w:t xml:space="preserve"> </w:t>
      </w:r>
      <w:r>
        <w:rPr>
          <w:spacing w:val="-1"/>
        </w:rPr>
        <w:t>from</w:t>
      </w:r>
      <w:r w:rsidR="00932420">
        <w:rPr>
          <w:spacing w:val="-1"/>
        </w:rPr>
        <w:t xml:space="preserve"> </w:t>
      </w:r>
      <w:r>
        <w:rPr>
          <w:spacing w:val="-1"/>
        </w:rPr>
        <w:t>the</w:t>
      </w:r>
      <w:r w:rsidR="00932420">
        <w:rPr>
          <w:spacing w:val="-1"/>
        </w:rPr>
        <w:t xml:space="preserve"> </w:t>
      </w:r>
      <w:r>
        <w:rPr>
          <w:spacing w:val="-1"/>
        </w:rPr>
        <w:t>G21</w:t>
      </w:r>
      <w:r w:rsidR="00932420">
        <w:rPr>
          <w:spacing w:val="-1"/>
        </w:rPr>
        <w:t xml:space="preserve"> </w:t>
      </w:r>
      <w:r>
        <w:rPr>
          <w:spacing w:val="-1"/>
        </w:rPr>
        <w:t>region</w:t>
      </w:r>
      <w:r w:rsidR="00932420">
        <w:rPr>
          <w:spacing w:val="-1"/>
        </w:rPr>
        <w:t xml:space="preserve"> </w:t>
      </w:r>
    </w:p>
    <w:p w14:paraId="6BA7C420" w14:textId="587715CC" w:rsidR="00CA3C5B" w:rsidRDefault="00260033" w:rsidP="005A297E">
      <w:pPr>
        <w:pStyle w:val="Bullet"/>
      </w:pPr>
      <w:r>
        <w:lastRenderedPageBreak/>
        <w:t>Construction</w:t>
      </w:r>
      <w:r w:rsidR="00932420">
        <w:t xml:space="preserve"> </w:t>
      </w:r>
      <w:r>
        <w:t>works</w:t>
      </w:r>
      <w:r w:rsidR="00932420">
        <w:t xml:space="preserve"> </w:t>
      </w:r>
      <w:r>
        <w:t>for</w:t>
      </w:r>
      <w:r w:rsidR="00932420">
        <w:t xml:space="preserve"> </w:t>
      </w:r>
      <w:r>
        <w:t>the</w:t>
      </w:r>
      <w:r w:rsidR="00932420">
        <w:t xml:space="preserve"> </w:t>
      </w:r>
      <w:r>
        <w:t>Melbourne</w:t>
      </w:r>
      <w:r w:rsidR="00932420">
        <w:t xml:space="preserve"> </w:t>
      </w:r>
      <w:r>
        <w:t>Art</w:t>
      </w:r>
      <w:r w:rsidR="00932420">
        <w:t xml:space="preserve"> </w:t>
      </w:r>
      <w:r>
        <w:t>Precinct</w:t>
      </w:r>
      <w:r w:rsidR="00932420">
        <w:t xml:space="preserve"> </w:t>
      </w:r>
      <w:r>
        <w:t>Transformation</w:t>
      </w:r>
      <w:r w:rsidR="00932420">
        <w:t xml:space="preserve"> </w:t>
      </w:r>
      <w:r>
        <w:t>project</w:t>
      </w:r>
      <w:r w:rsidR="00932420">
        <w:t xml:space="preserve"> </w:t>
      </w:r>
      <w:r>
        <w:t>are</w:t>
      </w:r>
      <w:r w:rsidR="00932420">
        <w:t xml:space="preserve"> </w:t>
      </w:r>
      <w:r>
        <w:t>underway.</w:t>
      </w:r>
      <w:r w:rsidR="00932420">
        <w:t xml:space="preserve"> </w:t>
      </w:r>
      <w:r>
        <w:t>Work</w:t>
      </w:r>
      <w:r w:rsidR="00932420">
        <w:t xml:space="preserve"> </w:t>
      </w:r>
      <w:r>
        <w:t>to</w:t>
      </w:r>
      <w:r w:rsidR="00932420">
        <w:t xml:space="preserve"> </w:t>
      </w:r>
      <w:r>
        <w:t>upgrade</w:t>
      </w:r>
      <w:r w:rsidR="00932420">
        <w:t xml:space="preserve"> </w:t>
      </w:r>
      <w:r>
        <w:t>Arts</w:t>
      </w:r>
      <w:r w:rsidR="00932420">
        <w:t xml:space="preserve"> </w:t>
      </w:r>
      <w:r>
        <w:t>Centre</w:t>
      </w:r>
      <w:r w:rsidR="00932420">
        <w:t xml:space="preserve"> </w:t>
      </w:r>
      <w:r>
        <w:t>Melbourne’s</w:t>
      </w:r>
      <w:r w:rsidR="00932420">
        <w:t xml:space="preserve"> </w:t>
      </w:r>
      <w:r>
        <w:t>Theatres</w:t>
      </w:r>
      <w:r w:rsidR="00932420">
        <w:t xml:space="preserve"> </w:t>
      </w:r>
      <w:r>
        <w:t>Building</w:t>
      </w:r>
      <w:r w:rsidR="00932420">
        <w:t xml:space="preserve"> </w:t>
      </w:r>
      <w:r>
        <w:t>and</w:t>
      </w:r>
      <w:r w:rsidR="00932420">
        <w:t xml:space="preserve"> </w:t>
      </w:r>
      <w:r>
        <w:t>build</w:t>
      </w:r>
      <w:r w:rsidR="00932420">
        <w:t xml:space="preserve"> </w:t>
      </w:r>
      <w:r>
        <w:t>the</w:t>
      </w:r>
      <w:r w:rsidR="00932420">
        <w:t xml:space="preserve"> </w:t>
      </w:r>
      <w:r>
        <w:t>foundations</w:t>
      </w:r>
      <w:r w:rsidR="00932420">
        <w:t xml:space="preserve"> </w:t>
      </w:r>
      <w:r>
        <w:t>for</w:t>
      </w:r>
      <w:r w:rsidR="00932420">
        <w:t xml:space="preserve"> </w:t>
      </w:r>
      <w:r>
        <w:t>the</w:t>
      </w:r>
      <w:r w:rsidR="00932420">
        <w:t xml:space="preserve"> </w:t>
      </w:r>
      <w:r>
        <w:t>new</w:t>
      </w:r>
      <w:r w:rsidR="00932420">
        <w:t xml:space="preserve"> </w:t>
      </w:r>
      <w:r>
        <w:t>18,000m</w:t>
      </w:r>
      <w:r w:rsidRPr="00D23DEC">
        <w:rPr>
          <w:vertAlign w:val="superscript"/>
        </w:rPr>
        <w:t>2</w:t>
      </w:r>
      <w:r w:rsidR="00932420">
        <w:t xml:space="preserve"> </w:t>
      </w:r>
      <w:r>
        <w:t>urban</w:t>
      </w:r>
      <w:r w:rsidR="00932420">
        <w:t xml:space="preserve"> </w:t>
      </w:r>
      <w:r>
        <w:t>garden</w:t>
      </w:r>
      <w:r w:rsidR="00932420">
        <w:t xml:space="preserve"> </w:t>
      </w:r>
      <w:r>
        <w:t>commenced</w:t>
      </w:r>
      <w:r w:rsidR="00932420">
        <w:t xml:space="preserve"> </w:t>
      </w:r>
      <w:r>
        <w:t>in</w:t>
      </w:r>
      <w:r w:rsidR="00932420">
        <w:t xml:space="preserve"> </w:t>
      </w:r>
      <w:r>
        <w:t>May</w:t>
      </w:r>
      <w:r w:rsidR="00932420">
        <w:t xml:space="preserve"> </w:t>
      </w:r>
      <w:r>
        <w:t>2023</w:t>
      </w:r>
      <w:r w:rsidR="00932420">
        <w:t xml:space="preserve"> </w:t>
      </w:r>
      <w:r>
        <w:t>with</w:t>
      </w:r>
      <w:r w:rsidR="00932420">
        <w:t xml:space="preserve"> </w:t>
      </w:r>
      <w:r>
        <w:t>80</w:t>
      </w:r>
      <w:r w:rsidR="00932420">
        <w:t xml:space="preserve"> </w:t>
      </w:r>
      <w:r>
        <w:t>workers</w:t>
      </w:r>
      <w:r w:rsidR="00932420">
        <w:t xml:space="preserve"> </w:t>
      </w:r>
      <w:r>
        <w:t>on</w:t>
      </w:r>
      <w:r w:rsidR="00932420">
        <w:t xml:space="preserve"> </w:t>
      </w:r>
      <w:r>
        <w:t>site.</w:t>
      </w:r>
      <w:r w:rsidR="00932420">
        <w:t xml:space="preserve"> </w:t>
      </w:r>
      <w:r>
        <w:t>This</w:t>
      </w:r>
      <w:r w:rsidR="00932420">
        <w:t xml:space="preserve"> </w:t>
      </w:r>
      <w:r>
        <w:t>number</w:t>
      </w:r>
      <w:r w:rsidR="00932420">
        <w:t xml:space="preserve"> </w:t>
      </w:r>
      <w:r>
        <w:t>is</w:t>
      </w:r>
      <w:r w:rsidR="00932420">
        <w:t xml:space="preserve"> </w:t>
      </w:r>
      <w:r>
        <w:t>expected</w:t>
      </w:r>
      <w:r w:rsidR="00932420">
        <w:t xml:space="preserve"> </w:t>
      </w:r>
      <w:r>
        <w:t>to</w:t>
      </w:r>
      <w:r w:rsidR="00932420">
        <w:t xml:space="preserve"> </w:t>
      </w:r>
      <w:r>
        <w:t>reach</w:t>
      </w:r>
      <w:r w:rsidR="00932420">
        <w:t xml:space="preserve"> </w:t>
      </w:r>
      <w:r>
        <w:t>300</w:t>
      </w:r>
      <w:r w:rsidR="00932420">
        <w:t xml:space="preserve"> </w:t>
      </w:r>
      <w:r>
        <w:t>as</w:t>
      </w:r>
      <w:r w:rsidR="00932420">
        <w:t xml:space="preserve"> </w:t>
      </w:r>
      <w:r>
        <w:t>this</w:t>
      </w:r>
      <w:r w:rsidR="00932420">
        <w:t xml:space="preserve"> </w:t>
      </w:r>
      <w:r>
        <w:t>package</w:t>
      </w:r>
      <w:r w:rsidR="00932420">
        <w:t xml:space="preserve"> </w:t>
      </w:r>
      <w:r>
        <w:t>of</w:t>
      </w:r>
      <w:r w:rsidR="00932420">
        <w:t xml:space="preserve"> </w:t>
      </w:r>
      <w:r>
        <w:t>works</w:t>
      </w:r>
      <w:r w:rsidR="00932420">
        <w:t xml:space="preserve"> </w:t>
      </w:r>
      <w:r>
        <w:t>reaches</w:t>
      </w:r>
      <w:r w:rsidR="00932420">
        <w:t xml:space="preserve"> </w:t>
      </w:r>
      <w:r>
        <w:t>its</w:t>
      </w:r>
      <w:r w:rsidR="00932420">
        <w:t xml:space="preserve"> </w:t>
      </w:r>
      <w:r>
        <w:t>peak</w:t>
      </w:r>
    </w:p>
    <w:p w14:paraId="1E1BE6F4" w14:textId="6E56F363" w:rsidR="00CA3C5B" w:rsidRDefault="00260033" w:rsidP="005A297E">
      <w:pPr>
        <w:pStyle w:val="Bullet"/>
      </w:pPr>
      <w:r>
        <w:t>Victoria’s</w:t>
      </w:r>
      <w:r w:rsidR="00932420">
        <w:t xml:space="preserve"> </w:t>
      </w:r>
      <w:r>
        <w:t>creative</w:t>
      </w:r>
      <w:r w:rsidR="00932420">
        <w:t xml:space="preserve"> </w:t>
      </w:r>
      <w:r>
        <w:t>industries</w:t>
      </w:r>
      <w:r w:rsidR="00932420">
        <w:t xml:space="preserve"> </w:t>
      </w:r>
      <w:r>
        <w:t>portfolio</w:t>
      </w:r>
      <w:r w:rsidR="00932420">
        <w:t xml:space="preserve"> </w:t>
      </w:r>
      <w:r>
        <w:t>agencies</w:t>
      </w:r>
      <w:r w:rsidR="00932420">
        <w:t xml:space="preserve"> </w:t>
      </w:r>
      <w:r>
        <w:t>continued</w:t>
      </w:r>
      <w:r w:rsidR="00932420">
        <w:t xml:space="preserve"> </w:t>
      </w:r>
      <w:r>
        <w:t>to</w:t>
      </w:r>
      <w:r w:rsidR="00932420">
        <w:t xml:space="preserve"> </w:t>
      </w:r>
      <w:r>
        <w:t>employ</w:t>
      </w:r>
      <w:r w:rsidR="00932420">
        <w:t xml:space="preserve"> </w:t>
      </w:r>
      <w:r>
        <w:t>more</w:t>
      </w:r>
      <w:r w:rsidR="00932420">
        <w:t xml:space="preserve"> </w:t>
      </w:r>
      <w:r>
        <w:t>than</w:t>
      </w:r>
      <w:r w:rsidR="00932420">
        <w:t xml:space="preserve"> </w:t>
      </w:r>
      <w:r>
        <w:t>2500</w:t>
      </w:r>
      <w:r w:rsidR="00932420">
        <w:t xml:space="preserve"> </w:t>
      </w:r>
      <w:r>
        <w:t>people</w:t>
      </w:r>
      <w:r w:rsidR="00932420">
        <w:t xml:space="preserve"> </w:t>
      </w:r>
      <w:r>
        <w:t>across</w:t>
      </w:r>
      <w:r w:rsidR="00932420">
        <w:t xml:space="preserve"> </w:t>
      </w:r>
      <w:r>
        <w:t>Melbourne</w:t>
      </w:r>
      <w:r w:rsidR="00932420">
        <w:t xml:space="preserve"> </w:t>
      </w:r>
      <w:r>
        <w:t>and</w:t>
      </w:r>
      <w:r w:rsidR="00932420">
        <w:t xml:space="preserve"> </w:t>
      </w:r>
      <w:r>
        <w:t>regional</w:t>
      </w:r>
      <w:r w:rsidR="00932420">
        <w:t xml:space="preserve"> </w:t>
      </w:r>
      <w:r>
        <w:t>Victoria</w:t>
      </w:r>
    </w:p>
    <w:p w14:paraId="2F77E4B3" w14:textId="5A23F2A0" w:rsidR="00CA3C5B" w:rsidRDefault="00260033" w:rsidP="005A297E">
      <w:pPr>
        <w:pStyle w:val="Bulletlast"/>
      </w:pPr>
      <w:r>
        <w:t>In</w:t>
      </w:r>
      <w:r w:rsidR="00932420">
        <w:t xml:space="preserve"> </w:t>
      </w:r>
      <w:r>
        <w:t>2022–23,</w:t>
      </w:r>
      <w:r w:rsidR="00932420">
        <w:t xml:space="preserve"> </w:t>
      </w:r>
      <w:r>
        <w:t>Creative</w:t>
      </w:r>
      <w:r w:rsidR="00932420">
        <w:t xml:space="preserve"> </w:t>
      </w:r>
      <w:r>
        <w:t>Victoria</w:t>
      </w:r>
      <w:r w:rsidR="00932420">
        <w:t xml:space="preserve"> </w:t>
      </w:r>
      <w:r>
        <w:t>grants</w:t>
      </w:r>
      <w:r w:rsidR="00932420">
        <w:t xml:space="preserve"> </w:t>
      </w:r>
      <w:r>
        <w:t>programs</w:t>
      </w:r>
      <w:r w:rsidR="00932420">
        <w:t xml:space="preserve"> </w:t>
      </w:r>
      <w:r>
        <w:t>supported</w:t>
      </w:r>
      <w:r w:rsidR="00932420">
        <w:t xml:space="preserve"> </w:t>
      </w:r>
      <w:r>
        <w:t>creative</w:t>
      </w:r>
      <w:r w:rsidR="00932420">
        <w:t xml:space="preserve"> </w:t>
      </w:r>
      <w:r>
        <w:t>individuals,</w:t>
      </w:r>
      <w:r w:rsidR="00932420">
        <w:t xml:space="preserve"> </w:t>
      </w:r>
      <w:r>
        <w:t>collectives</w:t>
      </w:r>
      <w:r w:rsidR="00932420">
        <w:t xml:space="preserve"> </w:t>
      </w:r>
      <w:r>
        <w:t>and</w:t>
      </w:r>
      <w:r w:rsidR="00932420">
        <w:t xml:space="preserve"> </w:t>
      </w:r>
      <w:r>
        <w:t>organisations</w:t>
      </w:r>
      <w:r w:rsidR="00932420">
        <w:t xml:space="preserve"> </w:t>
      </w:r>
      <w:r>
        <w:t>of</w:t>
      </w:r>
      <w:r w:rsidR="00932420">
        <w:t xml:space="preserve"> </w:t>
      </w:r>
      <w:r>
        <w:t>all</w:t>
      </w:r>
      <w:r w:rsidR="00932420">
        <w:t xml:space="preserve"> </w:t>
      </w:r>
      <w:r>
        <w:t>sizes</w:t>
      </w:r>
      <w:r w:rsidR="00932420">
        <w:t xml:space="preserve"> </w:t>
      </w:r>
      <w:r>
        <w:t>and</w:t>
      </w:r>
      <w:r w:rsidR="00932420">
        <w:t xml:space="preserve"> </w:t>
      </w:r>
      <w:r>
        <w:t>creative</w:t>
      </w:r>
      <w:r w:rsidR="00932420">
        <w:t xml:space="preserve"> </w:t>
      </w:r>
      <w:r>
        <w:t>disciplines,</w:t>
      </w:r>
      <w:r w:rsidR="00932420">
        <w:t xml:space="preserve"> </w:t>
      </w:r>
      <w:r>
        <w:t>strengthening</w:t>
      </w:r>
      <w:r w:rsidR="00932420">
        <w:t xml:space="preserve"> </w:t>
      </w:r>
      <w:r>
        <w:t>Victoria’s</w:t>
      </w:r>
      <w:r w:rsidR="00932420">
        <w:t xml:space="preserve"> </w:t>
      </w:r>
      <w:r>
        <w:t>creative</w:t>
      </w:r>
      <w:r w:rsidR="00932420">
        <w:t xml:space="preserve"> </w:t>
      </w:r>
      <w:r>
        <w:t>industries</w:t>
      </w:r>
      <w:r w:rsidR="00932420">
        <w:t xml:space="preserve"> </w:t>
      </w:r>
      <w:r>
        <w:t>workforce.</w:t>
      </w:r>
      <w:r w:rsidR="00932420">
        <w:t xml:space="preserve"> </w:t>
      </w:r>
      <w:r>
        <w:t>The</w:t>
      </w:r>
      <w:r w:rsidR="00932420">
        <w:t xml:space="preserve"> </w:t>
      </w:r>
      <w:r>
        <w:t>Music</w:t>
      </w:r>
      <w:r w:rsidR="00932420">
        <w:t xml:space="preserve"> </w:t>
      </w:r>
      <w:r>
        <w:t>Works</w:t>
      </w:r>
      <w:r w:rsidR="00932420">
        <w:t xml:space="preserve"> </w:t>
      </w:r>
      <w:r>
        <w:t>program,</w:t>
      </w:r>
      <w:r w:rsidR="00932420">
        <w:t xml:space="preserve"> </w:t>
      </w:r>
      <w:r>
        <w:t>Creators</w:t>
      </w:r>
      <w:r w:rsidR="00932420">
        <w:t xml:space="preserve"> </w:t>
      </w:r>
      <w:r>
        <w:t>Fund,</w:t>
      </w:r>
      <w:r w:rsidR="00932420">
        <w:t xml:space="preserve"> </w:t>
      </w:r>
      <w:r>
        <w:t>Creative</w:t>
      </w:r>
      <w:r w:rsidR="00932420">
        <w:t xml:space="preserve"> </w:t>
      </w:r>
      <w:r>
        <w:t>Ventures</w:t>
      </w:r>
      <w:r w:rsidR="00932420">
        <w:t xml:space="preserve"> </w:t>
      </w:r>
      <w:r>
        <w:t>program</w:t>
      </w:r>
      <w:r w:rsidR="00932420">
        <w:t xml:space="preserve"> </w:t>
      </w:r>
      <w:r>
        <w:t>and</w:t>
      </w:r>
      <w:r w:rsidR="00932420">
        <w:t xml:space="preserve"> </w:t>
      </w:r>
      <w:r>
        <w:t>Creative</w:t>
      </w:r>
      <w:r w:rsidR="00932420">
        <w:t xml:space="preserve"> </w:t>
      </w:r>
      <w:r>
        <w:t>Projects</w:t>
      </w:r>
      <w:r w:rsidR="00932420">
        <w:t xml:space="preserve"> </w:t>
      </w:r>
      <w:r>
        <w:t>Fund</w:t>
      </w:r>
      <w:r w:rsidR="00932420">
        <w:t xml:space="preserve"> </w:t>
      </w:r>
      <w:r>
        <w:t>collectively</w:t>
      </w:r>
      <w:r w:rsidR="00932420">
        <w:t xml:space="preserve"> </w:t>
      </w:r>
      <w:r>
        <w:t>created</w:t>
      </w:r>
      <w:r w:rsidR="00932420">
        <w:t xml:space="preserve"> </w:t>
      </w:r>
      <w:r>
        <w:t>more</w:t>
      </w:r>
      <w:r w:rsidR="00932420">
        <w:t xml:space="preserve"> </w:t>
      </w:r>
      <w:r>
        <w:t>than</w:t>
      </w:r>
      <w:r w:rsidR="00932420">
        <w:t xml:space="preserve"> </w:t>
      </w:r>
      <w:r>
        <w:t>4,300</w:t>
      </w:r>
      <w:r w:rsidR="00932420">
        <w:t xml:space="preserve"> </w:t>
      </w:r>
      <w:r>
        <w:t>paid</w:t>
      </w:r>
      <w:r w:rsidR="00932420">
        <w:t xml:space="preserve"> </w:t>
      </w:r>
      <w:r>
        <w:t>employment</w:t>
      </w:r>
      <w:r w:rsidR="00932420">
        <w:t xml:space="preserve"> </w:t>
      </w:r>
      <w:r>
        <w:t>opportunities.</w:t>
      </w:r>
    </w:p>
    <w:p w14:paraId="258D7A80" w14:textId="2AA954FD" w:rsidR="00CA3C5B" w:rsidRDefault="00260033" w:rsidP="005A297E">
      <w:pPr>
        <w:pStyle w:val="Heading2"/>
      </w:pPr>
      <w:bookmarkStart w:id="41" w:name="_Toc152067230"/>
      <w:r>
        <w:t>Indicator:</w:t>
      </w:r>
      <w:r w:rsidR="00932420">
        <w:t xml:space="preserve"> </w:t>
      </w:r>
      <w:r>
        <w:t>Employment</w:t>
      </w:r>
      <w:r w:rsidR="00932420">
        <w:t xml:space="preserve"> </w:t>
      </w:r>
      <w:r>
        <w:t>in</w:t>
      </w:r>
      <w:r w:rsidR="00932420">
        <w:t xml:space="preserve"> </w:t>
      </w:r>
      <w:r>
        <w:t>the</w:t>
      </w:r>
      <w:r w:rsidR="00932420">
        <w:t xml:space="preserve"> </w:t>
      </w:r>
      <w:r>
        <w:t>Visitor</w:t>
      </w:r>
      <w:r w:rsidR="00932420">
        <w:t xml:space="preserve"> </w:t>
      </w:r>
      <w:r>
        <w:t>Economy</w:t>
      </w:r>
      <w:bookmarkEnd w:id="41"/>
      <w:r w:rsidR="00932420">
        <w:t xml:space="preserve"> </w:t>
      </w:r>
    </w:p>
    <w:p w14:paraId="3FA14150" w14:textId="06B0D3A9" w:rsidR="00CA3C5B" w:rsidRDefault="00260033" w:rsidP="005A297E">
      <w:pPr>
        <w:pStyle w:val="TableHeading"/>
      </w:pPr>
      <w:r>
        <w:t>Table</w:t>
      </w:r>
      <w:r w:rsidR="00932420">
        <w:t xml:space="preserve"> </w:t>
      </w:r>
      <w:r>
        <w:t>19:</w:t>
      </w:r>
      <w:r w:rsidR="00932420">
        <w:t xml:space="preserve"> </w:t>
      </w:r>
      <w:r>
        <w:t>Employment</w:t>
      </w:r>
      <w:r w:rsidR="00932420">
        <w:t xml:space="preserve"> </w:t>
      </w:r>
      <w:r>
        <w:t>in</w:t>
      </w:r>
      <w:r w:rsidR="00932420">
        <w:t xml:space="preserve"> </w:t>
      </w:r>
      <w:r>
        <w:t>the</w:t>
      </w:r>
      <w:r w:rsidR="00932420">
        <w:t xml:space="preserve"> </w:t>
      </w:r>
      <w:r>
        <w:t>Visitor</w:t>
      </w:r>
      <w:r w:rsidR="00932420">
        <w:t xml:space="preserve"> </w:t>
      </w:r>
      <w:r>
        <w:t>Economy</w:t>
      </w:r>
      <w:r w:rsidR="00932420">
        <w:t xml:space="preserve"> </w:t>
      </w:r>
    </w:p>
    <w:tbl>
      <w:tblPr>
        <w:tblStyle w:val="TableGrid"/>
        <w:tblW w:w="9638" w:type="dxa"/>
        <w:tblLayout w:type="fixed"/>
        <w:tblLook w:val="0020" w:firstRow="1" w:lastRow="0" w:firstColumn="0" w:lastColumn="0" w:noHBand="0" w:noVBand="0"/>
      </w:tblPr>
      <w:tblGrid>
        <w:gridCol w:w="4195"/>
        <w:gridCol w:w="1361"/>
        <w:gridCol w:w="1361"/>
        <w:gridCol w:w="1360"/>
        <w:gridCol w:w="1361"/>
      </w:tblGrid>
      <w:tr w:rsidR="00CA3C5B" w14:paraId="2A1BD728" w14:textId="77777777" w:rsidTr="00ED306F">
        <w:trPr>
          <w:trHeight w:val="333"/>
        </w:trPr>
        <w:tc>
          <w:tcPr>
            <w:tcW w:w="4195" w:type="dxa"/>
          </w:tcPr>
          <w:p w14:paraId="28537879" w14:textId="2DBBB917" w:rsidR="00CA3C5B" w:rsidRDefault="00260033" w:rsidP="005A297E">
            <w:pPr>
              <w:pStyle w:val="TableColumnHeading"/>
            </w:pPr>
            <w:bookmarkStart w:id="42" w:name="ColumnTitle_20"/>
            <w:bookmarkEnd w:id="42"/>
            <w:r>
              <w:t>Measure</w:t>
            </w:r>
            <w:r w:rsidR="00932420">
              <w:t xml:space="preserve"> </w:t>
            </w:r>
            <w:r>
              <w:t>(unit</w:t>
            </w:r>
            <w:r w:rsidR="00932420">
              <w:t xml:space="preserve"> </w:t>
            </w:r>
            <w:r>
              <w:t>of</w:t>
            </w:r>
            <w:r w:rsidR="00932420">
              <w:t xml:space="preserve"> </w:t>
            </w:r>
            <w:r>
              <w:t>measure)</w:t>
            </w:r>
            <w:r w:rsidR="00932420">
              <w:t xml:space="preserve"> </w:t>
            </w:r>
          </w:p>
        </w:tc>
        <w:tc>
          <w:tcPr>
            <w:tcW w:w="1361" w:type="dxa"/>
          </w:tcPr>
          <w:p w14:paraId="25418EB4" w14:textId="77777777" w:rsidR="00CA3C5B" w:rsidRDefault="00260033" w:rsidP="00D23DEC">
            <w:pPr>
              <w:pStyle w:val="TableColumnHeading"/>
              <w:jc w:val="right"/>
            </w:pPr>
            <w:r>
              <w:t>2019–20</w:t>
            </w:r>
          </w:p>
        </w:tc>
        <w:tc>
          <w:tcPr>
            <w:tcW w:w="1361" w:type="dxa"/>
          </w:tcPr>
          <w:p w14:paraId="5F0C5393" w14:textId="77777777" w:rsidR="00CA3C5B" w:rsidRDefault="00260033" w:rsidP="00D23DEC">
            <w:pPr>
              <w:pStyle w:val="TableColumnHeading"/>
              <w:jc w:val="right"/>
            </w:pPr>
            <w:r>
              <w:t>2020–21</w:t>
            </w:r>
          </w:p>
        </w:tc>
        <w:tc>
          <w:tcPr>
            <w:tcW w:w="1360" w:type="dxa"/>
          </w:tcPr>
          <w:p w14:paraId="76EF137A" w14:textId="77777777" w:rsidR="00CA3C5B" w:rsidRDefault="00260033" w:rsidP="00D23DEC">
            <w:pPr>
              <w:pStyle w:val="TableColumnHeading"/>
              <w:jc w:val="right"/>
            </w:pPr>
            <w:r>
              <w:t>2021–22</w:t>
            </w:r>
          </w:p>
        </w:tc>
        <w:tc>
          <w:tcPr>
            <w:tcW w:w="1361" w:type="dxa"/>
          </w:tcPr>
          <w:p w14:paraId="4CCB30CC" w14:textId="77777777" w:rsidR="00CA3C5B" w:rsidRDefault="00260033" w:rsidP="00D23DEC">
            <w:pPr>
              <w:pStyle w:val="TableColumnHeading"/>
              <w:jc w:val="right"/>
            </w:pPr>
            <w:r>
              <w:rPr>
                <w:lang w:val="en-US"/>
              </w:rPr>
              <w:t>2022–23</w:t>
            </w:r>
          </w:p>
        </w:tc>
      </w:tr>
      <w:tr w:rsidR="00CA3C5B" w14:paraId="0F4FE918" w14:textId="77777777" w:rsidTr="00ED306F">
        <w:trPr>
          <w:trHeight w:val="553"/>
        </w:trPr>
        <w:tc>
          <w:tcPr>
            <w:tcW w:w="4195" w:type="dxa"/>
          </w:tcPr>
          <w:p w14:paraId="0919D33B" w14:textId="7E7DE604" w:rsidR="00CA3C5B" w:rsidRDefault="00260033" w:rsidP="005A297E">
            <w:pPr>
              <w:pStyle w:val="TableCopy"/>
            </w:pPr>
            <w:r>
              <w:t>Number</w:t>
            </w:r>
            <w:r w:rsidR="00932420">
              <w:t xml:space="preserve"> </w:t>
            </w:r>
            <w:r>
              <w:t>of</w:t>
            </w:r>
            <w:r w:rsidR="00932420">
              <w:t xml:space="preserve"> </w:t>
            </w:r>
            <w:r>
              <w:t>jobs</w:t>
            </w:r>
            <w:r w:rsidR="00932420">
              <w:t xml:space="preserve"> </w:t>
            </w:r>
            <w:r>
              <w:t>in</w:t>
            </w:r>
            <w:r w:rsidR="00932420">
              <w:t xml:space="preserve"> </w:t>
            </w:r>
            <w:r>
              <w:t>the</w:t>
            </w:r>
            <w:r w:rsidR="00932420">
              <w:t xml:space="preserve"> </w:t>
            </w:r>
            <w:r>
              <w:t>visitor</w:t>
            </w:r>
            <w:r w:rsidR="00932420">
              <w:t xml:space="preserve"> </w:t>
            </w:r>
            <w:r>
              <w:t>economy</w:t>
            </w:r>
            <w:r w:rsidR="00932420">
              <w:t xml:space="preserve"> </w:t>
            </w:r>
            <w:r>
              <w:t>sector</w:t>
            </w:r>
            <w:r w:rsidR="00932420">
              <w:t xml:space="preserve"> </w:t>
            </w:r>
            <w:r>
              <w:t>(number)</w:t>
            </w:r>
            <w:r w:rsidR="00932420">
              <w:t xml:space="preserve"> </w:t>
            </w:r>
          </w:p>
        </w:tc>
        <w:tc>
          <w:tcPr>
            <w:tcW w:w="1361" w:type="dxa"/>
          </w:tcPr>
          <w:p w14:paraId="3EC92CAA" w14:textId="77777777" w:rsidR="00CA3C5B" w:rsidRDefault="00260033" w:rsidP="00D23DEC">
            <w:pPr>
              <w:pStyle w:val="TableCopy"/>
              <w:jc w:val="right"/>
            </w:pPr>
            <w:r>
              <w:t>232,000</w:t>
            </w:r>
          </w:p>
        </w:tc>
        <w:tc>
          <w:tcPr>
            <w:tcW w:w="1361" w:type="dxa"/>
          </w:tcPr>
          <w:p w14:paraId="46C3525E" w14:textId="77777777" w:rsidR="00CA3C5B" w:rsidRDefault="00260033" w:rsidP="00D23DEC">
            <w:pPr>
              <w:pStyle w:val="TableCopy"/>
              <w:jc w:val="right"/>
            </w:pPr>
            <w:r>
              <w:t>120,000</w:t>
            </w:r>
          </w:p>
        </w:tc>
        <w:tc>
          <w:tcPr>
            <w:tcW w:w="1360" w:type="dxa"/>
          </w:tcPr>
          <w:p w14:paraId="4E3BCD78" w14:textId="77777777" w:rsidR="00CA3C5B" w:rsidRDefault="00260033" w:rsidP="00D23DEC">
            <w:pPr>
              <w:pStyle w:val="TableCopy"/>
              <w:jc w:val="right"/>
            </w:pPr>
            <w:r>
              <w:t>171,100*</w:t>
            </w:r>
          </w:p>
        </w:tc>
        <w:tc>
          <w:tcPr>
            <w:tcW w:w="1361" w:type="dxa"/>
          </w:tcPr>
          <w:p w14:paraId="67464EF5" w14:textId="111D79BA" w:rsidR="00CA3C5B" w:rsidRDefault="00260033" w:rsidP="00D23DEC">
            <w:pPr>
              <w:pStyle w:val="TableCopy"/>
              <w:jc w:val="right"/>
            </w:pPr>
            <w:r>
              <w:rPr>
                <w:lang w:val="en-US"/>
              </w:rPr>
              <w:t>Data</w:t>
            </w:r>
            <w:r w:rsidR="00932420">
              <w:rPr>
                <w:lang w:val="en-US"/>
              </w:rPr>
              <w:t xml:space="preserve"> </w:t>
            </w:r>
            <w:r>
              <w:rPr>
                <w:lang w:val="en-US"/>
              </w:rPr>
              <w:t>expected</w:t>
            </w:r>
            <w:r w:rsidR="00932420">
              <w:rPr>
                <w:lang w:val="en-US"/>
              </w:rPr>
              <w:t xml:space="preserve"> </w:t>
            </w:r>
            <w:r>
              <w:rPr>
                <w:lang w:val="en-US"/>
              </w:rPr>
              <w:t>in</w:t>
            </w:r>
            <w:r w:rsidR="00932420">
              <w:rPr>
                <w:lang w:val="en-US"/>
              </w:rPr>
              <w:t xml:space="preserve"> </w:t>
            </w:r>
            <w:r>
              <w:rPr>
                <w:lang w:val="en-US"/>
              </w:rPr>
              <w:t>2024</w:t>
            </w:r>
          </w:p>
        </w:tc>
      </w:tr>
    </w:tbl>
    <w:p w14:paraId="7CACC281" w14:textId="6C31349D" w:rsidR="00ED306F" w:rsidRDefault="00ED306F" w:rsidP="00ED306F">
      <w:pPr>
        <w:pStyle w:val="FootnoteText"/>
        <w:spacing w:before="120"/>
      </w:pPr>
      <w:r>
        <w:t xml:space="preserve">* This is the latest available data from the State Tourism Satellite Accounts 2021–22 produced by Tourism Research Australia, May 2023. </w:t>
      </w:r>
    </w:p>
    <w:p w14:paraId="1449EA1D" w14:textId="0AAEBA64" w:rsidR="00CA3C5B" w:rsidRDefault="00ED306F" w:rsidP="00ED306F">
      <w:pPr>
        <w:pStyle w:val="FootnoteText"/>
        <w:spacing w:after="280"/>
      </w:pPr>
      <w:r>
        <w:t>Note: A revised approach to employment metrics has been taken in the latest 2021–22 State Tourism Satellite Accounts (STSA) release which has created a major shift in the time series due to the adoption of filled jobs from the Labour Account, rather than employed persons based on the Labour Force survey. Accordingly, historical data has been revised to 238,300 jobs in 2019–20 and 109,400 jobs in 2020–21 in the May 2023 STSA release.</w:t>
      </w:r>
    </w:p>
    <w:p w14:paraId="72A7222A" w14:textId="203B3E2C" w:rsidR="00CA3C5B" w:rsidRDefault="00260033" w:rsidP="00ED306F">
      <w:pPr>
        <w:pStyle w:val="FigureHeading"/>
      </w:pPr>
      <w:r>
        <w:t>Figure</w:t>
      </w:r>
      <w:r w:rsidR="00932420">
        <w:t xml:space="preserve"> </w:t>
      </w:r>
      <w:r>
        <w:t>18:</w:t>
      </w:r>
      <w:r w:rsidR="00932420">
        <w:t xml:space="preserve"> </w:t>
      </w:r>
      <w:r>
        <w:t>Number</w:t>
      </w:r>
      <w:r w:rsidR="00932420">
        <w:t xml:space="preserve"> </w:t>
      </w:r>
      <w:r>
        <w:t>of</w:t>
      </w:r>
      <w:r w:rsidR="00932420">
        <w:t xml:space="preserve"> </w:t>
      </w:r>
      <w:r>
        <w:t>jobs</w:t>
      </w:r>
      <w:r w:rsidR="00932420">
        <w:t xml:space="preserve"> </w:t>
      </w:r>
      <w:r>
        <w:t>in</w:t>
      </w:r>
      <w:r w:rsidR="00932420">
        <w:t xml:space="preserve"> </w:t>
      </w:r>
      <w:r>
        <w:t>the</w:t>
      </w:r>
      <w:r w:rsidR="00932420">
        <w:t xml:space="preserve"> </w:t>
      </w:r>
      <w:r>
        <w:t>visitor</w:t>
      </w:r>
      <w:r w:rsidR="00932420">
        <w:t xml:space="preserve"> </w:t>
      </w:r>
      <w:r>
        <w:t>economy</w:t>
      </w:r>
      <w:r w:rsidR="00932420">
        <w:t xml:space="preserve"> </w:t>
      </w:r>
      <w:r>
        <w:t>sector</w:t>
      </w:r>
    </w:p>
    <w:p w14:paraId="10D697FA" w14:textId="4CF70885" w:rsidR="00CA3C5B" w:rsidRDefault="00ED306F" w:rsidP="00ED306F">
      <w:r>
        <w:rPr>
          <w:noProof/>
        </w:rPr>
        <w:drawing>
          <wp:inline distT="0" distB="0" distL="0" distR="0" wp14:anchorId="3C0EB746" wp14:editId="6DA56EEA">
            <wp:extent cx="3235124" cy="2164425"/>
            <wp:effectExtent l="0" t="0" r="3810" b="7620"/>
            <wp:docPr id="18" name="Picture 18" descr="Figure 18: Number of jobs in the visitor economy sector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18: Number of jobs in the visitor economy sector graph. Data in table above."/>
                    <pic:cNvPicPr/>
                  </pic:nvPicPr>
                  <pic:blipFill>
                    <a:blip r:embed="rId27"/>
                    <a:stretch>
                      <a:fillRect/>
                    </a:stretch>
                  </pic:blipFill>
                  <pic:spPr>
                    <a:xfrm>
                      <a:off x="0" y="0"/>
                      <a:ext cx="3245707" cy="2171505"/>
                    </a:xfrm>
                    <a:prstGeom prst="rect">
                      <a:avLst/>
                    </a:prstGeom>
                  </pic:spPr>
                </pic:pic>
              </a:graphicData>
            </a:graphic>
          </wp:inline>
        </w:drawing>
      </w:r>
    </w:p>
    <w:p w14:paraId="139108E5" w14:textId="13B37DD8" w:rsidR="00CA3C5B" w:rsidRDefault="00260033" w:rsidP="00ED306F">
      <w:r>
        <w:lastRenderedPageBreak/>
        <w:t>The</w:t>
      </w:r>
      <w:r w:rsidR="00932420">
        <w:t xml:space="preserve"> </w:t>
      </w:r>
      <w:r>
        <w:t>visitor</w:t>
      </w:r>
      <w:r w:rsidR="00932420">
        <w:t xml:space="preserve"> </w:t>
      </w:r>
      <w:r>
        <w:t>economy</w:t>
      </w:r>
      <w:r w:rsidR="00932420">
        <w:t xml:space="preserve"> </w:t>
      </w:r>
      <w:r>
        <w:t>is</w:t>
      </w:r>
      <w:r w:rsidR="00932420">
        <w:t xml:space="preserve"> </w:t>
      </w:r>
      <w:r>
        <w:t>a</w:t>
      </w:r>
      <w:r w:rsidR="00932420">
        <w:t xml:space="preserve"> </w:t>
      </w:r>
      <w:r>
        <w:t>major</w:t>
      </w:r>
      <w:r w:rsidR="00932420">
        <w:t xml:space="preserve"> </w:t>
      </w:r>
      <w:r>
        <w:t>employer</w:t>
      </w:r>
      <w:r w:rsidR="00932420">
        <w:t xml:space="preserve"> </w:t>
      </w:r>
      <w:r>
        <w:t>in</w:t>
      </w:r>
      <w:r w:rsidR="00932420">
        <w:t xml:space="preserve"> </w:t>
      </w:r>
      <w:r>
        <w:t>Victoria</w:t>
      </w:r>
      <w:r w:rsidR="00932420">
        <w:t xml:space="preserve"> </w:t>
      </w:r>
      <w:r>
        <w:t>and</w:t>
      </w:r>
      <w:r w:rsidR="00932420">
        <w:t xml:space="preserve"> </w:t>
      </w:r>
      <w:r>
        <w:t>a</w:t>
      </w:r>
      <w:r w:rsidR="00932420">
        <w:t xml:space="preserve"> </w:t>
      </w:r>
      <w:r>
        <w:t>strong</w:t>
      </w:r>
      <w:r w:rsidR="00932420">
        <w:t xml:space="preserve"> </w:t>
      </w:r>
      <w:r>
        <w:t>contributor</w:t>
      </w:r>
      <w:r w:rsidR="00932420">
        <w:t xml:space="preserve"> </w:t>
      </w:r>
      <w:r>
        <w:t>to</w:t>
      </w:r>
      <w:r w:rsidR="00932420">
        <w:t xml:space="preserve"> </w:t>
      </w:r>
      <w:r>
        <w:t>the</w:t>
      </w:r>
      <w:r w:rsidR="00932420">
        <w:t xml:space="preserve"> </w:t>
      </w:r>
      <w:r>
        <w:t>state’s</w:t>
      </w:r>
      <w:r w:rsidR="00932420">
        <w:t xml:space="preserve"> </w:t>
      </w:r>
      <w:r>
        <w:t>economy.</w:t>
      </w:r>
      <w:r w:rsidR="00932420">
        <w:t xml:space="preserve"> </w:t>
      </w:r>
      <w:r>
        <w:rPr>
          <w:spacing w:val="-1"/>
        </w:rPr>
        <w:t>In</w:t>
      </w:r>
      <w:r w:rsidR="00932420">
        <w:rPr>
          <w:spacing w:val="-1"/>
        </w:rPr>
        <w:t xml:space="preserve"> </w:t>
      </w:r>
      <w:r>
        <w:rPr>
          <w:spacing w:val="-1"/>
        </w:rPr>
        <w:t>total</w:t>
      </w:r>
      <w:r w:rsidR="00932420">
        <w:rPr>
          <w:spacing w:val="-1"/>
        </w:rPr>
        <w:t xml:space="preserve"> </w:t>
      </w:r>
      <w:r>
        <w:rPr>
          <w:spacing w:val="-1"/>
        </w:rPr>
        <w:t>171,100</w:t>
      </w:r>
      <w:r w:rsidR="00932420">
        <w:rPr>
          <w:spacing w:val="-1"/>
        </w:rPr>
        <w:t xml:space="preserve"> </w:t>
      </w:r>
      <w:r>
        <w:rPr>
          <w:spacing w:val="-1"/>
        </w:rPr>
        <w:t>direct</w:t>
      </w:r>
      <w:r w:rsidR="00932420">
        <w:rPr>
          <w:spacing w:val="-1"/>
        </w:rPr>
        <w:t xml:space="preserve"> </w:t>
      </w:r>
      <w:r>
        <w:rPr>
          <w:spacing w:val="-1"/>
        </w:rPr>
        <w:t>and</w:t>
      </w:r>
      <w:r w:rsidR="00932420">
        <w:rPr>
          <w:spacing w:val="-1"/>
        </w:rPr>
        <w:t xml:space="preserve"> </w:t>
      </w:r>
      <w:r>
        <w:rPr>
          <w:spacing w:val="-1"/>
        </w:rPr>
        <w:t>indirect</w:t>
      </w:r>
      <w:r w:rsidR="00932420">
        <w:rPr>
          <w:spacing w:val="-1"/>
        </w:rPr>
        <w:t xml:space="preserve"> </w:t>
      </w:r>
      <w:r>
        <w:rPr>
          <w:spacing w:val="-1"/>
        </w:rPr>
        <w:t>tourism</w:t>
      </w:r>
      <w:r w:rsidR="00932420">
        <w:rPr>
          <w:spacing w:val="-1"/>
        </w:rPr>
        <w:t xml:space="preserve"> </w:t>
      </w:r>
      <w:r>
        <w:rPr>
          <w:spacing w:val="-1"/>
        </w:rPr>
        <w:t>filled</w:t>
      </w:r>
      <w:r w:rsidR="00932420">
        <w:rPr>
          <w:spacing w:val="-1"/>
        </w:rPr>
        <w:t xml:space="preserve"> </w:t>
      </w:r>
      <w:r>
        <w:rPr>
          <w:spacing w:val="-1"/>
        </w:rPr>
        <w:t>jobs</w:t>
      </w:r>
      <w:r w:rsidR="00932420">
        <w:rPr>
          <w:spacing w:val="-1"/>
        </w:rPr>
        <w:t xml:space="preserve"> </w:t>
      </w:r>
      <w:r>
        <w:rPr>
          <w:spacing w:val="1"/>
        </w:rPr>
        <w:t>were</w:t>
      </w:r>
      <w:r w:rsidR="00932420">
        <w:rPr>
          <w:spacing w:val="1"/>
        </w:rPr>
        <w:t xml:space="preserve"> </w:t>
      </w:r>
      <w:r>
        <w:rPr>
          <w:spacing w:val="1"/>
        </w:rPr>
        <w:t>recorded</w:t>
      </w:r>
      <w:r w:rsidR="00932420">
        <w:rPr>
          <w:spacing w:val="1"/>
        </w:rPr>
        <w:t xml:space="preserve"> </w:t>
      </w:r>
      <w:r>
        <w:rPr>
          <w:spacing w:val="1"/>
        </w:rPr>
        <w:t>in</w:t>
      </w:r>
      <w:r w:rsidR="00932420">
        <w:rPr>
          <w:spacing w:val="1"/>
        </w:rPr>
        <w:t xml:space="preserve"> </w:t>
      </w:r>
      <w:r>
        <w:rPr>
          <w:spacing w:val="1"/>
        </w:rPr>
        <w:t>2021–22,</w:t>
      </w:r>
      <w:r w:rsidR="00932420">
        <w:rPr>
          <w:spacing w:val="1"/>
        </w:rPr>
        <w:t xml:space="preserve"> </w:t>
      </w:r>
      <w:r>
        <w:rPr>
          <w:spacing w:val="1"/>
        </w:rPr>
        <w:t>up</w:t>
      </w:r>
      <w:r w:rsidR="00932420">
        <w:rPr>
          <w:spacing w:val="1"/>
        </w:rPr>
        <w:t xml:space="preserve"> </w:t>
      </w:r>
      <w:r>
        <w:rPr>
          <w:spacing w:val="1"/>
        </w:rPr>
        <w:t>from</w:t>
      </w:r>
      <w:r w:rsidR="00932420">
        <w:rPr>
          <w:spacing w:val="1"/>
        </w:rPr>
        <w:t xml:space="preserve"> </w:t>
      </w:r>
      <w:r>
        <w:rPr>
          <w:spacing w:val="1"/>
        </w:rPr>
        <w:t>2020–21</w:t>
      </w:r>
      <w:r w:rsidR="00932420">
        <w:rPr>
          <w:spacing w:val="1"/>
        </w:rPr>
        <w:t xml:space="preserve"> </w:t>
      </w:r>
      <w:r>
        <w:rPr>
          <w:spacing w:val="1"/>
        </w:rPr>
        <w:t>levels</w:t>
      </w:r>
      <w:r w:rsidR="00932420">
        <w:rPr>
          <w:spacing w:val="1"/>
        </w:rPr>
        <w:t xml:space="preserve"> </w:t>
      </w:r>
      <w:r>
        <w:t>but</w:t>
      </w:r>
      <w:r w:rsidR="00932420">
        <w:t xml:space="preserve"> </w:t>
      </w:r>
      <w:r>
        <w:t>still</w:t>
      </w:r>
      <w:r w:rsidR="00932420">
        <w:t xml:space="preserve"> </w:t>
      </w:r>
      <w:r>
        <w:t>below</w:t>
      </w:r>
      <w:r w:rsidR="00932420">
        <w:t xml:space="preserve"> </w:t>
      </w:r>
      <w:r>
        <w:t>the</w:t>
      </w:r>
      <w:r w:rsidR="00932420">
        <w:t xml:space="preserve"> </w:t>
      </w:r>
      <w:r>
        <w:t>pre-COVID-19</w:t>
      </w:r>
      <w:r w:rsidR="00932420">
        <w:t xml:space="preserve"> </w:t>
      </w:r>
      <w:r>
        <w:t>result.</w:t>
      </w:r>
      <w:r w:rsidR="00932420">
        <w:t xml:space="preserve"> </w:t>
      </w:r>
    </w:p>
    <w:p w14:paraId="3E0F0013" w14:textId="2DB997C0" w:rsidR="00CA3C5B" w:rsidRDefault="00260033" w:rsidP="00ED306F">
      <w:r>
        <w:t>Direct</w:t>
      </w:r>
      <w:r w:rsidR="00932420">
        <w:t xml:space="preserve"> </w:t>
      </w:r>
      <w:r>
        <w:t>tourism</w:t>
      </w:r>
      <w:r w:rsidR="00932420">
        <w:t xml:space="preserve"> </w:t>
      </w:r>
      <w:r>
        <w:t>filled</w:t>
      </w:r>
      <w:r w:rsidR="00932420">
        <w:t xml:space="preserve"> </w:t>
      </w:r>
      <w:r>
        <w:t>jobs</w:t>
      </w:r>
      <w:r w:rsidR="00932420">
        <w:t xml:space="preserve"> </w:t>
      </w:r>
      <w:r>
        <w:t>in</w:t>
      </w:r>
      <w:r w:rsidR="00932420">
        <w:t xml:space="preserve"> </w:t>
      </w:r>
      <w:r>
        <w:t>Victoria</w:t>
      </w:r>
      <w:r w:rsidR="00932420">
        <w:t xml:space="preserve"> </w:t>
      </w:r>
      <w:r>
        <w:t>increased</w:t>
      </w:r>
      <w:r w:rsidR="00932420">
        <w:t xml:space="preserve"> </w:t>
      </w:r>
      <w:r>
        <w:t>in</w:t>
      </w:r>
      <w:r w:rsidR="00932420">
        <w:t xml:space="preserve"> </w:t>
      </w:r>
      <w:r>
        <w:t>2021–22</w:t>
      </w:r>
      <w:r w:rsidR="00932420">
        <w:t xml:space="preserve"> </w:t>
      </w:r>
      <w:r>
        <w:t>to</w:t>
      </w:r>
      <w:r w:rsidR="00932420">
        <w:t xml:space="preserve"> </w:t>
      </w:r>
      <w:r>
        <w:t>reach</w:t>
      </w:r>
      <w:r w:rsidR="00932420">
        <w:t xml:space="preserve"> </w:t>
      </w:r>
      <w:r>
        <w:t>121,900.</w:t>
      </w:r>
      <w:r w:rsidR="00932420">
        <w:t xml:space="preserve"> </w:t>
      </w:r>
      <w:r>
        <w:t>The</w:t>
      </w:r>
      <w:r w:rsidR="00932420">
        <w:t xml:space="preserve"> </w:t>
      </w:r>
      <w:r>
        <w:t>distribution</w:t>
      </w:r>
      <w:r w:rsidR="00932420">
        <w:t xml:space="preserve"> </w:t>
      </w:r>
      <w:r>
        <w:t>of</w:t>
      </w:r>
      <w:r w:rsidR="00932420">
        <w:t xml:space="preserve"> </w:t>
      </w:r>
      <w:r>
        <w:t>tourism</w:t>
      </w:r>
      <w:r w:rsidR="00932420">
        <w:t xml:space="preserve"> </w:t>
      </w:r>
      <w:r>
        <w:t>jobs</w:t>
      </w:r>
      <w:r w:rsidR="00932420">
        <w:t xml:space="preserve"> </w:t>
      </w:r>
      <w:r>
        <w:t>across</w:t>
      </w:r>
      <w:r w:rsidR="00932420">
        <w:t xml:space="preserve"> </w:t>
      </w:r>
      <w:r>
        <w:t>industries</w:t>
      </w:r>
      <w:r w:rsidR="00932420">
        <w:t xml:space="preserve"> </w:t>
      </w:r>
      <w:r>
        <w:t>shows</w:t>
      </w:r>
      <w:r w:rsidR="00932420">
        <w:t xml:space="preserve"> </w:t>
      </w:r>
      <w:r>
        <w:t>that</w:t>
      </w:r>
      <w:r w:rsidR="00932420">
        <w:t xml:space="preserve"> </w:t>
      </w:r>
      <w:r>
        <w:t>cafés,</w:t>
      </w:r>
      <w:r w:rsidR="00932420">
        <w:t xml:space="preserve"> </w:t>
      </w:r>
      <w:proofErr w:type="gramStart"/>
      <w:r>
        <w:t>restaurants</w:t>
      </w:r>
      <w:proofErr w:type="gramEnd"/>
      <w:r w:rsidR="00932420">
        <w:t xml:space="preserve"> </w:t>
      </w:r>
      <w:r>
        <w:t>and</w:t>
      </w:r>
      <w:r w:rsidR="00932420">
        <w:t xml:space="preserve"> </w:t>
      </w:r>
      <w:r>
        <w:t>takeaway</w:t>
      </w:r>
      <w:r w:rsidR="00932420">
        <w:t xml:space="preserve"> </w:t>
      </w:r>
      <w:r>
        <w:t>food</w:t>
      </w:r>
      <w:r w:rsidR="00932420">
        <w:t xml:space="preserve"> </w:t>
      </w:r>
      <w:r>
        <w:t>services</w:t>
      </w:r>
      <w:r w:rsidR="00932420">
        <w:t xml:space="preserve"> </w:t>
      </w:r>
      <w:r>
        <w:t>accounted</w:t>
      </w:r>
      <w:r w:rsidR="00932420">
        <w:t xml:space="preserve"> </w:t>
      </w:r>
      <w:r>
        <w:t>for</w:t>
      </w:r>
      <w:r w:rsidR="00932420">
        <w:t xml:space="preserve"> </w:t>
      </w:r>
      <w:r>
        <w:t>the</w:t>
      </w:r>
      <w:r w:rsidR="00932420">
        <w:t xml:space="preserve"> </w:t>
      </w:r>
      <w:r>
        <w:t>largest</w:t>
      </w:r>
      <w:r w:rsidR="00932420">
        <w:t xml:space="preserve"> </w:t>
      </w:r>
      <w:r>
        <w:t>share</w:t>
      </w:r>
      <w:r w:rsidR="00932420">
        <w:t xml:space="preserve"> </w:t>
      </w:r>
      <w:r>
        <w:t>of</w:t>
      </w:r>
      <w:r w:rsidR="00932420">
        <w:t xml:space="preserve"> </w:t>
      </w:r>
      <w:r>
        <w:t>direct</w:t>
      </w:r>
      <w:r w:rsidR="00932420">
        <w:t xml:space="preserve"> </w:t>
      </w:r>
      <w:r>
        <w:t>tourism</w:t>
      </w:r>
      <w:r w:rsidR="00932420">
        <w:t xml:space="preserve"> </w:t>
      </w:r>
      <w:r>
        <w:t>filled</w:t>
      </w:r>
      <w:r w:rsidR="00932420">
        <w:t xml:space="preserve"> </w:t>
      </w:r>
      <w:r>
        <w:t>jobs</w:t>
      </w:r>
      <w:r w:rsidR="00932420">
        <w:t xml:space="preserve"> </w:t>
      </w:r>
      <w:r>
        <w:t>(40.8%),</w:t>
      </w:r>
      <w:r w:rsidR="00932420">
        <w:t xml:space="preserve"> </w:t>
      </w:r>
      <w:r>
        <w:t>followed</w:t>
      </w:r>
      <w:r w:rsidR="00932420">
        <w:t xml:space="preserve"> </w:t>
      </w:r>
      <w:r>
        <w:t>by</w:t>
      </w:r>
      <w:r w:rsidR="00932420">
        <w:t xml:space="preserve"> </w:t>
      </w:r>
      <w:r>
        <w:t>retail</w:t>
      </w:r>
      <w:r w:rsidR="00932420">
        <w:t xml:space="preserve"> </w:t>
      </w:r>
      <w:r>
        <w:t>trade</w:t>
      </w:r>
      <w:r w:rsidR="00932420">
        <w:t xml:space="preserve"> </w:t>
      </w:r>
      <w:r>
        <w:t>(16.0%),</w:t>
      </w:r>
      <w:r w:rsidR="00932420">
        <w:t xml:space="preserve"> </w:t>
      </w:r>
      <w:r>
        <w:t>accommodation</w:t>
      </w:r>
      <w:r w:rsidR="00932420">
        <w:t xml:space="preserve"> </w:t>
      </w:r>
      <w:r>
        <w:t>(14.2%)</w:t>
      </w:r>
      <w:r w:rsidR="00932420">
        <w:t xml:space="preserve"> </w:t>
      </w:r>
      <w:r>
        <w:t>and</w:t>
      </w:r>
      <w:r w:rsidR="00932420">
        <w:t xml:space="preserve"> </w:t>
      </w:r>
      <w:r>
        <w:t>clubs,</w:t>
      </w:r>
      <w:r w:rsidR="00932420">
        <w:t xml:space="preserve"> </w:t>
      </w:r>
      <w:r>
        <w:t>pubs,</w:t>
      </w:r>
      <w:r w:rsidR="00932420">
        <w:t xml:space="preserve"> </w:t>
      </w:r>
      <w:r>
        <w:t>taverns</w:t>
      </w:r>
      <w:r w:rsidR="00932420">
        <w:t xml:space="preserve"> </w:t>
      </w:r>
      <w:r>
        <w:t>and</w:t>
      </w:r>
      <w:r w:rsidR="00932420">
        <w:t xml:space="preserve"> </w:t>
      </w:r>
      <w:r>
        <w:t>bars</w:t>
      </w:r>
      <w:r w:rsidR="00932420">
        <w:t xml:space="preserve"> </w:t>
      </w:r>
      <w:r>
        <w:t>(8.7%).</w:t>
      </w:r>
      <w:r w:rsidR="00932420">
        <w:t xml:space="preserve"> </w:t>
      </w:r>
    </w:p>
    <w:p w14:paraId="6082AC4C" w14:textId="75B9FB3A" w:rsidR="00CA3C5B" w:rsidRDefault="00260033" w:rsidP="00ED306F">
      <w:pPr>
        <w:pStyle w:val="Normalbeforebullets"/>
      </w:pPr>
      <w:r>
        <w:t>The</w:t>
      </w:r>
      <w:r w:rsidR="00932420">
        <w:t xml:space="preserve"> </w:t>
      </w:r>
      <w:r>
        <w:t>department</w:t>
      </w:r>
      <w:r w:rsidR="00932420">
        <w:t xml:space="preserve"> </w:t>
      </w:r>
      <w:r>
        <w:t>continued</w:t>
      </w:r>
      <w:r w:rsidR="00932420">
        <w:t xml:space="preserve"> </w:t>
      </w:r>
      <w:r>
        <w:t>to</w:t>
      </w:r>
      <w:r w:rsidR="00932420">
        <w:t xml:space="preserve"> </w:t>
      </w:r>
      <w:r>
        <w:t>deliver</w:t>
      </w:r>
      <w:r w:rsidR="00932420">
        <w:t xml:space="preserve"> </w:t>
      </w:r>
      <w:r>
        <w:t>initiatives</w:t>
      </w:r>
      <w:r w:rsidR="00932420">
        <w:t xml:space="preserve"> </w:t>
      </w:r>
      <w:r>
        <w:t>to</w:t>
      </w:r>
      <w:r w:rsidR="00932420">
        <w:t xml:space="preserve"> </w:t>
      </w:r>
      <w:r>
        <w:t>support</w:t>
      </w:r>
      <w:r w:rsidR="00932420">
        <w:t xml:space="preserve"> </w:t>
      </w:r>
      <w:r>
        <w:t>jobs</w:t>
      </w:r>
      <w:r w:rsidR="00932420">
        <w:t xml:space="preserve"> </w:t>
      </w:r>
      <w:r>
        <w:t>growth</w:t>
      </w:r>
      <w:r w:rsidR="00932420">
        <w:t xml:space="preserve"> </w:t>
      </w:r>
      <w:r>
        <w:t>in</w:t>
      </w:r>
      <w:r w:rsidR="00932420">
        <w:t xml:space="preserve"> </w:t>
      </w:r>
      <w:r>
        <w:t>2022–23</w:t>
      </w:r>
      <w:r w:rsidR="00932420">
        <w:t xml:space="preserve"> </w:t>
      </w:r>
      <w:r>
        <w:t>under</w:t>
      </w:r>
      <w:r w:rsidR="00932420">
        <w:t xml:space="preserve"> </w:t>
      </w:r>
      <w:r>
        <w:t>the</w:t>
      </w:r>
      <w:r w:rsidR="00932420">
        <w:t xml:space="preserve"> </w:t>
      </w:r>
      <w:r>
        <w:t>Victorian</w:t>
      </w:r>
      <w:r w:rsidR="00932420">
        <w:t xml:space="preserve"> </w:t>
      </w:r>
      <w:r>
        <w:t>Visitor</w:t>
      </w:r>
      <w:r w:rsidR="00932420">
        <w:t xml:space="preserve"> </w:t>
      </w:r>
      <w:r>
        <w:t>Economy</w:t>
      </w:r>
      <w:r w:rsidR="00932420">
        <w:t xml:space="preserve"> </w:t>
      </w:r>
      <w:r>
        <w:t>Recovery</w:t>
      </w:r>
      <w:r w:rsidR="00932420">
        <w:t xml:space="preserve"> </w:t>
      </w:r>
      <w:r>
        <w:t>and</w:t>
      </w:r>
      <w:r w:rsidR="00932420">
        <w:t xml:space="preserve"> </w:t>
      </w:r>
      <w:r>
        <w:t>Reform</w:t>
      </w:r>
      <w:r w:rsidR="00932420">
        <w:t xml:space="preserve"> </w:t>
      </w:r>
      <w:r>
        <w:t>Plan.</w:t>
      </w:r>
      <w:r w:rsidR="00932420">
        <w:t xml:space="preserve"> </w:t>
      </w:r>
      <w:r>
        <w:t>These</w:t>
      </w:r>
      <w:r w:rsidR="00932420">
        <w:t xml:space="preserve"> </w:t>
      </w:r>
      <w:r>
        <w:t>initiatives</w:t>
      </w:r>
      <w:r w:rsidR="00932420">
        <w:t xml:space="preserve"> </w:t>
      </w:r>
      <w:r>
        <w:t>included:</w:t>
      </w:r>
    </w:p>
    <w:p w14:paraId="1018BFD2" w14:textId="539A6792" w:rsidR="00CA3C5B" w:rsidRDefault="00260033" w:rsidP="00ED306F">
      <w:pPr>
        <w:pStyle w:val="Bullet"/>
      </w:pPr>
      <w:r>
        <w:t>launching</w:t>
      </w:r>
      <w:r w:rsidR="00932420">
        <w:t xml:space="preserve"> </w:t>
      </w:r>
      <w:r>
        <w:t>Experience</w:t>
      </w:r>
      <w:r w:rsidR="00932420">
        <w:t xml:space="preserve"> </w:t>
      </w:r>
      <w:r>
        <w:t>Victoria</w:t>
      </w:r>
      <w:r w:rsidR="00932420">
        <w:t xml:space="preserve"> </w:t>
      </w:r>
      <w:r>
        <w:t>2033,</w:t>
      </w:r>
      <w:r w:rsidR="00932420">
        <w:t xml:space="preserve"> </w:t>
      </w:r>
      <w:r>
        <w:t>which</w:t>
      </w:r>
      <w:r w:rsidR="00932420">
        <w:t xml:space="preserve"> </w:t>
      </w:r>
      <w:r>
        <w:t>will</w:t>
      </w:r>
      <w:r w:rsidR="00932420">
        <w:t xml:space="preserve"> </w:t>
      </w:r>
      <w:r>
        <w:t>provide</w:t>
      </w:r>
      <w:r w:rsidR="00932420">
        <w:t xml:space="preserve"> </w:t>
      </w:r>
      <w:r>
        <w:t>certainty</w:t>
      </w:r>
      <w:r w:rsidR="00932420">
        <w:t xml:space="preserve"> </w:t>
      </w:r>
      <w:r>
        <w:t>for</w:t>
      </w:r>
      <w:r w:rsidR="00932420">
        <w:t xml:space="preserve"> </w:t>
      </w:r>
      <w:r>
        <w:t>businesses</w:t>
      </w:r>
      <w:r w:rsidR="00932420">
        <w:t xml:space="preserve"> </w:t>
      </w:r>
      <w:r>
        <w:t>and</w:t>
      </w:r>
      <w:r w:rsidR="00932420">
        <w:t xml:space="preserve"> </w:t>
      </w:r>
      <w:r>
        <w:t>investors</w:t>
      </w:r>
      <w:r w:rsidR="00932420">
        <w:t xml:space="preserve"> </w:t>
      </w:r>
      <w:r>
        <w:t>within</w:t>
      </w:r>
      <w:r w:rsidR="00932420">
        <w:t xml:space="preserve"> </w:t>
      </w:r>
      <w:r>
        <w:t>the</w:t>
      </w:r>
      <w:r w:rsidR="00932420">
        <w:t xml:space="preserve"> </w:t>
      </w:r>
      <w:r>
        <w:t>industry,</w:t>
      </w:r>
      <w:r w:rsidR="00932420">
        <w:t xml:space="preserve"> </w:t>
      </w:r>
      <w:r>
        <w:t>encourage</w:t>
      </w:r>
      <w:r w:rsidR="00932420">
        <w:t xml:space="preserve"> </w:t>
      </w:r>
      <w:r>
        <w:t>new</w:t>
      </w:r>
      <w:r w:rsidR="00932420">
        <w:t xml:space="preserve"> </w:t>
      </w:r>
      <w:r>
        <w:t>and</w:t>
      </w:r>
      <w:r w:rsidR="00932420">
        <w:t xml:space="preserve"> </w:t>
      </w:r>
      <w:r>
        <w:t>innovative</w:t>
      </w:r>
      <w:r w:rsidR="00932420">
        <w:t xml:space="preserve"> </w:t>
      </w:r>
      <w:r>
        <w:t>tourism</w:t>
      </w:r>
      <w:r w:rsidR="00932420">
        <w:t xml:space="preserve"> </w:t>
      </w:r>
      <w:r>
        <w:t>products</w:t>
      </w:r>
      <w:r w:rsidR="00932420">
        <w:t xml:space="preserve"> </w:t>
      </w:r>
      <w:r>
        <w:t>and</w:t>
      </w:r>
      <w:r w:rsidR="00932420">
        <w:t xml:space="preserve"> </w:t>
      </w:r>
      <w:r>
        <w:t>engage</w:t>
      </w:r>
      <w:r w:rsidR="00932420">
        <w:t xml:space="preserve"> </w:t>
      </w:r>
      <w:r>
        <w:t>with</w:t>
      </w:r>
      <w:r w:rsidR="00932420">
        <w:t xml:space="preserve"> </w:t>
      </w:r>
      <w:r>
        <w:t>local</w:t>
      </w:r>
      <w:r w:rsidR="00932420">
        <w:t xml:space="preserve"> </w:t>
      </w:r>
      <w:r>
        <w:t>communities</w:t>
      </w:r>
    </w:p>
    <w:p w14:paraId="20839775" w14:textId="49C72677" w:rsidR="00CA3C5B" w:rsidRDefault="00260033" w:rsidP="00ED306F">
      <w:pPr>
        <w:pStyle w:val="Bullet"/>
      </w:pPr>
      <w:r>
        <w:t>supporting</w:t>
      </w:r>
      <w:r w:rsidR="00932420">
        <w:t xml:space="preserve"> </w:t>
      </w:r>
      <w:r>
        <w:t>the</w:t>
      </w:r>
      <w:r w:rsidR="00932420">
        <w:t xml:space="preserve"> </w:t>
      </w:r>
      <w:r>
        <w:t>Victoria</w:t>
      </w:r>
      <w:r w:rsidR="00932420">
        <w:t xml:space="preserve"> </w:t>
      </w:r>
      <w:r>
        <w:t>Tourism</w:t>
      </w:r>
      <w:r w:rsidR="00932420">
        <w:t xml:space="preserve"> </w:t>
      </w:r>
      <w:r>
        <w:t>Industry</w:t>
      </w:r>
      <w:r w:rsidR="00932420">
        <w:t xml:space="preserve"> </w:t>
      </w:r>
      <w:r>
        <w:t>Council</w:t>
      </w:r>
      <w:r w:rsidR="00932420">
        <w:t xml:space="preserve"> </w:t>
      </w:r>
      <w:r>
        <w:t>to</w:t>
      </w:r>
      <w:r w:rsidR="00932420">
        <w:t xml:space="preserve"> </w:t>
      </w:r>
      <w:r>
        <w:t>deliver</w:t>
      </w:r>
      <w:r w:rsidR="00932420">
        <w:t xml:space="preserve"> </w:t>
      </w:r>
      <w:r>
        <w:t>industry-strengthening</w:t>
      </w:r>
      <w:r w:rsidR="00932420">
        <w:t xml:space="preserve"> </w:t>
      </w:r>
      <w:r>
        <w:t>initiatives</w:t>
      </w:r>
      <w:r w:rsidR="00932420">
        <w:t xml:space="preserve"> </w:t>
      </w:r>
    </w:p>
    <w:p w14:paraId="735637DF" w14:textId="7FE31159" w:rsidR="00CA3C5B" w:rsidRDefault="00260033" w:rsidP="00ED306F">
      <w:pPr>
        <w:pStyle w:val="Bullet"/>
      </w:pPr>
      <w:r>
        <w:t>supporting</w:t>
      </w:r>
      <w:r w:rsidR="00932420">
        <w:t xml:space="preserve"> </w:t>
      </w:r>
      <w:r>
        <w:t>the</w:t>
      </w:r>
      <w:r w:rsidR="00932420">
        <w:t xml:space="preserve"> </w:t>
      </w:r>
      <w:r>
        <w:t>Young</w:t>
      </w:r>
      <w:r w:rsidR="00932420">
        <w:t xml:space="preserve"> </w:t>
      </w:r>
      <w:r>
        <w:t>Tourism</w:t>
      </w:r>
      <w:r w:rsidR="00932420">
        <w:t xml:space="preserve"> </w:t>
      </w:r>
      <w:r>
        <w:t>Network</w:t>
      </w:r>
      <w:r w:rsidR="00932420">
        <w:t xml:space="preserve"> </w:t>
      </w:r>
      <w:r>
        <w:t>to</w:t>
      </w:r>
      <w:r w:rsidR="00932420">
        <w:t xml:space="preserve"> </w:t>
      </w:r>
      <w:r>
        <w:t>deliver</w:t>
      </w:r>
      <w:r w:rsidR="00932420">
        <w:t xml:space="preserve"> </w:t>
      </w:r>
      <w:r>
        <w:rPr>
          <w:spacing w:val="1"/>
        </w:rPr>
        <w:t>the</w:t>
      </w:r>
      <w:r w:rsidR="00932420">
        <w:rPr>
          <w:spacing w:val="1"/>
        </w:rPr>
        <w:t xml:space="preserve"> </w:t>
      </w:r>
      <w:r>
        <w:rPr>
          <w:spacing w:val="1"/>
        </w:rPr>
        <w:t>Young</w:t>
      </w:r>
      <w:r w:rsidR="00932420">
        <w:rPr>
          <w:spacing w:val="1"/>
        </w:rPr>
        <w:t xml:space="preserve"> </w:t>
      </w:r>
      <w:r>
        <w:rPr>
          <w:spacing w:val="1"/>
        </w:rPr>
        <w:t>People</w:t>
      </w:r>
      <w:r w:rsidR="00932420">
        <w:rPr>
          <w:spacing w:val="1"/>
        </w:rPr>
        <w:t xml:space="preserve"> </w:t>
      </w:r>
      <w:r>
        <w:rPr>
          <w:spacing w:val="1"/>
        </w:rPr>
        <w:t>in</w:t>
      </w:r>
      <w:r w:rsidR="00932420">
        <w:rPr>
          <w:spacing w:val="1"/>
        </w:rPr>
        <w:t xml:space="preserve"> </w:t>
      </w:r>
      <w:r>
        <w:rPr>
          <w:spacing w:val="1"/>
        </w:rPr>
        <w:t>Tourism</w:t>
      </w:r>
      <w:r w:rsidR="00932420">
        <w:rPr>
          <w:spacing w:val="1"/>
        </w:rPr>
        <w:t xml:space="preserve"> </w:t>
      </w:r>
      <w:r>
        <w:rPr>
          <w:spacing w:val="1"/>
        </w:rPr>
        <w:t>pilot</w:t>
      </w:r>
      <w:r w:rsidR="00932420">
        <w:rPr>
          <w:spacing w:val="1"/>
        </w:rPr>
        <w:t xml:space="preserve"> </w:t>
      </w:r>
      <w:r>
        <w:rPr>
          <w:spacing w:val="1"/>
        </w:rPr>
        <w:t>program,</w:t>
      </w:r>
      <w:r w:rsidR="00932420">
        <w:rPr>
          <w:spacing w:val="1"/>
        </w:rPr>
        <w:t xml:space="preserve"> </w:t>
      </w:r>
      <w:r>
        <w:t>a</w:t>
      </w:r>
      <w:r w:rsidR="00932420">
        <w:t xml:space="preserve"> </w:t>
      </w:r>
      <w:r>
        <w:t>professional</w:t>
      </w:r>
      <w:r w:rsidR="00932420">
        <w:t xml:space="preserve"> </w:t>
      </w:r>
      <w:r>
        <w:t>development</w:t>
      </w:r>
      <w:r w:rsidR="00932420">
        <w:t xml:space="preserve"> </w:t>
      </w:r>
      <w:r>
        <w:t>program</w:t>
      </w:r>
      <w:r w:rsidR="00932420">
        <w:t xml:space="preserve"> </w:t>
      </w:r>
      <w:r>
        <w:t>to</w:t>
      </w:r>
      <w:r w:rsidR="00932420">
        <w:t xml:space="preserve"> </w:t>
      </w:r>
      <w:r>
        <w:t>engage</w:t>
      </w:r>
      <w:r w:rsidR="00932420">
        <w:t xml:space="preserve"> </w:t>
      </w:r>
      <w:r>
        <w:t>and</w:t>
      </w:r>
      <w:r w:rsidR="00932420">
        <w:t xml:space="preserve"> </w:t>
      </w:r>
      <w:r>
        <w:t>attract</w:t>
      </w:r>
      <w:r w:rsidR="00932420">
        <w:t xml:space="preserve"> </w:t>
      </w:r>
      <w:r>
        <w:t>young</w:t>
      </w:r>
      <w:r w:rsidR="00932420">
        <w:t xml:space="preserve"> </w:t>
      </w:r>
      <w:r>
        <w:t>people</w:t>
      </w:r>
      <w:r w:rsidR="00932420">
        <w:t xml:space="preserve"> </w:t>
      </w:r>
      <w:r>
        <w:t>to</w:t>
      </w:r>
      <w:r w:rsidR="00932420">
        <w:t xml:space="preserve"> </w:t>
      </w:r>
      <w:r>
        <w:t>a</w:t>
      </w:r>
      <w:r w:rsidR="00932420">
        <w:t xml:space="preserve"> </w:t>
      </w:r>
      <w:r>
        <w:t>career</w:t>
      </w:r>
      <w:r w:rsidR="00932420">
        <w:t xml:space="preserve"> </w:t>
      </w:r>
      <w:r>
        <w:t>in</w:t>
      </w:r>
      <w:r w:rsidR="00932420">
        <w:t xml:space="preserve"> </w:t>
      </w:r>
      <w:r>
        <w:t>tourism.</w:t>
      </w:r>
    </w:p>
    <w:p w14:paraId="4DAA5415" w14:textId="3D854BFE" w:rsidR="00CA3C5B" w:rsidRDefault="00260033" w:rsidP="00ED306F">
      <w:pPr>
        <w:pStyle w:val="Bullet"/>
      </w:pPr>
      <w:r>
        <w:t>supporting</w:t>
      </w:r>
      <w:r w:rsidR="00932420">
        <w:t xml:space="preserve"> </w:t>
      </w:r>
      <w:r>
        <w:t>the</w:t>
      </w:r>
      <w:r w:rsidR="00932420">
        <w:t xml:space="preserve"> </w:t>
      </w:r>
      <w:r>
        <w:t>regional</w:t>
      </w:r>
      <w:r w:rsidR="00932420">
        <w:t xml:space="preserve"> </w:t>
      </w:r>
      <w:r>
        <w:t>tourism</w:t>
      </w:r>
      <w:r w:rsidR="00932420">
        <w:t xml:space="preserve"> </w:t>
      </w:r>
      <w:r>
        <w:t>network</w:t>
      </w:r>
      <w:r w:rsidR="00932420">
        <w:t xml:space="preserve"> </w:t>
      </w:r>
      <w:r>
        <w:t>to</w:t>
      </w:r>
      <w:r w:rsidR="00932420">
        <w:t xml:space="preserve"> </w:t>
      </w:r>
      <w:r>
        <w:t>develop</w:t>
      </w:r>
      <w:r w:rsidR="00932420">
        <w:t xml:space="preserve"> </w:t>
      </w:r>
      <w:r>
        <w:t>destination</w:t>
      </w:r>
      <w:r w:rsidR="00932420">
        <w:t xml:space="preserve"> </w:t>
      </w:r>
      <w:r>
        <w:t>management</w:t>
      </w:r>
      <w:r w:rsidR="00932420">
        <w:t xml:space="preserve"> </w:t>
      </w:r>
      <w:r>
        <w:t>plans,</w:t>
      </w:r>
      <w:r w:rsidR="00932420">
        <w:t xml:space="preserve"> </w:t>
      </w:r>
      <w:r>
        <w:t>local</w:t>
      </w:r>
      <w:r w:rsidR="00932420">
        <w:t xml:space="preserve"> </w:t>
      </w:r>
      <w:r>
        <w:t>area</w:t>
      </w:r>
      <w:r w:rsidR="00932420">
        <w:t xml:space="preserve"> </w:t>
      </w:r>
      <w:r>
        <w:t>action</w:t>
      </w:r>
      <w:r w:rsidR="00932420">
        <w:t xml:space="preserve"> </w:t>
      </w:r>
      <w:r>
        <w:t>plans,</w:t>
      </w:r>
      <w:r w:rsidR="00932420">
        <w:t xml:space="preserve"> </w:t>
      </w:r>
      <w:r>
        <w:t>regional</w:t>
      </w:r>
      <w:r w:rsidR="00932420">
        <w:t xml:space="preserve"> </w:t>
      </w:r>
      <w:r>
        <w:t>workforce</w:t>
      </w:r>
      <w:r w:rsidR="00932420">
        <w:t xml:space="preserve"> </w:t>
      </w:r>
      <w:r>
        <w:t>plans,</w:t>
      </w:r>
      <w:r w:rsidR="00932420">
        <w:t xml:space="preserve"> </w:t>
      </w:r>
      <w:r>
        <w:t>and</w:t>
      </w:r>
      <w:r w:rsidR="00932420">
        <w:t xml:space="preserve"> </w:t>
      </w:r>
      <w:r>
        <w:t>implement</w:t>
      </w:r>
      <w:r w:rsidR="00932420">
        <w:t xml:space="preserve"> </w:t>
      </w:r>
      <w:r>
        <w:t>a</w:t>
      </w:r>
      <w:r w:rsidR="00932420">
        <w:t xml:space="preserve"> </w:t>
      </w:r>
      <w:r>
        <w:t>suite</w:t>
      </w:r>
      <w:r w:rsidR="00932420">
        <w:t xml:space="preserve"> </w:t>
      </w:r>
      <w:r>
        <w:t>of</w:t>
      </w:r>
      <w:r w:rsidR="00932420">
        <w:t xml:space="preserve"> </w:t>
      </w:r>
      <w:r>
        <w:t>industry</w:t>
      </w:r>
      <w:r w:rsidR="00932420">
        <w:t xml:space="preserve"> </w:t>
      </w:r>
      <w:r>
        <w:t>development</w:t>
      </w:r>
      <w:r w:rsidR="00932420">
        <w:t xml:space="preserve"> </w:t>
      </w:r>
      <w:r>
        <w:t>and</w:t>
      </w:r>
      <w:r w:rsidR="00932420">
        <w:t xml:space="preserve"> </w:t>
      </w:r>
      <w:r>
        <w:t>workforce</w:t>
      </w:r>
      <w:r w:rsidR="00932420">
        <w:t xml:space="preserve"> </w:t>
      </w:r>
      <w:r>
        <w:t>initiatives</w:t>
      </w:r>
      <w:r w:rsidR="00932420">
        <w:t xml:space="preserve"> </w:t>
      </w:r>
      <w:r>
        <w:t>to</w:t>
      </w:r>
      <w:r w:rsidR="00932420">
        <w:t xml:space="preserve"> </w:t>
      </w:r>
      <w:r>
        <w:t>improve</w:t>
      </w:r>
      <w:r w:rsidR="00932420">
        <w:t xml:space="preserve"> </w:t>
      </w:r>
      <w:r>
        <w:t>the</w:t>
      </w:r>
      <w:r w:rsidR="00932420">
        <w:t xml:space="preserve"> </w:t>
      </w:r>
      <w:r>
        <w:t>capacity</w:t>
      </w:r>
      <w:r w:rsidR="00932420">
        <w:t xml:space="preserve"> </w:t>
      </w:r>
      <w:r>
        <w:t>and</w:t>
      </w:r>
      <w:r w:rsidR="00932420">
        <w:t xml:space="preserve"> </w:t>
      </w:r>
      <w:r>
        <w:t>capability</w:t>
      </w:r>
      <w:r w:rsidR="00932420">
        <w:t xml:space="preserve"> </w:t>
      </w:r>
      <w:r>
        <w:t>of</w:t>
      </w:r>
      <w:r w:rsidR="00932420">
        <w:t xml:space="preserve"> </w:t>
      </w:r>
      <w:r>
        <w:t>industry</w:t>
      </w:r>
      <w:r w:rsidR="00932420">
        <w:t xml:space="preserve"> </w:t>
      </w:r>
    </w:p>
    <w:p w14:paraId="1A687D07" w14:textId="11B2195E" w:rsidR="00CA3C5B" w:rsidRDefault="00260033" w:rsidP="00ED306F">
      <w:pPr>
        <w:pStyle w:val="Bulletlast"/>
      </w:pPr>
      <w:r>
        <w:t>supporting</w:t>
      </w:r>
      <w:r w:rsidR="00932420">
        <w:t xml:space="preserve"> </w:t>
      </w:r>
      <w:r>
        <w:t>2</w:t>
      </w:r>
      <w:r w:rsidR="00932420">
        <w:t xml:space="preserve"> </w:t>
      </w:r>
      <w:r>
        <w:t>registered</w:t>
      </w:r>
      <w:r w:rsidR="00932420">
        <w:t xml:space="preserve"> </w:t>
      </w:r>
      <w:r>
        <w:t>Aboriginal</w:t>
      </w:r>
      <w:r w:rsidR="00932420">
        <w:t xml:space="preserve"> </w:t>
      </w:r>
      <w:r>
        <w:t>parties</w:t>
      </w:r>
      <w:r w:rsidR="00932420">
        <w:t xml:space="preserve"> </w:t>
      </w:r>
      <w:r>
        <w:t>through</w:t>
      </w:r>
      <w:r w:rsidR="00932420">
        <w:t xml:space="preserve"> </w:t>
      </w:r>
      <w:r>
        <w:t>the</w:t>
      </w:r>
      <w:r w:rsidR="00932420">
        <w:t xml:space="preserve"> </w:t>
      </w:r>
      <w:r>
        <w:t>First</w:t>
      </w:r>
      <w:r w:rsidR="00932420">
        <w:t xml:space="preserve"> </w:t>
      </w:r>
      <w:r>
        <w:t>Peoples</w:t>
      </w:r>
      <w:r w:rsidR="00932420">
        <w:t xml:space="preserve"> </w:t>
      </w:r>
      <w:r>
        <w:t>Tourism</w:t>
      </w:r>
      <w:r w:rsidR="00932420">
        <w:t xml:space="preserve"> </w:t>
      </w:r>
      <w:r>
        <w:t>pilot</w:t>
      </w:r>
      <w:r w:rsidR="00932420">
        <w:t xml:space="preserve"> </w:t>
      </w:r>
      <w:r>
        <w:t>to</w:t>
      </w:r>
      <w:r w:rsidR="00932420">
        <w:t xml:space="preserve"> </w:t>
      </w:r>
      <w:r>
        <w:t>undertake</w:t>
      </w:r>
      <w:r w:rsidR="00932420">
        <w:t xml:space="preserve"> </w:t>
      </w:r>
      <w:r>
        <w:t>tourism</w:t>
      </w:r>
      <w:r w:rsidR="00932420">
        <w:t xml:space="preserve"> </w:t>
      </w:r>
      <w:r>
        <w:t>product</w:t>
      </w:r>
      <w:r w:rsidR="00932420">
        <w:t xml:space="preserve"> </w:t>
      </w:r>
      <w:r>
        <w:t>analysis</w:t>
      </w:r>
      <w:r w:rsidR="00932420">
        <w:t xml:space="preserve"> </w:t>
      </w:r>
      <w:r>
        <w:t>and</w:t>
      </w:r>
      <w:r w:rsidR="00932420">
        <w:t xml:space="preserve"> </w:t>
      </w:r>
      <w:r>
        <w:t>develop</w:t>
      </w:r>
      <w:r w:rsidR="00932420">
        <w:t xml:space="preserve"> </w:t>
      </w:r>
      <w:r>
        <w:t>self-determined</w:t>
      </w:r>
      <w:r w:rsidR="00932420">
        <w:t xml:space="preserve"> </w:t>
      </w:r>
      <w:r>
        <w:t>cultural</w:t>
      </w:r>
      <w:r w:rsidR="00932420">
        <w:t xml:space="preserve"> </w:t>
      </w:r>
      <w:r>
        <w:t>tourism</w:t>
      </w:r>
      <w:r w:rsidR="00932420">
        <w:t xml:space="preserve"> </w:t>
      </w:r>
      <w:r>
        <w:t>plans.</w:t>
      </w:r>
      <w:r w:rsidR="00932420">
        <w:t xml:space="preserve"> </w:t>
      </w:r>
    </w:p>
    <w:p w14:paraId="35912F63" w14:textId="349BFB46" w:rsidR="00CA3C5B" w:rsidRDefault="00260033" w:rsidP="00ED306F">
      <w:pPr>
        <w:pStyle w:val="Normalbeforebullets"/>
      </w:pPr>
      <w:r>
        <w:t>Examples</w:t>
      </w:r>
      <w:r w:rsidR="00932420">
        <w:t xml:space="preserve"> </w:t>
      </w:r>
      <w:r>
        <w:t>of</w:t>
      </w:r>
      <w:r w:rsidR="00932420">
        <w:t xml:space="preserve"> </w:t>
      </w:r>
      <w:r>
        <w:t>projects</w:t>
      </w:r>
      <w:r w:rsidR="00932420">
        <w:t xml:space="preserve"> </w:t>
      </w:r>
      <w:r>
        <w:t>supported</w:t>
      </w:r>
      <w:r w:rsidR="00932420">
        <w:t xml:space="preserve"> </w:t>
      </w:r>
      <w:r>
        <w:t>include:</w:t>
      </w:r>
      <w:r w:rsidR="00932420">
        <w:t xml:space="preserve"> </w:t>
      </w:r>
    </w:p>
    <w:p w14:paraId="1DD3CB7F" w14:textId="5756315D" w:rsidR="00CA3C5B" w:rsidRDefault="00260033" w:rsidP="00ED306F">
      <w:pPr>
        <w:pStyle w:val="Bullet"/>
      </w:pPr>
      <w:r>
        <w:t>the</w:t>
      </w:r>
      <w:r w:rsidR="00932420">
        <w:t xml:space="preserve"> </w:t>
      </w:r>
      <w:r>
        <w:t>Great</w:t>
      </w:r>
      <w:r w:rsidR="00932420">
        <w:t xml:space="preserve"> </w:t>
      </w:r>
      <w:r>
        <w:t>Ocean</w:t>
      </w:r>
      <w:r w:rsidR="00932420">
        <w:t xml:space="preserve"> </w:t>
      </w:r>
      <w:r>
        <w:t>Road</w:t>
      </w:r>
      <w:r w:rsidR="00932420">
        <w:t xml:space="preserve"> </w:t>
      </w:r>
      <w:r>
        <w:t>Regional</w:t>
      </w:r>
      <w:r w:rsidR="00932420">
        <w:t xml:space="preserve"> </w:t>
      </w:r>
      <w:r>
        <w:t>Tourism</w:t>
      </w:r>
      <w:r w:rsidR="00932420">
        <w:t xml:space="preserve"> </w:t>
      </w:r>
      <w:r>
        <w:t>Jobs</w:t>
      </w:r>
      <w:r w:rsidR="00932420">
        <w:t xml:space="preserve"> </w:t>
      </w:r>
      <w:r>
        <w:t>Bank</w:t>
      </w:r>
      <w:r w:rsidR="00932420">
        <w:t xml:space="preserve"> </w:t>
      </w:r>
      <w:r>
        <w:t>–</w:t>
      </w:r>
      <w:r w:rsidR="00932420">
        <w:t xml:space="preserve"> </w:t>
      </w:r>
      <w:r>
        <w:t>a</w:t>
      </w:r>
      <w:r w:rsidR="00932420">
        <w:t xml:space="preserve"> </w:t>
      </w:r>
      <w:r>
        <w:t>free</w:t>
      </w:r>
      <w:r w:rsidR="00932420">
        <w:t xml:space="preserve"> </w:t>
      </w:r>
      <w:r>
        <w:t>service</w:t>
      </w:r>
      <w:r w:rsidR="00932420">
        <w:t xml:space="preserve"> </w:t>
      </w:r>
      <w:r>
        <w:t>that</w:t>
      </w:r>
      <w:r w:rsidR="00932420">
        <w:t xml:space="preserve"> </w:t>
      </w:r>
      <w:r>
        <w:t>promotes</w:t>
      </w:r>
      <w:r w:rsidR="00932420">
        <w:t xml:space="preserve"> </w:t>
      </w:r>
      <w:r>
        <w:t>jobs</w:t>
      </w:r>
      <w:r w:rsidR="00932420">
        <w:t xml:space="preserve"> </w:t>
      </w:r>
      <w:r>
        <w:t>to</w:t>
      </w:r>
      <w:r w:rsidR="00932420">
        <w:t xml:space="preserve"> </w:t>
      </w:r>
      <w:r>
        <w:t>potential</w:t>
      </w:r>
      <w:r w:rsidR="00932420">
        <w:t xml:space="preserve"> </w:t>
      </w:r>
      <w:r>
        <w:t>job</w:t>
      </w:r>
      <w:r w:rsidR="00932420">
        <w:t xml:space="preserve"> </w:t>
      </w:r>
      <w:r>
        <w:t>seekers</w:t>
      </w:r>
      <w:r w:rsidR="00932420">
        <w:t xml:space="preserve"> </w:t>
      </w:r>
    </w:p>
    <w:p w14:paraId="61329B81" w14:textId="03869843" w:rsidR="00CA3C5B" w:rsidRDefault="00260033" w:rsidP="00ED306F">
      <w:pPr>
        <w:pStyle w:val="Bullet"/>
      </w:pPr>
      <w:r>
        <w:t>the</w:t>
      </w:r>
      <w:r w:rsidR="00932420">
        <w:t xml:space="preserve"> </w:t>
      </w:r>
      <w:r>
        <w:t>Grampians</w:t>
      </w:r>
      <w:r w:rsidR="00932420">
        <w:t xml:space="preserve"> </w:t>
      </w:r>
      <w:r>
        <w:t>Prime</w:t>
      </w:r>
      <w:r w:rsidR="00932420">
        <w:t xml:space="preserve"> </w:t>
      </w:r>
      <w:r>
        <w:t>Mentoring</w:t>
      </w:r>
      <w:r w:rsidR="00932420">
        <w:t xml:space="preserve"> </w:t>
      </w:r>
      <w:r>
        <w:t>program</w:t>
      </w:r>
      <w:r w:rsidR="00932420">
        <w:t xml:space="preserve"> </w:t>
      </w:r>
      <w:r>
        <w:t>–</w:t>
      </w:r>
      <w:r w:rsidR="00932420">
        <w:t xml:space="preserve"> </w:t>
      </w:r>
      <w:r>
        <w:t>providing</w:t>
      </w:r>
      <w:r w:rsidR="00932420">
        <w:t xml:space="preserve"> </w:t>
      </w:r>
      <w:r>
        <w:t>support</w:t>
      </w:r>
      <w:r w:rsidR="00932420">
        <w:t xml:space="preserve"> </w:t>
      </w:r>
      <w:r>
        <w:t>to</w:t>
      </w:r>
      <w:r w:rsidR="00932420">
        <w:t xml:space="preserve"> </w:t>
      </w:r>
      <w:r>
        <w:t>businesses</w:t>
      </w:r>
      <w:r w:rsidR="00932420">
        <w:t xml:space="preserve"> </w:t>
      </w:r>
      <w:r>
        <w:t>to</w:t>
      </w:r>
      <w:r w:rsidR="00932420">
        <w:t xml:space="preserve"> </w:t>
      </w:r>
      <w:r>
        <w:t>develop</w:t>
      </w:r>
      <w:r w:rsidR="00932420">
        <w:t xml:space="preserve"> </w:t>
      </w:r>
      <w:r>
        <w:t>refreshed</w:t>
      </w:r>
      <w:r w:rsidR="00932420">
        <w:t xml:space="preserve"> </w:t>
      </w:r>
      <w:r>
        <w:t>visitor</w:t>
      </w:r>
      <w:r w:rsidR="00932420">
        <w:t xml:space="preserve"> </w:t>
      </w:r>
      <w:r>
        <w:t>experiences</w:t>
      </w:r>
      <w:r w:rsidR="00932420">
        <w:t xml:space="preserve"> </w:t>
      </w:r>
      <w:r>
        <w:t>aligned</w:t>
      </w:r>
      <w:r w:rsidR="00932420">
        <w:t xml:space="preserve"> </w:t>
      </w:r>
      <w:r>
        <w:t>to</w:t>
      </w:r>
      <w:r w:rsidR="00932420">
        <w:t xml:space="preserve"> </w:t>
      </w:r>
      <w:r>
        <w:t>their</w:t>
      </w:r>
      <w:r w:rsidR="00932420">
        <w:t xml:space="preserve"> </w:t>
      </w:r>
      <w:r>
        <w:t>destination</w:t>
      </w:r>
      <w:r w:rsidR="00932420">
        <w:t xml:space="preserve"> </w:t>
      </w:r>
      <w:r>
        <w:t>management</w:t>
      </w:r>
      <w:r w:rsidR="00932420">
        <w:t xml:space="preserve"> </w:t>
      </w:r>
      <w:r>
        <w:t>and</w:t>
      </w:r>
      <w:r w:rsidR="00932420">
        <w:t xml:space="preserve"> </w:t>
      </w:r>
      <w:r>
        <w:t>marketing</w:t>
      </w:r>
      <w:r w:rsidR="00932420">
        <w:t xml:space="preserve"> </w:t>
      </w:r>
      <w:r>
        <w:t>strategies</w:t>
      </w:r>
      <w:r w:rsidR="00932420">
        <w:t xml:space="preserve"> </w:t>
      </w:r>
    </w:p>
    <w:p w14:paraId="6D8491EE" w14:textId="428B3463" w:rsidR="00CA3C5B" w:rsidRDefault="00260033" w:rsidP="00ED306F">
      <w:pPr>
        <w:pStyle w:val="Bulletlast"/>
      </w:pPr>
      <w:r>
        <w:t>a</w:t>
      </w:r>
      <w:r w:rsidR="00932420">
        <w:t xml:space="preserve"> </w:t>
      </w:r>
      <w:r>
        <w:t>campaign</w:t>
      </w:r>
      <w:r w:rsidR="00932420">
        <w:t xml:space="preserve"> </w:t>
      </w:r>
      <w:r>
        <w:t>to</w:t>
      </w:r>
      <w:r w:rsidR="00932420">
        <w:t xml:space="preserve"> </w:t>
      </w:r>
      <w:r>
        <w:t>raise</w:t>
      </w:r>
      <w:r w:rsidR="00932420">
        <w:t xml:space="preserve"> </w:t>
      </w:r>
      <w:r>
        <w:t>awareness</w:t>
      </w:r>
      <w:r w:rsidR="00932420">
        <w:t xml:space="preserve"> </w:t>
      </w:r>
      <w:r>
        <w:t>of</w:t>
      </w:r>
      <w:r w:rsidR="00932420">
        <w:t xml:space="preserve"> </w:t>
      </w:r>
      <w:r>
        <w:t>careers</w:t>
      </w:r>
      <w:r w:rsidR="00932420">
        <w:t xml:space="preserve"> </w:t>
      </w:r>
      <w:r>
        <w:t>in</w:t>
      </w:r>
      <w:r w:rsidR="00932420">
        <w:t xml:space="preserve"> </w:t>
      </w:r>
      <w:r>
        <w:t>tourism,</w:t>
      </w:r>
      <w:r w:rsidR="00932420">
        <w:t xml:space="preserve"> </w:t>
      </w:r>
      <w:r>
        <w:t>targeted</w:t>
      </w:r>
      <w:r w:rsidR="00932420">
        <w:t xml:space="preserve"> </w:t>
      </w:r>
      <w:r>
        <w:t>to</w:t>
      </w:r>
      <w:r w:rsidR="00932420">
        <w:t xml:space="preserve"> </w:t>
      </w:r>
      <w:r>
        <w:t>refugee</w:t>
      </w:r>
      <w:r w:rsidR="00932420">
        <w:t xml:space="preserve"> </w:t>
      </w:r>
      <w:r>
        <w:t>and</w:t>
      </w:r>
      <w:r w:rsidR="00932420">
        <w:t xml:space="preserve"> </w:t>
      </w:r>
      <w:r>
        <w:t>migrant</w:t>
      </w:r>
      <w:r w:rsidR="00932420">
        <w:t xml:space="preserve"> </w:t>
      </w:r>
      <w:r>
        <w:t>communities</w:t>
      </w:r>
      <w:r w:rsidR="00932420">
        <w:t xml:space="preserve"> </w:t>
      </w:r>
      <w:r>
        <w:t>–</w:t>
      </w:r>
      <w:r w:rsidR="00932420">
        <w:t xml:space="preserve"> </w:t>
      </w:r>
      <w:r>
        <w:t>delivered</w:t>
      </w:r>
      <w:r w:rsidR="00932420">
        <w:t xml:space="preserve"> </w:t>
      </w:r>
      <w:r>
        <w:t>by</w:t>
      </w:r>
      <w:r w:rsidR="00932420">
        <w:t xml:space="preserve"> </w:t>
      </w:r>
      <w:r>
        <w:t>Ballarat</w:t>
      </w:r>
      <w:r w:rsidR="00932420">
        <w:t xml:space="preserve"> </w:t>
      </w:r>
      <w:r>
        <w:t>Regional</w:t>
      </w:r>
      <w:r w:rsidR="00932420">
        <w:t xml:space="preserve"> </w:t>
      </w:r>
      <w:r>
        <w:t>Tourism</w:t>
      </w:r>
      <w:r w:rsidR="00932420">
        <w:t xml:space="preserve"> </w:t>
      </w:r>
      <w:r>
        <w:t>in</w:t>
      </w:r>
      <w:r w:rsidR="00932420">
        <w:t xml:space="preserve"> </w:t>
      </w:r>
      <w:r>
        <w:t>partnership</w:t>
      </w:r>
      <w:r w:rsidR="00932420">
        <w:t xml:space="preserve"> </w:t>
      </w:r>
      <w:r>
        <w:t>with</w:t>
      </w:r>
      <w:r w:rsidR="00932420">
        <w:t xml:space="preserve"> </w:t>
      </w:r>
      <w:r>
        <w:t>the</w:t>
      </w:r>
      <w:r w:rsidR="00932420">
        <w:t xml:space="preserve"> </w:t>
      </w:r>
      <w:r>
        <w:t>Ballarat</w:t>
      </w:r>
      <w:r w:rsidR="00932420">
        <w:t xml:space="preserve"> </w:t>
      </w:r>
      <w:r>
        <w:t>Regional</w:t>
      </w:r>
      <w:r w:rsidR="00932420">
        <w:t xml:space="preserve"> </w:t>
      </w:r>
      <w:r>
        <w:t>Multicultural</w:t>
      </w:r>
      <w:r w:rsidR="00932420">
        <w:t xml:space="preserve"> </w:t>
      </w:r>
      <w:r>
        <w:t>Council.</w:t>
      </w:r>
    </w:p>
    <w:p w14:paraId="11DF5126" w14:textId="6E8941A3" w:rsidR="00CA3C5B" w:rsidRDefault="00260033" w:rsidP="00ED306F">
      <w:pPr>
        <w:pStyle w:val="Heading2"/>
      </w:pPr>
      <w:bookmarkStart w:id="43" w:name="_Toc152067231"/>
      <w:r>
        <w:lastRenderedPageBreak/>
        <w:t>Indicator:</w:t>
      </w:r>
      <w:r w:rsidR="00932420">
        <w:t xml:space="preserve"> </w:t>
      </w:r>
      <w:r>
        <w:t>Tourists</w:t>
      </w:r>
      <w:r w:rsidR="00932420">
        <w:t xml:space="preserve"> </w:t>
      </w:r>
      <w:r>
        <w:t>attracted</w:t>
      </w:r>
      <w:r w:rsidR="00932420">
        <w:t xml:space="preserve"> </w:t>
      </w:r>
      <w:r>
        <w:t>to</w:t>
      </w:r>
      <w:r w:rsidR="00932420">
        <w:t xml:space="preserve"> </w:t>
      </w:r>
      <w:r>
        <w:t>Victoria</w:t>
      </w:r>
      <w:bookmarkEnd w:id="43"/>
    </w:p>
    <w:p w14:paraId="3F38D1AE" w14:textId="492EE6AD" w:rsidR="00CA3C5B" w:rsidRDefault="00260033" w:rsidP="00ED306F">
      <w:pPr>
        <w:pStyle w:val="TableHeading"/>
      </w:pPr>
      <w:r>
        <w:t>Table</w:t>
      </w:r>
      <w:r w:rsidR="00932420">
        <w:t xml:space="preserve"> </w:t>
      </w:r>
      <w:r>
        <w:t>20:</w:t>
      </w:r>
      <w:r w:rsidR="00932420">
        <w:t xml:space="preserve"> </w:t>
      </w:r>
      <w:r>
        <w:t>Tourists</w:t>
      </w:r>
      <w:r w:rsidR="00932420">
        <w:t xml:space="preserve"> </w:t>
      </w:r>
      <w:r>
        <w:t>attracted</w:t>
      </w:r>
      <w:r w:rsidR="00932420">
        <w:t xml:space="preserve"> </w:t>
      </w:r>
      <w:r>
        <w:t>to</w:t>
      </w:r>
      <w:r w:rsidR="00932420">
        <w:t xml:space="preserve"> </w:t>
      </w:r>
      <w:r>
        <w:t>Victoria</w:t>
      </w:r>
    </w:p>
    <w:tbl>
      <w:tblPr>
        <w:tblStyle w:val="TableGrid"/>
        <w:tblW w:w="9638" w:type="dxa"/>
        <w:tblLayout w:type="fixed"/>
        <w:tblLook w:val="0020" w:firstRow="1" w:lastRow="0" w:firstColumn="0" w:lastColumn="0" w:noHBand="0" w:noVBand="0"/>
      </w:tblPr>
      <w:tblGrid>
        <w:gridCol w:w="5102"/>
        <w:gridCol w:w="1134"/>
        <w:gridCol w:w="1134"/>
        <w:gridCol w:w="1134"/>
        <w:gridCol w:w="1134"/>
      </w:tblGrid>
      <w:tr w:rsidR="00CA3C5B" w14:paraId="086D0C7A" w14:textId="77777777" w:rsidTr="00ED306F">
        <w:trPr>
          <w:cantSplit/>
        </w:trPr>
        <w:tc>
          <w:tcPr>
            <w:tcW w:w="5102" w:type="dxa"/>
          </w:tcPr>
          <w:p w14:paraId="01D0E6DE" w14:textId="0599B681" w:rsidR="00CA3C5B" w:rsidRDefault="00260033" w:rsidP="00ED306F">
            <w:pPr>
              <w:pStyle w:val="TableColumnHeading"/>
            </w:pPr>
            <w:bookmarkStart w:id="44" w:name="ColumnTitle_21"/>
            <w:bookmarkEnd w:id="44"/>
            <w:r>
              <w:t>Measure*</w:t>
            </w:r>
            <w:r w:rsidR="00932420">
              <w:t xml:space="preserve"> </w:t>
            </w:r>
            <w:r>
              <w:t>(unit</w:t>
            </w:r>
            <w:r w:rsidR="00932420">
              <w:t xml:space="preserve"> </w:t>
            </w:r>
            <w:r>
              <w:t>of</w:t>
            </w:r>
            <w:r w:rsidR="00932420">
              <w:t xml:space="preserve"> </w:t>
            </w:r>
            <w:r>
              <w:t>measure)</w:t>
            </w:r>
          </w:p>
        </w:tc>
        <w:tc>
          <w:tcPr>
            <w:tcW w:w="1134" w:type="dxa"/>
          </w:tcPr>
          <w:p w14:paraId="46358048" w14:textId="77777777" w:rsidR="00CA3C5B" w:rsidRDefault="00260033" w:rsidP="00ED306F">
            <w:pPr>
              <w:pStyle w:val="TableColumnHeading"/>
              <w:jc w:val="right"/>
            </w:pPr>
            <w:r>
              <w:t>2019–20</w:t>
            </w:r>
          </w:p>
        </w:tc>
        <w:tc>
          <w:tcPr>
            <w:tcW w:w="1134" w:type="dxa"/>
          </w:tcPr>
          <w:p w14:paraId="0D871564" w14:textId="77777777" w:rsidR="00CA3C5B" w:rsidRDefault="00260033" w:rsidP="00ED306F">
            <w:pPr>
              <w:pStyle w:val="TableColumnHeading"/>
              <w:jc w:val="right"/>
            </w:pPr>
            <w:r>
              <w:t>2020–21</w:t>
            </w:r>
          </w:p>
        </w:tc>
        <w:tc>
          <w:tcPr>
            <w:tcW w:w="1134" w:type="dxa"/>
          </w:tcPr>
          <w:p w14:paraId="124C4F88" w14:textId="77777777" w:rsidR="00CA3C5B" w:rsidRDefault="00260033" w:rsidP="00ED306F">
            <w:pPr>
              <w:pStyle w:val="TableColumnHeading"/>
              <w:jc w:val="right"/>
            </w:pPr>
            <w:r>
              <w:t>2021–22</w:t>
            </w:r>
          </w:p>
        </w:tc>
        <w:tc>
          <w:tcPr>
            <w:tcW w:w="1134" w:type="dxa"/>
          </w:tcPr>
          <w:p w14:paraId="1493E2B6" w14:textId="77777777" w:rsidR="00CA3C5B" w:rsidRDefault="00260033" w:rsidP="00ED306F">
            <w:pPr>
              <w:pStyle w:val="TableColumnHeading"/>
              <w:jc w:val="right"/>
            </w:pPr>
            <w:r>
              <w:rPr>
                <w:lang w:val="en-US"/>
              </w:rPr>
              <w:t>2022–23</w:t>
            </w:r>
          </w:p>
        </w:tc>
      </w:tr>
      <w:tr w:rsidR="00CA3C5B" w14:paraId="3FAA237E" w14:textId="77777777" w:rsidTr="00ED306F">
        <w:trPr>
          <w:cantSplit/>
        </w:trPr>
        <w:tc>
          <w:tcPr>
            <w:tcW w:w="5102" w:type="dxa"/>
          </w:tcPr>
          <w:p w14:paraId="5A846C2D" w14:textId="7E9CE989" w:rsidR="00CA3C5B" w:rsidRDefault="00260033" w:rsidP="00ED306F">
            <w:pPr>
              <w:pStyle w:val="TableCopy"/>
            </w:pPr>
            <w:r>
              <w:t>Number</w:t>
            </w:r>
            <w:r w:rsidR="00932420">
              <w:t xml:space="preserve"> </w:t>
            </w:r>
            <w:r>
              <w:t>of</w:t>
            </w:r>
            <w:r w:rsidR="00932420">
              <w:t xml:space="preserve"> </w:t>
            </w:r>
            <w:r>
              <w:t>domestic</w:t>
            </w:r>
            <w:r w:rsidR="00932420">
              <w:t xml:space="preserve"> </w:t>
            </w:r>
            <w:r>
              <w:t>overnight</w:t>
            </w:r>
            <w:r w:rsidR="00932420">
              <w:t xml:space="preserve"> </w:t>
            </w:r>
            <w:r>
              <w:t>visitors</w:t>
            </w:r>
            <w:r w:rsidR="00932420">
              <w:t xml:space="preserve"> </w:t>
            </w:r>
            <w:r>
              <w:t>(number</w:t>
            </w:r>
            <w:r w:rsidR="00932420">
              <w:t xml:space="preserve"> </w:t>
            </w:r>
            <w:r>
              <w:t>(million))</w:t>
            </w:r>
          </w:p>
        </w:tc>
        <w:tc>
          <w:tcPr>
            <w:tcW w:w="1134" w:type="dxa"/>
          </w:tcPr>
          <w:p w14:paraId="2536DB9B" w14:textId="77777777" w:rsidR="00CA3C5B" w:rsidRDefault="00260033" w:rsidP="00ED306F">
            <w:pPr>
              <w:pStyle w:val="TableCopy"/>
              <w:jc w:val="right"/>
            </w:pPr>
            <w:r>
              <w:t>28.3</w:t>
            </w:r>
          </w:p>
        </w:tc>
        <w:tc>
          <w:tcPr>
            <w:tcW w:w="1134" w:type="dxa"/>
          </w:tcPr>
          <w:p w14:paraId="44939A4E" w14:textId="77777777" w:rsidR="00CA3C5B" w:rsidRDefault="00260033" w:rsidP="00ED306F">
            <w:pPr>
              <w:pStyle w:val="TableCopy"/>
              <w:jc w:val="right"/>
            </w:pPr>
            <w:r>
              <w:t>13.4</w:t>
            </w:r>
          </w:p>
        </w:tc>
        <w:tc>
          <w:tcPr>
            <w:tcW w:w="1134" w:type="dxa"/>
          </w:tcPr>
          <w:p w14:paraId="6D9389BC" w14:textId="77777777" w:rsidR="00CA3C5B" w:rsidRDefault="00260033" w:rsidP="00ED306F">
            <w:pPr>
              <w:pStyle w:val="TableCopy"/>
              <w:jc w:val="right"/>
            </w:pPr>
            <w:r>
              <w:t>18.2</w:t>
            </w:r>
          </w:p>
        </w:tc>
        <w:tc>
          <w:tcPr>
            <w:tcW w:w="1134" w:type="dxa"/>
          </w:tcPr>
          <w:p w14:paraId="5017E49C" w14:textId="77777777" w:rsidR="00CA3C5B" w:rsidRDefault="00260033" w:rsidP="00ED306F">
            <w:pPr>
              <w:pStyle w:val="TableCopy"/>
              <w:jc w:val="right"/>
            </w:pPr>
            <w:r>
              <w:t>27.5</w:t>
            </w:r>
          </w:p>
        </w:tc>
      </w:tr>
      <w:tr w:rsidR="00CA3C5B" w14:paraId="1F465E7E" w14:textId="77777777" w:rsidTr="00ED306F">
        <w:trPr>
          <w:cantSplit/>
        </w:trPr>
        <w:tc>
          <w:tcPr>
            <w:tcW w:w="5102" w:type="dxa"/>
          </w:tcPr>
          <w:p w14:paraId="7D20650C" w14:textId="64B82793" w:rsidR="00CA3C5B" w:rsidRDefault="00260033" w:rsidP="00ED306F">
            <w:pPr>
              <w:pStyle w:val="TableCopy"/>
            </w:pPr>
            <w:r>
              <w:t>Number</w:t>
            </w:r>
            <w:r w:rsidR="00932420">
              <w:t xml:space="preserve"> </w:t>
            </w:r>
            <w:r>
              <w:t>of</w:t>
            </w:r>
            <w:r w:rsidR="00932420">
              <w:t xml:space="preserve"> </w:t>
            </w:r>
            <w:r>
              <w:t>international</w:t>
            </w:r>
            <w:r w:rsidR="00932420">
              <w:t xml:space="preserve"> </w:t>
            </w:r>
            <w:r>
              <w:t>visitors</w:t>
            </w:r>
            <w:r w:rsidR="00932420">
              <w:t xml:space="preserve"> </w:t>
            </w:r>
            <w:r>
              <w:t>(number</w:t>
            </w:r>
            <w:r w:rsidR="00932420">
              <w:t xml:space="preserve"> </w:t>
            </w:r>
            <w:r>
              <w:t>(million))</w:t>
            </w:r>
          </w:p>
        </w:tc>
        <w:tc>
          <w:tcPr>
            <w:tcW w:w="1134" w:type="dxa"/>
          </w:tcPr>
          <w:p w14:paraId="5ED17A1D" w14:textId="77777777" w:rsidR="00CA3C5B" w:rsidRDefault="00260033" w:rsidP="00ED306F">
            <w:pPr>
              <w:pStyle w:val="TableCopy"/>
              <w:jc w:val="right"/>
            </w:pPr>
            <w:r>
              <w:t>2.8</w:t>
            </w:r>
          </w:p>
        </w:tc>
        <w:tc>
          <w:tcPr>
            <w:tcW w:w="1134" w:type="dxa"/>
          </w:tcPr>
          <w:p w14:paraId="25469503" w14:textId="77777777" w:rsidR="00CA3C5B" w:rsidRDefault="00260033" w:rsidP="00ED306F">
            <w:pPr>
              <w:pStyle w:val="TableCopy"/>
              <w:jc w:val="right"/>
            </w:pPr>
            <w:r>
              <w:t>0.01</w:t>
            </w:r>
          </w:p>
        </w:tc>
        <w:tc>
          <w:tcPr>
            <w:tcW w:w="1134" w:type="dxa"/>
          </w:tcPr>
          <w:p w14:paraId="1FCF4BD7" w14:textId="77777777" w:rsidR="00CA3C5B" w:rsidRDefault="00260033" w:rsidP="00ED306F">
            <w:pPr>
              <w:pStyle w:val="TableCopy"/>
              <w:jc w:val="right"/>
            </w:pPr>
            <w:r>
              <w:t>0.16</w:t>
            </w:r>
          </w:p>
        </w:tc>
        <w:tc>
          <w:tcPr>
            <w:tcW w:w="1134" w:type="dxa"/>
          </w:tcPr>
          <w:p w14:paraId="6E9D2FF9" w14:textId="77777777" w:rsidR="00CA3C5B" w:rsidRDefault="00260033" w:rsidP="00ED306F">
            <w:pPr>
              <w:pStyle w:val="TableCopy"/>
              <w:jc w:val="right"/>
            </w:pPr>
            <w:r>
              <w:t>1.4</w:t>
            </w:r>
          </w:p>
        </w:tc>
      </w:tr>
      <w:tr w:rsidR="00CA3C5B" w14:paraId="41ADCEE8" w14:textId="77777777" w:rsidTr="00ED306F">
        <w:trPr>
          <w:cantSplit/>
        </w:trPr>
        <w:tc>
          <w:tcPr>
            <w:tcW w:w="5102" w:type="dxa"/>
          </w:tcPr>
          <w:p w14:paraId="69A3C523" w14:textId="07D32785" w:rsidR="00CA3C5B" w:rsidRDefault="00260033" w:rsidP="00ED306F">
            <w:pPr>
              <w:pStyle w:val="TableCopy"/>
            </w:pPr>
            <w:r>
              <w:t>Visitor</w:t>
            </w:r>
            <w:r w:rsidR="00932420">
              <w:t xml:space="preserve"> </w:t>
            </w:r>
            <w:r>
              <w:t>expenditure:</w:t>
            </w:r>
            <w:r w:rsidR="00932420">
              <w:t xml:space="preserve"> </w:t>
            </w:r>
            <w:r>
              <w:t>domestic</w:t>
            </w:r>
            <w:r w:rsidR="00932420">
              <w:t xml:space="preserve"> </w:t>
            </w:r>
            <w:r>
              <w:t>($</w:t>
            </w:r>
            <w:r w:rsidR="00932420">
              <w:t xml:space="preserve"> </w:t>
            </w:r>
            <w:r>
              <w:t>billion)</w:t>
            </w:r>
          </w:p>
        </w:tc>
        <w:tc>
          <w:tcPr>
            <w:tcW w:w="1134" w:type="dxa"/>
          </w:tcPr>
          <w:p w14:paraId="4ACEC6DA" w14:textId="77777777" w:rsidR="00CA3C5B" w:rsidRDefault="00260033" w:rsidP="00ED306F">
            <w:pPr>
              <w:pStyle w:val="TableCopy"/>
              <w:jc w:val="right"/>
            </w:pPr>
            <w:r>
              <w:t>23.2</w:t>
            </w:r>
          </w:p>
        </w:tc>
        <w:tc>
          <w:tcPr>
            <w:tcW w:w="1134" w:type="dxa"/>
          </w:tcPr>
          <w:p w14:paraId="79AF6BB0" w14:textId="77777777" w:rsidR="00CA3C5B" w:rsidRDefault="00260033" w:rsidP="00ED306F">
            <w:pPr>
              <w:pStyle w:val="TableCopy"/>
              <w:jc w:val="right"/>
            </w:pPr>
            <w:r>
              <w:t>9.7</w:t>
            </w:r>
          </w:p>
        </w:tc>
        <w:tc>
          <w:tcPr>
            <w:tcW w:w="1134" w:type="dxa"/>
          </w:tcPr>
          <w:p w14:paraId="59C33E9D" w14:textId="77777777" w:rsidR="00CA3C5B" w:rsidRDefault="00260033" w:rsidP="00ED306F">
            <w:pPr>
              <w:pStyle w:val="TableCopy"/>
              <w:jc w:val="right"/>
            </w:pPr>
            <w:r>
              <w:t>15.4</w:t>
            </w:r>
          </w:p>
        </w:tc>
        <w:tc>
          <w:tcPr>
            <w:tcW w:w="1134" w:type="dxa"/>
          </w:tcPr>
          <w:p w14:paraId="3245FAA8" w14:textId="77777777" w:rsidR="00CA3C5B" w:rsidRDefault="00260033" w:rsidP="00ED306F">
            <w:pPr>
              <w:pStyle w:val="TableCopy"/>
              <w:jc w:val="right"/>
            </w:pPr>
            <w:r>
              <w:t>30.8</w:t>
            </w:r>
          </w:p>
        </w:tc>
      </w:tr>
      <w:tr w:rsidR="00CA3C5B" w14:paraId="441B5139" w14:textId="77777777" w:rsidTr="00ED306F">
        <w:trPr>
          <w:cantSplit/>
        </w:trPr>
        <w:tc>
          <w:tcPr>
            <w:tcW w:w="5102" w:type="dxa"/>
          </w:tcPr>
          <w:p w14:paraId="43E765E2" w14:textId="4A9FC91F" w:rsidR="00CA3C5B" w:rsidRDefault="00260033" w:rsidP="00ED306F">
            <w:pPr>
              <w:pStyle w:val="TableCopy"/>
            </w:pPr>
            <w:r>
              <w:t>Visitor</w:t>
            </w:r>
            <w:r w:rsidR="00932420">
              <w:t xml:space="preserve"> </w:t>
            </w:r>
            <w:r>
              <w:t>expenditure:</w:t>
            </w:r>
            <w:r w:rsidR="00932420">
              <w:t xml:space="preserve"> </w:t>
            </w:r>
            <w:r>
              <w:t>international</w:t>
            </w:r>
            <w:r w:rsidR="00932420">
              <w:t xml:space="preserve"> </w:t>
            </w:r>
            <w:r>
              <w:t>($</w:t>
            </w:r>
            <w:r w:rsidR="00932420">
              <w:t xml:space="preserve"> </w:t>
            </w:r>
            <w:r>
              <w:t>billion)</w:t>
            </w:r>
          </w:p>
        </w:tc>
        <w:tc>
          <w:tcPr>
            <w:tcW w:w="1134" w:type="dxa"/>
          </w:tcPr>
          <w:p w14:paraId="1F3C7382" w14:textId="77777777" w:rsidR="00CA3C5B" w:rsidRDefault="00260033" w:rsidP="00ED306F">
            <w:pPr>
              <w:pStyle w:val="TableCopy"/>
              <w:jc w:val="right"/>
            </w:pPr>
            <w:r>
              <w:t>8.1</w:t>
            </w:r>
          </w:p>
        </w:tc>
        <w:tc>
          <w:tcPr>
            <w:tcW w:w="1134" w:type="dxa"/>
          </w:tcPr>
          <w:p w14:paraId="6D2804FC" w14:textId="77777777" w:rsidR="00CA3C5B" w:rsidRDefault="00260033" w:rsidP="00ED306F">
            <w:pPr>
              <w:pStyle w:val="TableCopy"/>
              <w:jc w:val="right"/>
            </w:pPr>
            <w:r>
              <w:t>0.08</w:t>
            </w:r>
          </w:p>
        </w:tc>
        <w:tc>
          <w:tcPr>
            <w:tcW w:w="1134" w:type="dxa"/>
          </w:tcPr>
          <w:p w14:paraId="335431AE" w14:textId="77777777" w:rsidR="00CA3C5B" w:rsidRDefault="00260033" w:rsidP="00ED306F">
            <w:pPr>
              <w:pStyle w:val="TableCopy"/>
              <w:jc w:val="right"/>
            </w:pPr>
            <w:r>
              <w:t>1.1</w:t>
            </w:r>
          </w:p>
        </w:tc>
        <w:tc>
          <w:tcPr>
            <w:tcW w:w="1134" w:type="dxa"/>
          </w:tcPr>
          <w:p w14:paraId="4002BD0C" w14:textId="77777777" w:rsidR="00CA3C5B" w:rsidRDefault="00260033" w:rsidP="00ED306F">
            <w:pPr>
              <w:pStyle w:val="TableCopy"/>
              <w:jc w:val="right"/>
            </w:pPr>
            <w:r>
              <w:t>4.2</w:t>
            </w:r>
          </w:p>
        </w:tc>
      </w:tr>
      <w:tr w:rsidR="00CA3C5B" w14:paraId="47867865" w14:textId="77777777" w:rsidTr="00ED306F">
        <w:trPr>
          <w:cantSplit/>
        </w:trPr>
        <w:tc>
          <w:tcPr>
            <w:tcW w:w="5102" w:type="dxa"/>
          </w:tcPr>
          <w:p w14:paraId="6707C5B5" w14:textId="6EF37FC1" w:rsidR="00CA3C5B" w:rsidRDefault="00260033" w:rsidP="00ED306F">
            <w:pPr>
              <w:pStyle w:val="TableCopy"/>
            </w:pPr>
            <w:r>
              <w:t>Visitor</w:t>
            </w:r>
            <w:r w:rsidR="00932420">
              <w:t xml:space="preserve"> </w:t>
            </w:r>
            <w:r>
              <w:t>expenditure:</w:t>
            </w:r>
            <w:r w:rsidR="00932420">
              <w:t xml:space="preserve"> </w:t>
            </w:r>
            <w:r>
              <w:t>regional</w:t>
            </w:r>
            <w:r w:rsidR="00932420">
              <w:t xml:space="preserve"> </w:t>
            </w:r>
            <w:r>
              <w:t>Victoria</w:t>
            </w:r>
            <w:r w:rsidR="00932420">
              <w:t xml:space="preserve"> </w:t>
            </w:r>
            <w:r>
              <w:t>(domestic)</w:t>
            </w:r>
            <w:r w:rsidR="00932420">
              <w:t xml:space="preserve"> </w:t>
            </w:r>
            <w:r>
              <w:t>($</w:t>
            </w:r>
            <w:r w:rsidR="00932420">
              <w:t xml:space="preserve"> </w:t>
            </w:r>
            <w:r>
              <w:t>billion)</w:t>
            </w:r>
          </w:p>
        </w:tc>
        <w:tc>
          <w:tcPr>
            <w:tcW w:w="1134" w:type="dxa"/>
          </w:tcPr>
          <w:p w14:paraId="30388DF7" w14:textId="77777777" w:rsidR="00CA3C5B" w:rsidRDefault="00260033" w:rsidP="00ED306F">
            <w:pPr>
              <w:pStyle w:val="TableCopy"/>
              <w:jc w:val="right"/>
            </w:pPr>
            <w:r>
              <w:t>11.3</w:t>
            </w:r>
          </w:p>
        </w:tc>
        <w:tc>
          <w:tcPr>
            <w:tcW w:w="1134" w:type="dxa"/>
          </w:tcPr>
          <w:p w14:paraId="04AB1513" w14:textId="77777777" w:rsidR="00CA3C5B" w:rsidRDefault="00260033" w:rsidP="00ED306F">
            <w:pPr>
              <w:pStyle w:val="TableCopy"/>
              <w:jc w:val="right"/>
            </w:pPr>
            <w:r>
              <w:t>7.0</w:t>
            </w:r>
          </w:p>
        </w:tc>
        <w:tc>
          <w:tcPr>
            <w:tcW w:w="1134" w:type="dxa"/>
          </w:tcPr>
          <w:p w14:paraId="3254334C" w14:textId="77777777" w:rsidR="00CA3C5B" w:rsidRDefault="00260033" w:rsidP="00ED306F">
            <w:pPr>
              <w:pStyle w:val="TableCopy"/>
              <w:jc w:val="right"/>
            </w:pPr>
            <w:r>
              <w:t>9.9</w:t>
            </w:r>
          </w:p>
        </w:tc>
        <w:tc>
          <w:tcPr>
            <w:tcW w:w="1134" w:type="dxa"/>
          </w:tcPr>
          <w:p w14:paraId="6340C9B1" w14:textId="77777777" w:rsidR="00CA3C5B" w:rsidRDefault="00260033" w:rsidP="00ED306F">
            <w:pPr>
              <w:pStyle w:val="TableCopy"/>
              <w:jc w:val="right"/>
            </w:pPr>
            <w:r>
              <w:t>16.4</w:t>
            </w:r>
          </w:p>
        </w:tc>
      </w:tr>
      <w:tr w:rsidR="00CA3C5B" w14:paraId="25A91075" w14:textId="77777777" w:rsidTr="00ED306F">
        <w:trPr>
          <w:cantSplit/>
        </w:trPr>
        <w:tc>
          <w:tcPr>
            <w:tcW w:w="5102" w:type="dxa"/>
          </w:tcPr>
          <w:p w14:paraId="0CC5A684" w14:textId="0E78F29F" w:rsidR="00CA3C5B" w:rsidRDefault="00260033" w:rsidP="00ED306F">
            <w:pPr>
              <w:pStyle w:val="TableCopy"/>
            </w:pPr>
            <w:r>
              <w:t>Visitor</w:t>
            </w:r>
            <w:r w:rsidR="00932420">
              <w:t xml:space="preserve"> </w:t>
            </w:r>
            <w:r>
              <w:t>expenditure:</w:t>
            </w:r>
            <w:r w:rsidR="00932420">
              <w:t xml:space="preserve"> </w:t>
            </w:r>
            <w:r>
              <w:t>regional</w:t>
            </w:r>
            <w:r w:rsidR="00932420">
              <w:t xml:space="preserve"> </w:t>
            </w:r>
            <w:r>
              <w:t>Victoria</w:t>
            </w:r>
            <w:r w:rsidR="00932420">
              <w:t xml:space="preserve"> </w:t>
            </w:r>
            <w:r>
              <w:t>(international)</w:t>
            </w:r>
            <w:r w:rsidR="00932420">
              <w:t xml:space="preserve"> </w:t>
            </w:r>
            <w:r>
              <w:t>($</w:t>
            </w:r>
            <w:r w:rsidR="00932420">
              <w:t xml:space="preserve"> </w:t>
            </w:r>
            <w:r>
              <w:t>million)</w:t>
            </w:r>
          </w:p>
        </w:tc>
        <w:tc>
          <w:tcPr>
            <w:tcW w:w="1134" w:type="dxa"/>
          </w:tcPr>
          <w:p w14:paraId="1591D80B" w14:textId="77777777" w:rsidR="00CA3C5B" w:rsidRDefault="00260033" w:rsidP="00ED306F">
            <w:pPr>
              <w:pStyle w:val="TableCopy"/>
              <w:jc w:val="right"/>
            </w:pPr>
            <w:r>
              <w:t>538</w:t>
            </w:r>
          </w:p>
        </w:tc>
        <w:tc>
          <w:tcPr>
            <w:tcW w:w="1134" w:type="dxa"/>
          </w:tcPr>
          <w:p w14:paraId="1719D96B" w14:textId="77777777" w:rsidR="00CA3C5B" w:rsidRDefault="00260033" w:rsidP="00ED306F">
            <w:pPr>
              <w:pStyle w:val="TableCopy"/>
              <w:jc w:val="right"/>
            </w:pPr>
            <w:r>
              <w:t>n/a**</w:t>
            </w:r>
          </w:p>
        </w:tc>
        <w:tc>
          <w:tcPr>
            <w:tcW w:w="1134" w:type="dxa"/>
          </w:tcPr>
          <w:p w14:paraId="55B692EB" w14:textId="77777777" w:rsidR="00CA3C5B" w:rsidRDefault="00260033" w:rsidP="00ED306F">
            <w:pPr>
              <w:pStyle w:val="TableCopy"/>
              <w:jc w:val="right"/>
            </w:pPr>
            <w:r>
              <w:t>n/a**</w:t>
            </w:r>
          </w:p>
        </w:tc>
        <w:tc>
          <w:tcPr>
            <w:tcW w:w="1134" w:type="dxa"/>
          </w:tcPr>
          <w:p w14:paraId="582F3249" w14:textId="77777777" w:rsidR="00CA3C5B" w:rsidRDefault="00260033" w:rsidP="00ED306F">
            <w:pPr>
              <w:pStyle w:val="TableCopy"/>
              <w:jc w:val="right"/>
            </w:pPr>
            <w:r>
              <w:rPr>
                <w:lang w:val="en-US"/>
              </w:rPr>
              <w:t>n/a**</w:t>
            </w:r>
          </w:p>
        </w:tc>
      </w:tr>
    </w:tbl>
    <w:p w14:paraId="77B36A08" w14:textId="59151F3F" w:rsidR="00ED306F" w:rsidRDefault="00ED306F" w:rsidP="00ED306F">
      <w:pPr>
        <w:pStyle w:val="FootnoteText"/>
        <w:spacing w:before="120"/>
      </w:pPr>
      <w:r>
        <w:t xml:space="preserve">* All figures are for the year ending March from the National Visitor Survey and International Visitor Survey (published by Tourism Research Australia). </w:t>
      </w:r>
    </w:p>
    <w:p w14:paraId="68B04D2E" w14:textId="1A5C9359" w:rsidR="00CA3C5B" w:rsidRDefault="00ED306F" w:rsidP="00ED306F">
      <w:pPr>
        <w:pStyle w:val="FootnoteText"/>
        <w:spacing w:after="280"/>
      </w:pPr>
      <w:r>
        <w:t xml:space="preserve">** International visitor data is currently limited to state-wide results. Survey interviews are progressively </w:t>
      </w:r>
      <w:proofErr w:type="gramStart"/>
      <w:r>
        <w:t>returning</w:t>
      </w:r>
      <w:proofErr w:type="gramEnd"/>
      <w:r>
        <w:t xml:space="preserve"> and regional metrics will be available later in 2023–24.</w:t>
      </w:r>
    </w:p>
    <w:p w14:paraId="2F0F1F27" w14:textId="32A9B7FC" w:rsidR="00CA3C5B" w:rsidRDefault="00260033" w:rsidP="00ED306F">
      <w:pPr>
        <w:pStyle w:val="FigureHeading"/>
      </w:pPr>
      <w:r>
        <w:t>Figure</w:t>
      </w:r>
      <w:r w:rsidR="00932420">
        <w:t xml:space="preserve"> </w:t>
      </w:r>
      <w:r>
        <w:t>19:</w:t>
      </w:r>
      <w:r w:rsidR="00932420">
        <w:t xml:space="preserve"> </w:t>
      </w:r>
      <w:r>
        <w:t>Number</w:t>
      </w:r>
      <w:r w:rsidR="00932420">
        <w:t xml:space="preserve"> </w:t>
      </w:r>
      <w:r>
        <w:t>of</w:t>
      </w:r>
      <w:r w:rsidR="00932420">
        <w:t xml:space="preserve"> </w:t>
      </w:r>
      <w:r>
        <w:t>domestic</w:t>
      </w:r>
      <w:r w:rsidR="00932420">
        <w:t xml:space="preserve"> </w:t>
      </w:r>
      <w:r>
        <w:t>overnight</w:t>
      </w:r>
      <w:r w:rsidR="00932420">
        <w:t xml:space="preserve"> </w:t>
      </w:r>
      <w:r>
        <w:t>visitors</w:t>
      </w:r>
    </w:p>
    <w:p w14:paraId="722AEB1D" w14:textId="1F7D90B7" w:rsidR="00CA3C5B" w:rsidRDefault="0043241A" w:rsidP="00ED306F">
      <w:r>
        <w:rPr>
          <w:noProof/>
        </w:rPr>
        <w:drawing>
          <wp:inline distT="0" distB="0" distL="0" distR="0" wp14:anchorId="2F256FBC" wp14:editId="20EC1F68">
            <wp:extent cx="3235124" cy="2164425"/>
            <wp:effectExtent l="0" t="0" r="3810" b="7620"/>
            <wp:docPr id="19" name="Picture 19" descr="Figure 19: Number of domestic overnight visitor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19: Number of domestic overnight visitors graph. Data in table above."/>
                    <pic:cNvPicPr/>
                  </pic:nvPicPr>
                  <pic:blipFill>
                    <a:blip r:embed="rId28"/>
                    <a:stretch>
                      <a:fillRect/>
                    </a:stretch>
                  </pic:blipFill>
                  <pic:spPr>
                    <a:xfrm>
                      <a:off x="0" y="0"/>
                      <a:ext cx="3249172" cy="2173823"/>
                    </a:xfrm>
                    <a:prstGeom prst="rect">
                      <a:avLst/>
                    </a:prstGeom>
                  </pic:spPr>
                </pic:pic>
              </a:graphicData>
            </a:graphic>
          </wp:inline>
        </w:drawing>
      </w:r>
    </w:p>
    <w:p w14:paraId="738AB077" w14:textId="4F910C3F" w:rsidR="00CA3C5B" w:rsidRDefault="00260033" w:rsidP="00ED306F">
      <w:pPr>
        <w:pStyle w:val="FigureHeading"/>
      </w:pPr>
      <w:r>
        <w:lastRenderedPageBreak/>
        <w:t>Figure</w:t>
      </w:r>
      <w:r w:rsidR="00932420">
        <w:t xml:space="preserve"> </w:t>
      </w:r>
      <w:r>
        <w:t>20:</w:t>
      </w:r>
      <w:r w:rsidR="00932420">
        <w:t xml:space="preserve"> </w:t>
      </w:r>
      <w:r>
        <w:t>Number</w:t>
      </w:r>
      <w:r w:rsidR="00932420">
        <w:t xml:space="preserve"> </w:t>
      </w:r>
      <w:r>
        <w:t>of</w:t>
      </w:r>
      <w:r w:rsidR="00932420">
        <w:t xml:space="preserve"> </w:t>
      </w:r>
      <w:r>
        <w:t>international</w:t>
      </w:r>
      <w:r w:rsidR="00932420">
        <w:t xml:space="preserve"> </w:t>
      </w:r>
      <w:r>
        <w:t>visitors</w:t>
      </w:r>
    </w:p>
    <w:p w14:paraId="2AA0CC07" w14:textId="78F29E2C" w:rsidR="00CA3C5B" w:rsidRDefault="0043241A" w:rsidP="00ED306F">
      <w:r>
        <w:rPr>
          <w:noProof/>
        </w:rPr>
        <w:drawing>
          <wp:inline distT="0" distB="0" distL="0" distR="0" wp14:anchorId="0EAB072E" wp14:editId="52464D3E">
            <wp:extent cx="3246699" cy="2172169"/>
            <wp:effectExtent l="0" t="0" r="0" b="0"/>
            <wp:docPr id="20" name="Picture 20" descr="Figure 20: Number of international visitors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20: Number of international visitors graph. Data in table above."/>
                    <pic:cNvPicPr/>
                  </pic:nvPicPr>
                  <pic:blipFill>
                    <a:blip r:embed="rId29"/>
                    <a:stretch>
                      <a:fillRect/>
                    </a:stretch>
                  </pic:blipFill>
                  <pic:spPr>
                    <a:xfrm>
                      <a:off x="0" y="0"/>
                      <a:ext cx="3254892" cy="2177650"/>
                    </a:xfrm>
                    <a:prstGeom prst="rect">
                      <a:avLst/>
                    </a:prstGeom>
                  </pic:spPr>
                </pic:pic>
              </a:graphicData>
            </a:graphic>
          </wp:inline>
        </w:drawing>
      </w:r>
    </w:p>
    <w:p w14:paraId="75BFF9B0" w14:textId="2CCE6597" w:rsidR="00CA3C5B" w:rsidRDefault="00260033" w:rsidP="00ED306F">
      <w:pPr>
        <w:pStyle w:val="FigureHeading"/>
      </w:pPr>
      <w:r>
        <w:t>Figure</w:t>
      </w:r>
      <w:r w:rsidR="00932420">
        <w:t xml:space="preserve"> </w:t>
      </w:r>
      <w:r>
        <w:t>21:</w:t>
      </w:r>
      <w:r w:rsidR="00932420">
        <w:t xml:space="preserve"> </w:t>
      </w:r>
      <w:r>
        <w:t>Visitor</w:t>
      </w:r>
      <w:r w:rsidR="00932420">
        <w:t xml:space="preserve"> </w:t>
      </w:r>
      <w:r>
        <w:t>expenditure:</w:t>
      </w:r>
      <w:r w:rsidR="00932420">
        <w:t xml:space="preserve"> </w:t>
      </w:r>
      <w:r>
        <w:t>domestic</w:t>
      </w:r>
    </w:p>
    <w:p w14:paraId="60DACA46" w14:textId="2FB9FCC0" w:rsidR="00CA3C5B" w:rsidRDefault="0043241A" w:rsidP="00ED306F">
      <w:r>
        <w:rPr>
          <w:noProof/>
        </w:rPr>
        <w:drawing>
          <wp:inline distT="0" distB="0" distL="0" distR="0" wp14:anchorId="0D221C4F" wp14:editId="648F0700">
            <wp:extent cx="3183038" cy="2129577"/>
            <wp:effectExtent l="0" t="0" r="0" b="4445"/>
            <wp:docPr id="21" name="Picture 21" descr="Figure 21: Visitor expenditure: domestic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21: Visitor expenditure: domestic graph. Data in table above."/>
                    <pic:cNvPicPr/>
                  </pic:nvPicPr>
                  <pic:blipFill>
                    <a:blip r:embed="rId30"/>
                    <a:stretch>
                      <a:fillRect/>
                    </a:stretch>
                  </pic:blipFill>
                  <pic:spPr>
                    <a:xfrm>
                      <a:off x="0" y="0"/>
                      <a:ext cx="3188691" cy="2133359"/>
                    </a:xfrm>
                    <a:prstGeom prst="rect">
                      <a:avLst/>
                    </a:prstGeom>
                  </pic:spPr>
                </pic:pic>
              </a:graphicData>
            </a:graphic>
          </wp:inline>
        </w:drawing>
      </w:r>
    </w:p>
    <w:p w14:paraId="35013FBC" w14:textId="4BF9DEDA" w:rsidR="00CA3C5B" w:rsidRDefault="00260033" w:rsidP="00ED306F">
      <w:pPr>
        <w:pStyle w:val="FigureHeading"/>
      </w:pPr>
      <w:r>
        <w:t>Figure</w:t>
      </w:r>
      <w:r w:rsidR="00932420">
        <w:t xml:space="preserve"> </w:t>
      </w:r>
      <w:r>
        <w:t>22:</w:t>
      </w:r>
      <w:r w:rsidR="00932420">
        <w:t xml:space="preserve"> </w:t>
      </w:r>
      <w:r>
        <w:t>Visitor</w:t>
      </w:r>
      <w:r w:rsidR="00932420">
        <w:t xml:space="preserve"> </w:t>
      </w:r>
      <w:r>
        <w:t>expenditure:</w:t>
      </w:r>
      <w:r w:rsidR="00932420">
        <w:t xml:space="preserve"> </w:t>
      </w:r>
      <w:r>
        <w:t>international</w:t>
      </w:r>
      <w:r w:rsidR="00932420">
        <w:t xml:space="preserve"> </w:t>
      </w:r>
    </w:p>
    <w:p w14:paraId="0BF6EBB0" w14:textId="1E4E6938" w:rsidR="00CA3C5B" w:rsidRDefault="0043241A" w:rsidP="00ED306F">
      <w:r>
        <w:rPr>
          <w:noProof/>
        </w:rPr>
        <w:drawing>
          <wp:inline distT="0" distB="0" distL="0" distR="0" wp14:anchorId="4127394C" wp14:editId="5561E171">
            <wp:extent cx="3235124" cy="2164425"/>
            <wp:effectExtent l="0" t="0" r="3810" b="7620"/>
            <wp:docPr id="22" name="Picture 22" descr="Figure 22: Visitor expenditure: international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22: Visitor expenditure: international graph. Data in table above."/>
                    <pic:cNvPicPr/>
                  </pic:nvPicPr>
                  <pic:blipFill>
                    <a:blip r:embed="rId31"/>
                    <a:stretch>
                      <a:fillRect/>
                    </a:stretch>
                  </pic:blipFill>
                  <pic:spPr>
                    <a:xfrm>
                      <a:off x="0" y="0"/>
                      <a:ext cx="3245050" cy="2171066"/>
                    </a:xfrm>
                    <a:prstGeom prst="rect">
                      <a:avLst/>
                    </a:prstGeom>
                  </pic:spPr>
                </pic:pic>
              </a:graphicData>
            </a:graphic>
          </wp:inline>
        </w:drawing>
      </w:r>
    </w:p>
    <w:p w14:paraId="1ABC70FE" w14:textId="09269C71" w:rsidR="00CA3C5B" w:rsidRDefault="00260033" w:rsidP="00ED306F">
      <w:pPr>
        <w:pStyle w:val="FigureHeading"/>
      </w:pPr>
      <w:r>
        <w:lastRenderedPageBreak/>
        <w:t>Figure</w:t>
      </w:r>
      <w:r w:rsidR="00932420">
        <w:t xml:space="preserve"> </w:t>
      </w:r>
      <w:r>
        <w:t>23:</w:t>
      </w:r>
      <w:r w:rsidR="00932420">
        <w:t xml:space="preserve"> </w:t>
      </w:r>
      <w:r>
        <w:t>Visitor</w:t>
      </w:r>
      <w:r w:rsidR="00932420">
        <w:t xml:space="preserve"> </w:t>
      </w:r>
      <w:r>
        <w:t>expenditure:</w:t>
      </w:r>
      <w:r w:rsidR="00932420">
        <w:t xml:space="preserve"> </w:t>
      </w:r>
      <w:r>
        <w:t>regional</w:t>
      </w:r>
      <w:r w:rsidR="00932420">
        <w:t xml:space="preserve"> </w:t>
      </w:r>
      <w:r>
        <w:t>Victoria</w:t>
      </w:r>
      <w:r w:rsidR="00932420">
        <w:t xml:space="preserve"> </w:t>
      </w:r>
      <w:r>
        <w:t>(domestic)</w:t>
      </w:r>
    </w:p>
    <w:p w14:paraId="4A4780A3" w14:textId="0E3C9B45" w:rsidR="00CA3C5B" w:rsidRDefault="0043241A" w:rsidP="00ED306F">
      <w:r>
        <w:rPr>
          <w:noProof/>
        </w:rPr>
        <w:drawing>
          <wp:inline distT="0" distB="0" distL="0" distR="0" wp14:anchorId="461D5379" wp14:editId="2BCD4EA7">
            <wp:extent cx="3229337" cy="2160553"/>
            <wp:effectExtent l="0" t="0" r="0" b="0"/>
            <wp:docPr id="23" name="Picture 23" descr="Figure 23: Visitor expenditure: regional Victoria (domestic)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23: Visitor expenditure: regional Victoria (domestic) graph. Data in table above."/>
                    <pic:cNvPicPr/>
                  </pic:nvPicPr>
                  <pic:blipFill>
                    <a:blip r:embed="rId32"/>
                    <a:stretch>
                      <a:fillRect/>
                    </a:stretch>
                  </pic:blipFill>
                  <pic:spPr>
                    <a:xfrm>
                      <a:off x="0" y="0"/>
                      <a:ext cx="3237589" cy="2166074"/>
                    </a:xfrm>
                    <a:prstGeom prst="rect">
                      <a:avLst/>
                    </a:prstGeom>
                  </pic:spPr>
                </pic:pic>
              </a:graphicData>
            </a:graphic>
          </wp:inline>
        </w:drawing>
      </w:r>
    </w:p>
    <w:p w14:paraId="341EC82E" w14:textId="5F05C686" w:rsidR="00CA3C5B" w:rsidRDefault="00260033" w:rsidP="00ED306F">
      <w:pPr>
        <w:pStyle w:val="FigureHeading"/>
      </w:pPr>
      <w:r>
        <w:t>Figure</w:t>
      </w:r>
      <w:r w:rsidR="00932420">
        <w:t xml:space="preserve"> </w:t>
      </w:r>
      <w:r>
        <w:t>24:</w:t>
      </w:r>
      <w:r w:rsidR="00932420">
        <w:t xml:space="preserve"> </w:t>
      </w:r>
      <w:r>
        <w:t>Visitor</w:t>
      </w:r>
      <w:r w:rsidR="00932420">
        <w:t xml:space="preserve"> </w:t>
      </w:r>
      <w:r>
        <w:t>expenditure:</w:t>
      </w:r>
      <w:r w:rsidR="00932420">
        <w:t xml:space="preserve"> </w:t>
      </w:r>
      <w:r>
        <w:t>regional</w:t>
      </w:r>
      <w:r w:rsidR="00932420">
        <w:t xml:space="preserve"> </w:t>
      </w:r>
      <w:r>
        <w:t>Victoria</w:t>
      </w:r>
      <w:r w:rsidR="00932420">
        <w:t xml:space="preserve"> </w:t>
      </w:r>
      <w:r>
        <w:t>(international)*</w:t>
      </w:r>
    </w:p>
    <w:p w14:paraId="1BF253D2" w14:textId="4C376EDF" w:rsidR="00CA3C5B" w:rsidRDefault="00296C3F" w:rsidP="00ED306F">
      <w:r>
        <w:rPr>
          <w:noProof/>
        </w:rPr>
        <w:drawing>
          <wp:inline distT="0" distB="0" distL="0" distR="0" wp14:anchorId="05A545DE" wp14:editId="3DBC5A71">
            <wp:extent cx="3217762" cy="2152809"/>
            <wp:effectExtent l="0" t="0" r="1905" b="0"/>
            <wp:docPr id="24" name="Picture 24" descr="Figure 24: Visitor expenditure: regional Victoria (international)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24: Visitor expenditure: regional Victoria (international) graph. Data in table above."/>
                    <pic:cNvPicPr/>
                  </pic:nvPicPr>
                  <pic:blipFill>
                    <a:blip r:embed="rId33"/>
                    <a:stretch>
                      <a:fillRect/>
                    </a:stretch>
                  </pic:blipFill>
                  <pic:spPr>
                    <a:xfrm>
                      <a:off x="0" y="0"/>
                      <a:ext cx="3224409" cy="2157256"/>
                    </a:xfrm>
                    <a:prstGeom prst="rect">
                      <a:avLst/>
                    </a:prstGeom>
                  </pic:spPr>
                </pic:pic>
              </a:graphicData>
            </a:graphic>
          </wp:inline>
        </w:drawing>
      </w:r>
    </w:p>
    <w:p w14:paraId="3A86613A" w14:textId="4CBEEE96" w:rsidR="00CA3C5B" w:rsidRDefault="00260033" w:rsidP="00296C3F">
      <w:pPr>
        <w:pStyle w:val="FootnoteText"/>
        <w:spacing w:before="60" w:after="280"/>
      </w:pPr>
      <w:r>
        <w:t>*</w:t>
      </w:r>
      <w:r w:rsidR="00ED306F">
        <w:t xml:space="preserve"> </w:t>
      </w:r>
      <w:r>
        <w:t>International</w:t>
      </w:r>
      <w:r w:rsidR="00932420">
        <w:t xml:space="preserve"> </w:t>
      </w:r>
      <w:r>
        <w:t>visitor</w:t>
      </w:r>
      <w:r w:rsidR="00932420">
        <w:t xml:space="preserve"> </w:t>
      </w:r>
      <w:r>
        <w:t>data</w:t>
      </w:r>
      <w:r w:rsidR="00932420">
        <w:t xml:space="preserve"> </w:t>
      </w:r>
      <w:r>
        <w:t>is</w:t>
      </w:r>
      <w:r w:rsidR="00932420">
        <w:t xml:space="preserve"> </w:t>
      </w:r>
      <w:r>
        <w:t>currently</w:t>
      </w:r>
      <w:r w:rsidR="00932420">
        <w:t xml:space="preserve"> </w:t>
      </w:r>
      <w:r>
        <w:t>limited</w:t>
      </w:r>
      <w:r w:rsidR="00932420">
        <w:t xml:space="preserve"> </w:t>
      </w:r>
      <w:r>
        <w:t>to</w:t>
      </w:r>
      <w:r w:rsidR="00932420">
        <w:t xml:space="preserve"> </w:t>
      </w:r>
      <w:r>
        <w:t>state-wide</w:t>
      </w:r>
      <w:r w:rsidR="00932420">
        <w:t xml:space="preserve"> </w:t>
      </w:r>
      <w:r>
        <w:t>results.</w:t>
      </w:r>
      <w:r w:rsidR="00932420">
        <w:t xml:space="preserve"> </w:t>
      </w:r>
    </w:p>
    <w:p w14:paraId="504CC1EA" w14:textId="329A8112" w:rsidR="00CA3C5B" w:rsidRDefault="00260033" w:rsidP="00296C3F">
      <w:r>
        <w:t>Results</w:t>
      </w:r>
      <w:r w:rsidR="00932420">
        <w:t xml:space="preserve"> </w:t>
      </w:r>
      <w:r>
        <w:t>for</w:t>
      </w:r>
      <w:r w:rsidR="00932420">
        <w:t xml:space="preserve"> </w:t>
      </w:r>
      <w:r>
        <w:t>the</w:t>
      </w:r>
      <w:r w:rsidR="00932420">
        <w:t xml:space="preserve"> </w:t>
      </w:r>
      <w:r>
        <w:t>year</w:t>
      </w:r>
      <w:r w:rsidR="00932420">
        <w:t xml:space="preserve"> </w:t>
      </w:r>
      <w:r>
        <w:t>ending</w:t>
      </w:r>
      <w:r w:rsidR="00932420">
        <w:t xml:space="preserve"> </w:t>
      </w:r>
      <w:r>
        <w:t>March</w:t>
      </w:r>
      <w:r w:rsidR="00932420">
        <w:t xml:space="preserve"> </w:t>
      </w:r>
      <w:r>
        <w:t>2023</w:t>
      </w:r>
      <w:r w:rsidR="00932420">
        <w:t xml:space="preserve"> </w:t>
      </w:r>
      <w:r>
        <w:t>show</w:t>
      </w:r>
      <w:r w:rsidR="00932420">
        <w:t xml:space="preserve"> </w:t>
      </w:r>
      <w:r>
        <w:t>further</w:t>
      </w:r>
      <w:r w:rsidR="00932420">
        <w:t xml:space="preserve"> </w:t>
      </w:r>
      <w:r>
        <w:t>strengthening</w:t>
      </w:r>
      <w:r w:rsidR="00932420">
        <w:t xml:space="preserve"> </w:t>
      </w:r>
      <w:r>
        <w:t>in</w:t>
      </w:r>
      <w:r w:rsidR="00932420">
        <w:t xml:space="preserve"> </w:t>
      </w:r>
      <w:r>
        <w:t>the</w:t>
      </w:r>
      <w:r w:rsidR="00932420">
        <w:t xml:space="preserve"> </w:t>
      </w:r>
      <w:r>
        <w:t>sector</w:t>
      </w:r>
      <w:r w:rsidR="00932420">
        <w:t xml:space="preserve"> </w:t>
      </w:r>
      <w:r>
        <w:t>with</w:t>
      </w:r>
      <w:r w:rsidR="00932420">
        <w:t xml:space="preserve"> </w:t>
      </w:r>
      <w:r>
        <w:t>a</w:t>
      </w:r>
      <w:r w:rsidR="00932420">
        <w:t xml:space="preserve"> </w:t>
      </w:r>
      <w:r>
        <w:t>full</w:t>
      </w:r>
      <w:r w:rsidR="00932420">
        <w:t xml:space="preserve"> </w:t>
      </w:r>
      <w:r>
        <w:t>recovery</w:t>
      </w:r>
      <w:r w:rsidR="00932420">
        <w:t xml:space="preserve"> </w:t>
      </w:r>
      <w:r>
        <w:t>in</w:t>
      </w:r>
      <w:r w:rsidR="00932420">
        <w:t xml:space="preserve"> </w:t>
      </w:r>
      <w:r>
        <w:t>expenditure,</w:t>
      </w:r>
      <w:r w:rsidR="00932420">
        <w:t xml:space="preserve"> </w:t>
      </w:r>
      <w:r>
        <w:t>which</w:t>
      </w:r>
      <w:r w:rsidR="00932420">
        <w:t xml:space="preserve"> </w:t>
      </w:r>
      <w:r>
        <w:t>surpassed</w:t>
      </w:r>
      <w:r w:rsidR="00932420">
        <w:t xml:space="preserve"> </w:t>
      </w:r>
      <w:r>
        <w:t>pre-pandemic</w:t>
      </w:r>
      <w:r w:rsidR="00932420">
        <w:t xml:space="preserve"> </w:t>
      </w:r>
      <w:r>
        <w:t>levels,</w:t>
      </w:r>
      <w:r w:rsidR="00932420">
        <w:t xml:space="preserve"> </w:t>
      </w:r>
      <w:r>
        <w:t>reaching</w:t>
      </w:r>
      <w:r w:rsidR="00932420">
        <w:t xml:space="preserve"> </w:t>
      </w:r>
      <w:r>
        <w:t>a</w:t>
      </w:r>
      <w:r w:rsidR="00932420">
        <w:t xml:space="preserve"> </w:t>
      </w:r>
      <w:r>
        <w:t>record</w:t>
      </w:r>
      <w:r w:rsidR="00932420">
        <w:t xml:space="preserve"> </w:t>
      </w:r>
      <w:r>
        <w:t>high</w:t>
      </w:r>
      <w:r w:rsidR="00932420">
        <w:t xml:space="preserve"> </w:t>
      </w:r>
      <w:r>
        <w:t>of</w:t>
      </w:r>
      <w:r w:rsidR="00932420">
        <w:t xml:space="preserve"> </w:t>
      </w:r>
      <w:r>
        <w:t>$35</w:t>
      </w:r>
      <w:r w:rsidR="00932420">
        <w:t xml:space="preserve"> </w:t>
      </w:r>
      <w:r>
        <w:t>billion.</w:t>
      </w:r>
      <w:r w:rsidR="00932420">
        <w:t xml:space="preserve"> </w:t>
      </w:r>
      <w:r>
        <w:t>Visitor</w:t>
      </w:r>
      <w:r w:rsidR="00932420">
        <w:t xml:space="preserve"> </w:t>
      </w:r>
      <w:r>
        <w:t>growth</w:t>
      </w:r>
      <w:r w:rsidR="00932420">
        <w:t xml:space="preserve"> </w:t>
      </w:r>
      <w:r>
        <w:t>has</w:t>
      </w:r>
      <w:r w:rsidR="00932420">
        <w:t xml:space="preserve"> </w:t>
      </w:r>
      <w:r>
        <w:t>also</w:t>
      </w:r>
      <w:r w:rsidR="00932420">
        <w:t xml:space="preserve"> </w:t>
      </w:r>
      <w:r>
        <w:t>been</w:t>
      </w:r>
      <w:r w:rsidR="00932420">
        <w:t xml:space="preserve"> </w:t>
      </w:r>
      <w:r>
        <w:t>strong</w:t>
      </w:r>
      <w:r w:rsidR="00932420">
        <w:t xml:space="preserve"> </w:t>
      </w:r>
      <w:r>
        <w:t>and</w:t>
      </w:r>
      <w:r w:rsidR="00932420">
        <w:t xml:space="preserve"> </w:t>
      </w:r>
      <w:r>
        <w:t>is</w:t>
      </w:r>
      <w:r w:rsidR="00932420">
        <w:t xml:space="preserve"> </w:t>
      </w:r>
      <w:r>
        <w:t>almost</w:t>
      </w:r>
      <w:r w:rsidR="00932420">
        <w:t xml:space="preserve"> </w:t>
      </w:r>
      <w:r>
        <w:t>back</w:t>
      </w:r>
      <w:r w:rsidR="00932420">
        <w:t xml:space="preserve"> </w:t>
      </w:r>
      <w:r>
        <w:t>to</w:t>
      </w:r>
      <w:r w:rsidR="00932420">
        <w:t xml:space="preserve"> </w:t>
      </w:r>
      <w:r>
        <w:t>a</w:t>
      </w:r>
      <w:r w:rsidR="00932420">
        <w:t xml:space="preserve"> </w:t>
      </w:r>
      <w:r>
        <w:t>full</w:t>
      </w:r>
      <w:r w:rsidR="00932420">
        <w:t xml:space="preserve"> </w:t>
      </w:r>
      <w:r>
        <w:t>recovery</w:t>
      </w:r>
      <w:r w:rsidR="00932420">
        <w:t xml:space="preserve"> </w:t>
      </w:r>
      <w:r>
        <w:t>at</w:t>
      </w:r>
      <w:r w:rsidR="00932420">
        <w:t xml:space="preserve"> </w:t>
      </w:r>
      <w:r>
        <w:t>98%</w:t>
      </w:r>
      <w:r w:rsidR="00932420">
        <w:t xml:space="preserve"> </w:t>
      </w:r>
      <w:r>
        <w:t>of</w:t>
      </w:r>
      <w:r w:rsidR="00932420">
        <w:t xml:space="preserve"> </w:t>
      </w:r>
      <w:r>
        <w:t>the</w:t>
      </w:r>
      <w:r w:rsidR="00932420">
        <w:t xml:space="preserve"> </w:t>
      </w:r>
      <w:r>
        <w:t>pre-pandemic</w:t>
      </w:r>
      <w:r w:rsidR="00932420">
        <w:t xml:space="preserve"> </w:t>
      </w:r>
      <w:r>
        <w:t>level.</w:t>
      </w:r>
    </w:p>
    <w:p w14:paraId="2BB811AA" w14:textId="0818D65C" w:rsidR="00CA3C5B" w:rsidRDefault="00260033" w:rsidP="00296C3F">
      <w:r>
        <w:t>Overall</w:t>
      </w:r>
      <w:r w:rsidR="00932420">
        <w:t xml:space="preserve"> </w:t>
      </w:r>
      <w:r>
        <w:t>tourism</w:t>
      </w:r>
      <w:r w:rsidR="00932420">
        <w:t xml:space="preserve"> </w:t>
      </w:r>
      <w:r>
        <w:t>generated</w:t>
      </w:r>
      <w:r w:rsidR="00932420">
        <w:t xml:space="preserve"> </w:t>
      </w:r>
      <w:r>
        <w:t>$96</w:t>
      </w:r>
      <w:r w:rsidR="00932420">
        <w:t xml:space="preserve"> </w:t>
      </w:r>
      <w:r>
        <w:t>million</w:t>
      </w:r>
      <w:r w:rsidR="00932420">
        <w:t xml:space="preserve"> </w:t>
      </w:r>
      <w:r>
        <w:t>per</w:t>
      </w:r>
      <w:r w:rsidR="00932420">
        <w:t xml:space="preserve"> </w:t>
      </w:r>
      <w:r>
        <w:t>day</w:t>
      </w:r>
      <w:r w:rsidR="00932420">
        <w:t xml:space="preserve"> </w:t>
      </w:r>
      <w:r>
        <w:t>in</w:t>
      </w:r>
      <w:r w:rsidR="00932420">
        <w:t xml:space="preserve"> </w:t>
      </w:r>
      <w:r>
        <w:t>visitor</w:t>
      </w:r>
      <w:r w:rsidR="00932420">
        <w:t xml:space="preserve"> </w:t>
      </w:r>
      <w:r>
        <w:t>expenditure</w:t>
      </w:r>
      <w:r w:rsidR="00932420">
        <w:t xml:space="preserve"> </w:t>
      </w:r>
      <w:r>
        <w:t>in</w:t>
      </w:r>
      <w:r w:rsidR="00932420">
        <w:t xml:space="preserve"> </w:t>
      </w:r>
      <w:r>
        <w:t>Victoria</w:t>
      </w:r>
      <w:r w:rsidR="00932420">
        <w:t xml:space="preserve"> </w:t>
      </w:r>
      <w:r>
        <w:t>for</w:t>
      </w:r>
      <w:r w:rsidR="00932420">
        <w:t xml:space="preserve"> </w:t>
      </w:r>
      <w:r>
        <w:t>the</w:t>
      </w:r>
      <w:r w:rsidR="00932420">
        <w:t xml:space="preserve"> </w:t>
      </w:r>
      <w:r>
        <w:t>year</w:t>
      </w:r>
      <w:r w:rsidR="00932420">
        <w:t xml:space="preserve"> </w:t>
      </w:r>
      <w:r>
        <w:t>ending</w:t>
      </w:r>
      <w:r w:rsidR="00932420">
        <w:t xml:space="preserve"> </w:t>
      </w:r>
      <w:r>
        <w:t>March</w:t>
      </w:r>
      <w:r w:rsidR="00932420">
        <w:t xml:space="preserve"> </w:t>
      </w:r>
      <w:r>
        <w:t>2023.</w:t>
      </w:r>
    </w:p>
    <w:p w14:paraId="4F8A7090" w14:textId="52CED729" w:rsidR="00CA3C5B" w:rsidRDefault="00260033" w:rsidP="00296C3F">
      <w:r>
        <w:t>This</w:t>
      </w:r>
      <w:r w:rsidR="00932420">
        <w:t xml:space="preserve"> </w:t>
      </w:r>
      <w:r>
        <w:t>outcome</w:t>
      </w:r>
      <w:r w:rsidR="00932420">
        <w:t xml:space="preserve"> </w:t>
      </w:r>
      <w:r>
        <w:t>reflects</w:t>
      </w:r>
      <w:r w:rsidR="00932420">
        <w:t xml:space="preserve"> </w:t>
      </w:r>
      <w:r>
        <w:t>strong</w:t>
      </w:r>
      <w:r w:rsidR="00932420">
        <w:t xml:space="preserve"> </w:t>
      </w:r>
      <w:r>
        <w:t>tourism</w:t>
      </w:r>
      <w:r w:rsidR="00932420">
        <w:t xml:space="preserve"> </w:t>
      </w:r>
      <w:r>
        <w:t>demand</w:t>
      </w:r>
      <w:r w:rsidR="00932420">
        <w:t xml:space="preserve"> </w:t>
      </w:r>
      <w:r>
        <w:t>for</w:t>
      </w:r>
      <w:r w:rsidR="00932420">
        <w:t xml:space="preserve"> </w:t>
      </w:r>
      <w:r>
        <w:t>Victorian</w:t>
      </w:r>
      <w:r w:rsidR="00932420">
        <w:t xml:space="preserve"> </w:t>
      </w:r>
      <w:r>
        <w:t>experiences,</w:t>
      </w:r>
      <w:r w:rsidR="00932420">
        <w:t xml:space="preserve"> </w:t>
      </w:r>
      <w:r>
        <w:t>particularly</w:t>
      </w:r>
      <w:r w:rsidR="00932420">
        <w:t xml:space="preserve"> </w:t>
      </w:r>
      <w:r>
        <w:t>in</w:t>
      </w:r>
      <w:r w:rsidR="00932420">
        <w:t xml:space="preserve"> </w:t>
      </w:r>
      <w:r>
        <w:t>the</w:t>
      </w:r>
      <w:r w:rsidR="00932420">
        <w:t xml:space="preserve"> </w:t>
      </w:r>
      <w:r>
        <w:t>domestic</w:t>
      </w:r>
      <w:r w:rsidR="00932420">
        <w:t xml:space="preserve"> </w:t>
      </w:r>
      <w:r>
        <w:t>sector</w:t>
      </w:r>
      <w:r w:rsidR="00932420">
        <w:t xml:space="preserve"> </w:t>
      </w:r>
      <w:r>
        <w:t>where</w:t>
      </w:r>
      <w:r w:rsidR="00932420">
        <w:t xml:space="preserve"> </w:t>
      </w:r>
      <w:r>
        <w:t>spending</w:t>
      </w:r>
      <w:r w:rsidR="00932420">
        <w:t xml:space="preserve"> </w:t>
      </w:r>
      <w:r>
        <w:t>well</w:t>
      </w:r>
      <w:r w:rsidR="00932420">
        <w:t xml:space="preserve"> </w:t>
      </w:r>
      <w:r>
        <w:t>exceeded</w:t>
      </w:r>
      <w:r w:rsidR="00932420">
        <w:t xml:space="preserve"> </w:t>
      </w:r>
      <w:r>
        <w:t>the</w:t>
      </w:r>
      <w:r w:rsidR="00932420">
        <w:t xml:space="preserve"> </w:t>
      </w:r>
      <w:r>
        <w:t>pre-pandemic</w:t>
      </w:r>
      <w:r w:rsidR="00932420">
        <w:t xml:space="preserve"> </w:t>
      </w:r>
      <w:r>
        <w:t>March</w:t>
      </w:r>
      <w:r w:rsidR="00932420">
        <w:t xml:space="preserve"> </w:t>
      </w:r>
      <w:r>
        <w:t>2019</w:t>
      </w:r>
      <w:r w:rsidR="00932420">
        <w:t xml:space="preserve"> </w:t>
      </w:r>
      <w:r>
        <w:t>level</w:t>
      </w:r>
      <w:r w:rsidR="00932420">
        <w:t xml:space="preserve"> </w:t>
      </w:r>
      <w:r>
        <w:t>(+44%)</w:t>
      </w:r>
      <w:r w:rsidR="00932420">
        <w:t xml:space="preserve"> </w:t>
      </w:r>
      <w:r>
        <w:t>to</w:t>
      </w:r>
      <w:r w:rsidR="00932420">
        <w:t xml:space="preserve"> </w:t>
      </w:r>
      <w:r>
        <w:t>$30.8</w:t>
      </w:r>
      <w:r w:rsidR="00932420">
        <w:t xml:space="preserve"> </w:t>
      </w:r>
      <w:r>
        <w:t>billion,</w:t>
      </w:r>
      <w:r w:rsidR="00932420">
        <w:t xml:space="preserve"> </w:t>
      </w:r>
      <w:r>
        <w:t>noting</w:t>
      </w:r>
      <w:r w:rsidR="00932420">
        <w:t xml:space="preserve"> </w:t>
      </w:r>
      <w:r>
        <w:t>very</w:t>
      </w:r>
      <w:r w:rsidR="00932420">
        <w:t xml:space="preserve"> </w:t>
      </w:r>
      <w:r>
        <w:t>strong</w:t>
      </w:r>
      <w:r w:rsidR="00932420">
        <w:t xml:space="preserve"> </w:t>
      </w:r>
      <w:r>
        <w:t>growth</w:t>
      </w:r>
      <w:r w:rsidR="00932420">
        <w:t xml:space="preserve"> </w:t>
      </w:r>
      <w:r>
        <w:t>of</w:t>
      </w:r>
      <w:r w:rsidR="00932420">
        <w:t xml:space="preserve"> </w:t>
      </w:r>
      <w:r>
        <w:t>101%</w:t>
      </w:r>
      <w:r w:rsidR="00932420">
        <w:t xml:space="preserve"> </w:t>
      </w:r>
      <w:r>
        <w:t>year-on-year.</w:t>
      </w:r>
    </w:p>
    <w:p w14:paraId="0D0D1AEF" w14:textId="669028C8" w:rsidR="00CA3C5B" w:rsidRDefault="00260033" w:rsidP="00296C3F">
      <w:r>
        <w:t>Regional</w:t>
      </w:r>
      <w:r w:rsidR="00932420">
        <w:t xml:space="preserve"> </w:t>
      </w:r>
      <w:r>
        <w:t>Victoria</w:t>
      </w:r>
      <w:r w:rsidR="00932420">
        <w:t xml:space="preserve"> </w:t>
      </w:r>
      <w:r>
        <w:t>continued</w:t>
      </w:r>
      <w:r w:rsidR="00932420">
        <w:t xml:space="preserve"> </w:t>
      </w:r>
      <w:r>
        <w:t>to</w:t>
      </w:r>
      <w:r w:rsidR="00932420">
        <w:t xml:space="preserve"> </w:t>
      </w:r>
      <w:r>
        <w:t>lead</w:t>
      </w:r>
      <w:r w:rsidR="00932420">
        <w:t xml:space="preserve"> </w:t>
      </w:r>
      <w:r>
        <w:t>the</w:t>
      </w:r>
      <w:r w:rsidR="00932420">
        <w:t xml:space="preserve"> </w:t>
      </w:r>
      <w:r>
        <w:t>overall</w:t>
      </w:r>
      <w:r w:rsidR="00932420">
        <w:t xml:space="preserve"> </w:t>
      </w:r>
      <w:r>
        <w:t>recovery</w:t>
      </w:r>
      <w:r w:rsidR="00932420">
        <w:t xml:space="preserve"> </w:t>
      </w:r>
      <w:r>
        <w:t>with</w:t>
      </w:r>
      <w:r w:rsidR="00932420">
        <w:t xml:space="preserve"> </w:t>
      </w:r>
      <w:r>
        <w:t>domestic</w:t>
      </w:r>
      <w:r w:rsidR="00932420">
        <w:t xml:space="preserve"> </w:t>
      </w:r>
      <w:r>
        <w:t>overnight</w:t>
      </w:r>
      <w:r w:rsidR="00932420">
        <w:t xml:space="preserve"> </w:t>
      </w:r>
      <w:r>
        <w:t>spend,</w:t>
      </w:r>
      <w:r w:rsidR="00932420">
        <w:t xml:space="preserve"> </w:t>
      </w:r>
      <w:r>
        <w:t>visitors</w:t>
      </w:r>
      <w:r w:rsidR="00932420">
        <w:t xml:space="preserve"> </w:t>
      </w:r>
      <w:r>
        <w:t>and</w:t>
      </w:r>
      <w:r w:rsidR="00932420">
        <w:t xml:space="preserve"> </w:t>
      </w:r>
      <w:r>
        <w:t>nights</w:t>
      </w:r>
      <w:r w:rsidR="00932420">
        <w:t xml:space="preserve"> </w:t>
      </w:r>
      <w:r>
        <w:t>all</w:t>
      </w:r>
      <w:r w:rsidR="00932420">
        <w:t xml:space="preserve"> </w:t>
      </w:r>
      <w:r>
        <w:t>above</w:t>
      </w:r>
      <w:r w:rsidR="00932420">
        <w:t xml:space="preserve"> </w:t>
      </w:r>
      <w:r>
        <w:t>pre-pandemic</w:t>
      </w:r>
      <w:r w:rsidR="00932420">
        <w:t xml:space="preserve"> </w:t>
      </w:r>
      <w:r>
        <w:t>levels.</w:t>
      </w:r>
      <w:r w:rsidR="00932420">
        <w:t xml:space="preserve"> </w:t>
      </w:r>
      <w:r>
        <w:t>Domestic</w:t>
      </w:r>
      <w:r w:rsidR="00932420">
        <w:t xml:space="preserve"> </w:t>
      </w:r>
      <w:r>
        <w:t>overnight</w:t>
      </w:r>
      <w:r w:rsidR="00932420">
        <w:t xml:space="preserve"> </w:t>
      </w:r>
      <w:r>
        <w:t>spend</w:t>
      </w:r>
      <w:r w:rsidR="00932420">
        <w:t xml:space="preserve"> </w:t>
      </w:r>
      <w:r>
        <w:t>in</w:t>
      </w:r>
      <w:r w:rsidR="00932420">
        <w:t xml:space="preserve"> </w:t>
      </w:r>
      <w:r>
        <w:t>regional</w:t>
      </w:r>
      <w:r w:rsidR="00932420">
        <w:t xml:space="preserve"> </w:t>
      </w:r>
      <w:r>
        <w:t>Victoria</w:t>
      </w:r>
      <w:r w:rsidR="00932420">
        <w:t xml:space="preserve"> </w:t>
      </w:r>
      <w:r>
        <w:t>was</w:t>
      </w:r>
      <w:r w:rsidR="00932420">
        <w:t xml:space="preserve"> </w:t>
      </w:r>
      <w:r>
        <w:t>60%</w:t>
      </w:r>
      <w:r w:rsidR="00932420">
        <w:t xml:space="preserve"> </w:t>
      </w:r>
      <w:r>
        <w:t>above</w:t>
      </w:r>
      <w:r w:rsidR="00932420">
        <w:t xml:space="preserve"> </w:t>
      </w:r>
      <w:r>
        <w:t>the</w:t>
      </w:r>
      <w:r w:rsidR="00932420">
        <w:t xml:space="preserve"> </w:t>
      </w:r>
      <w:r>
        <w:t>pre-pandemic</w:t>
      </w:r>
      <w:r w:rsidR="00932420">
        <w:t xml:space="preserve"> </w:t>
      </w:r>
      <w:r>
        <w:t>performance</w:t>
      </w:r>
      <w:r w:rsidR="00932420">
        <w:t xml:space="preserve"> </w:t>
      </w:r>
      <w:r>
        <w:t>at</w:t>
      </w:r>
      <w:r w:rsidR="00932420">
        <w:t xml:space="preserve"> </w:t>
      </w:r>
      <w:r>
        <w:t>$10.9</w:t>
      </w:r>
      <w:r w:rsidR="00932420">
        <w:t xml:space="preserve"> </w:t>
      </w:r>
      <w:r>
        <w:t>billion.</w:t>
      </w:r>
      <w:r w:rsidR="00932420">
        <w:t xml:space="preserve"> </w:t>
      </w:r>
      <w:r>
        <w:t>Domestic</w:t>
      </w:r>
      <w:r w:rsidR="00932420">
        <w:t xml:space="preserve"> </w:t>
      </w:r>
      <w:r>
        <w:t>overnight</w:t>
      </w:r>
      <w:r w:rsidR="00932420">
        <w:t xml:space="preserve"> </w:t>
      </w:r>
      <w:r>
        <w:t>visitor</w:t>
      </w:r>
      <w:r w:rsidR="00932420">
        <w:t xml:space="preserve"> </w:t>
      </w:r>
      <w:proofErr w:type="gramStart"/>
      <w:r>
        <w:t>spend</w:t>
      </w:r>
      <w:proofErr w:type="gramEnd"/>
      <w:r w:rsidR="00932420">
        <w:t xml:space="preserve"> </w:t>
      </w:r>
      <w:r>
        <w:t>to/within</w:t>
      </w:r>
      <w:r w:rsidR="00932420">
        <w:t xml:space="preserve"> </w:t>
      </w:r>
      <w:r>
        <w:t>regional</w:t>
      </w:r>
      <w:r w:rsidR="00932420">
        <w:t xml:space="preserve"> </w:t>
      </w:r>
      <w:r>
        <w:t>Victoria</w:t>
      </w:r>
      <w:r w:rsidR="00932420">
        <w:t xml:space="preserve"> </w:t>
      </w:r>
      <w:r>
        <w:t>also</w:t>
      </w:r>
      <w:r w:rsidR="00932420">
        <w:t xml:space="preserve"> </w:t>
      </w:r>
      <w:r>
        <w:t>fully</w:t>
      </w:r>
      <w:r w:rsidR="00932420">
        <w:t xml:space="preserve"> </w:t>
      </w:r>
      <w:r>
        <w:t>recovered</w:t>
      </w:r>
      <w:r w:rsidR="00932420">
        <w:t xml:space="preserve"> </w:t>
      </w:r>
      <w:r>
        <w:t>and</w:t>
      </w:r>
      <w:r w:rsidR="00932420">
        <w:t xml:space="preserve"> </w:t>
      </w:r>
      <w:r>
        <w:t>was</w:t>
      </w:r>
      <w:r w:rsidR="00932420">
        <w:t xml:space="preserve"> </w:t>
      </w:r>
      <w:r>
        <w:t>6%</w:t>
      </w:r>
      <w:r w:rsidR="00932420">
        <w:t xml:space="preserve"> </w:t>
      </w:r>
      <w:r>
        <w:t>above</w:t>
      </w:r>
      <w:r w:rsidR="00932420">
        <w:t xml:space="preserve"> </w:t>
      </w:r>
      <w:r>
        <w:t>the</w:t>
      </w:r>
      <w:r w:rsidR="00932420">
        <w:t xml:space="preserve"> </w:t>
      </w:r>
      <w:r>
        <w:t>pre-pandemic</w:t>
      </w:r>
      <w:r w:rsidR="00932420">
        <w:t xml:space="preserve"> </w:t>
      </w:r>
      <w:r>
        <w:t>performance</w:t>
      </w:r>
      <w:r w:rsidR="00932420">
        <w:t xml:space="preserve"> </w:t>
      </w:r>
      <w:r>
        <w:t>at</w:t>
      </w:r>
      <w:r w:rsidR="00932420">
        <w:t xml:space="preserve"> </w:t>
      </w:r>
      <w:r>
        <w:t>$18.9</w:t>
      </w:r>
      <w:r w:rsidR="00932420">
        <w:t xml:space="preserve"> </w:t>
      </w:r>
      <w:r>
        <w:t>million.</w:t>
      </w:r>
      <w:r w:rsidR="00932420">
        <w:t xml:space="preserve"> </w:t>
      </w:r>
    </w:p>
    <w:p w14:paraId="4ACEF567" w14:textId="16DB4B91" w:rsidR="00CA3C5B" w:rsidRDefault="00260033" w:rsidP="00296C3F">
      <w:r>
        <w:lastRenderedPageBreak/>
        <w:t>All</w:t>
      </w:r>
      <w:r w:rsidR="00932420">
        <w:t xml:space="preserve"> </w:t>
      </w:r>
      <w:r>
        <w:t>Victorian</w:t>
      </w:r>
      <w:r w:rsidR="00932420">
        <w:t xml:space="preserve"> </w:t>
      </w:r>
      <w:r>
        <w:t>regions</w:t>
      </w:r>
      <w:r w:rsidR="00932420">
        <w:t xml:space="preserve"> </w:t>
      </w:r>
      <w:r>
        <w:t>noted</w:t>
      </w:r>
      <w:r w:rsidR="00932420">
        <w:t xml:space="preserve"> </w:t>
      </w:r>
      <w:r>
        <w:t>record-high</w:t>
      </w:r>
      <w:r w:rsidR="00932420">
        <w:t xml:space="preserve"> </w:t>
      </w:r>
      <w:r>
        <w:t>levels</w:t>
      </w:r>
      <w:r w:rsidR="00932420">
        <w:t xml:space="preserve"> </w:t>
      </w:r>
      <w:r>
        <w:t>of</w:t>
      </w:r>
      <w:r w:rsidR="00932420">
        <w:t xml:space="preserve"> </w:t>
      </w:r>
      <w:r>
        <w:t>domestic</w:t>
      </w:r>
      <w:r w:rsidR="00932420">
        <w:t xml:space="preserve"> </w:t>
      </w:r>
      <w:r>
        <w:t>overnight</w:t>
      </w:r>
      <w:r w:rsidR="00932420">
        <w:t xml:space="preserve"> </w:t>
      </w:r>
      <w:r>
        <w:t>spend</w:t>
      </w:r>
      <w:r w:rsidR="00932420">
        <w:t xml:space="preserve"> </w:t>
      </w:r>
      <w:r>
        <w:t>above</w:t>
      </w:r>
      <w:r w:rsidR="00932420">
        <w:t xml:space="preserve"> </w:t>
      </w:r>
      <w:r>
        <w:t>pre-pandemic</w:t>
      </w:r>
      <w:r w:rsidR="00932420">
        <w:t xml:space="preserve"> </w:t>
      </w:r>
      <w:r>
        <w:t>levels,</w:t>
      </w:r>
      <w:r w:rsidR="00932420">
        <w:t xml:space="preserve"> </w:t>
      </w:r>
      <w:r>
        <w:t>with</w:t>
      </w:r>
      <w:r w:rsidR="00932420">
        <w:t xml:space="preserve"> </w:t>
      </w:r>
      <w:r>
        <w:t>particularly</w:t>
      </w:r>
      <w:r w:rsidR="00932420">
        <w:t xml:space="preserve"> </w:t>
      </w:r>
      <w:r>
        <w:t>high</w:t>
      </w:r>
      <w:r w:rsidR="00932420">
        <w:t xml:space="preserve"> </w:t>
      </w:r>
      <w:r>
        <w:t>growth</w:t>
      </w:r>
      <w:r w:rsidR="00932420">
        <w:t xml:space="preserve"> </w:t>
      </w:r>
      <w:r>
        <w:t>noted</w:t>
      </w:r>
      <w:r w:rsidR="00932420">
        <w:t xml:space="preserve"> </w:t>
      </w:r>
      <w:r>
        <w:t>in</w:t>
      </w:r>
      <w:r w:rsidR="00932420">
        <w:t xml:space="preserve"> </w:t>
      </w:r>
      <w:r>
        <w:t>Phillip</w:t>
      </w:r>
      <w:r w:rsidR="00932420">
        <w:t xml:space="preserve"> </w:t>
      </w:r>
      <w:r>
        <w:t>Island,</w:t>
      </w:r>
      <w:r w:rsidR="00932420">
        <w:t xml:space="preserve"> </w:t>
      </w:r>
      <w:r>
        <w:t>Victoria’s</w:t>
      </w:r>
      <w:r w:rsidR="00932420">
        <w:t xml:space="preserve"> </w:t>
      </w:r>
      <w:r>
        <w:t>High</w:t>
      </w:r>
      <w:r w:rsidR="00932420">
        <w:t xml:space="preserve"> </w:t>
      </w:r>
      <w:r>
        <w:t>Country,</w:t>
      </w:r>
      <w:r w:rsidR="00932420">
        <w:t xml:space="preserve"> </w:t>
      </w:r>
      <w:r>
        <w:t>Goldfields,</w:t>
      </w:r>
      <w:r w:rsidR="00932420">
        <w:t xml:space="preserve"> </w:t>
      </w:r>
      <w:r>
        <w:t>Geelong</w:t>
      </w:r>
      <w:r w:rsidR="00932420">
        <w:t xml:space="preserve"> </w:t>
      </w:r>
      <w:r>
        <w:t>and</w:t>
      </w:r>
      <w:r w:rsidR="00932420">
        <w:t xml:space="preserve"> </w:t>
      </w:r>
      <w:r>
        <w:t>the</w:t>
      </w:r>
      <w:r w:rsidR="00932420">
        <w:t xml:space="preserve"> </w:t>
      </w:r>
      <w:r>
        <w:t>Bellarine</w:t>
      </w:r>
      <w:r w:rsidR="00932420">
        <w:t xml:space="preserve"> </w:t>
      </w:r>
      <w:r>
        <w:t>and</w:t>
      </w:r>
      <w:r w:rsidR="00932420">
        <w:t xml:space="preserve"> </w:t>
      </w:r>
      <w:r>
        <w:t>Grampians.</w:t>
      </w:r>
      <w:r w:rsidR="00932420">
        <w:t xml:space="preserve"> </w:t>
      </w:r>
      <w:r>
        <w:t>International</w:t>
      </w:r>
      <w:r w:rsidR="00932420">
        <w:t xml:space="preserve"> </w:t>
      </w:r>
      <w:r>
        <w:t>travel</w:t>
      </w:r>
      <w:r w:rsidR="00932420">
        <w:t xml:space="preserve"> </w:t>
      </w:r>
      <w:r>
        <w:t>to</w:t>
      </w:r>
      <w:r w:rsidR="00932420">
        <w:t xml:space="preserve"> </w:t>
      </w:r>
      <w:r>
        <w:t>Victoria</w:t>
      </w:r>
      <w:r w:rsidR="00932420">
        <w:t xml:space="preserve"> </w:t>
      </w:r>
      <w:r>
        <w:t>continued</w:t>
      </w:r>
      <w:r w:rsidR="00932420">
        <w:t xml:space="preserve"> </w:t>
      </w:r>
      <w:r>
        <w:t>to</w:t>
      </w:r>
      <w:r w:rsidR="00932420">
        <w:t xml:space="preserve"> </w:t>
      </w:r>
      <w:r>
        <w:t>progressively</w:t>
      </w:r>
      <w:r w:rsidR="00932420">
        <w:t xml:space="preserve"> </w:t>
      </w:r>
      <w:r>
        <w:t>rebuild,</w:t>
      </w:r>
      <w:r w:rsidR="00932420">
        <w:t xml:space="preserve"> </w:t>
      </w:r>
      <w:r>
        <w:t>and</w:t>
      </w:r>
      <w:r w:rsidR="00932420">
        <w:t xml:space="preserve"> </w:t>
      </w:r>
      <w:r>
        <w:t>all</w:t>
      </w:r>
      <w:r w:rsidR="00932420">
        <w:t xml:space="preserve"> </w:t>
      </w:r>
      <w:r>
        <w:t>key</w:t>
      </w:r>
      <w:r w:rsidR="00932420">
        <w:t xml:space="preserve"> </w:t>
      </w:r>
      <w:r>
        <w:t>metrics</w:t>
      </w:r>
      <w:r w:rsidR="00932420">
        <w:t xml:space="preserve"> </w:t>
      </w:r>
      <w:r>
        <w:t>were</w:t>
      </w:r>
      <w:r w:rsidR="00932420">
        <w:t xml:space="preserve"> </w:t>
      </w:r>
      <w:r>
        <w:t>approximately</w:t>
      </w:r>
      <w:r w:rsidR="00932420">
        <w:t xml:space="preserve"> </w:t>
      </w:r>
      <w:r>
        <w:t>halfway</w:t>
      </w:r>
      <w:r w:rsidR="00932420">
        <w:t xml:space="preserve"> </w:t>
      </w:r>
      <w:r>
        <w:rPr>
          <w:spacing w:val="1"/>
        </w:rPr>
        <w:t>back</w:t>
      </w:r>
      <w:r w:rsidR="00932420">
        <w:rPr>
          <w:spacing w:val="1"/>
        </w:rPr>
        <w:t xml:space="preserve"> </w:t>
      </w:r>
      <w:r>
        <w:rPr>
          <w:spacing w:val="1"/>
        </w:rPr>
        <w:t>to</w:t>
      </w:r>
      <w:r w:rsidR="00932420">
        <w:rPr>
          <w:spacing w:val="1"/>
        </w:rPr>
        <w:t xml:space="preserve"> </w:t>
      </w:r>
      <w:r>
        <w:rPr>
          <w:spacing w:val="1"/>
        </w:rPr>
        <w:t>recovery.</w:t>
      </w:r>
      <w:r w:rsidR="00932420">
        <w:rPr>
          <w:spacing w:val="1"/>
        </w:rPr>
        <w:t xml:space="preserve"> </w:t>
      </w:r>
      <w:r>
        <w:rPr>
          <w:spacing w:val="1"/>
        </w:rPr>
        <w:t>International</w:t>
      </w:r>
      <w:r w:rsidR="00932420">
        <w:rPr>
          <w:spacing w:val="1"/>
        </w:rPr>
        <w:t xml:space="preserve"> </w:t>
      </w:r>
      <w:r>
        <w:rPr>
          <w:spacing w:val="1"/>
        </w:rPr>
        <w:t>spend</w:t>
      </w:r>
      <w:r w:rsidR="00932420">
        <w:rPr>
          <w:spacing w:val="1"/>
        </w:rPr>
        <w:t xml:space="preserve"> </w:t>
      </w:r>
      <w:r>
        <w:rPr>
          <w:spacing w:val="1"/>
        </w:rPr>
        <w:t>was</w:t>
      </w:r>
      <w:r w:rsidR="00932420">
        <w:rPr>
          <w:spacing w:val="1"/>
        </w:rPr>
        <w:t xml:space="preserve"> </w:t>
      </w:r>
      <w:r>
        <w:rPr>
          <w:spacing w:val="1"/>
        </w:rPr>
        <w:t>at</w:t>
      </w:r>
      <w:r w:rsidR="00932420">
        <w:rPr>
          <w:spacing w:val="1"/>
        </w:rPr>
        <w:t xml:space="preserve"> </w:t>
      </w:r>
      <w:r>
        <w:rPr>
          <w:spacing w:val="1"/>
        </w:rPr>
        <w:t>49%</w:t>
      </w:r>
      <w:r w:rsidR="00932420">
        <w:rPr>
          <w:spacing w:val="1"/>
        </w:rPr>
        <w:t xml:space="preserve"> </w:t>
      </w:r>
      <w:r>
        <w:rPr>
          <w:spacing w:val="1"/>
        </w:rPr>
        <w:t>of</w:t>
      </w:r>
      <w:r w:rsidR="00932420">
        <w:rPr>
          <w:spacing w:val="1"/>
        </w:rPr>
        <w:t xml:space="preserve"> </w:t>
      </w:r>
      <w:r>
        <w:rPr>
          <w:spacing w:val="1"/>
        </w:rPr>
        <w:t>the</w:t>
      </w:r>
      <w:r w:rsidR="00932420">
        <w:rPr>
          <w:spacing w:val="1"/>
        </w:rPr>
        <w:t xml:space="preserve"> </w:t>
      </w:r>
      <w:r>
        <w:rPr>
          <w:spacing w:val="1"/>
        </w:rPr>
        <w:t>pre-pandemic</w:t>
      </w:r>
      <w:r w:rsidR="00932420">
        <w:rPr>
          <w:spacing w:val="1"/>
        </w:rPr>
        <w:t xml:space="preserve"> </w:t>
      </w:r>
      <w:r>
        <w:rPr>
          <w:spacing w:val="1"/>
        </w:rPr>
        <w:t>level</w:t>
      </w:r>
      <w:r w:rsidR="00932420">
        <w:rPr>
          <w:spacing w:val="1"/>
        </w:rPr>
        <w:t xml:space="preserve"> </w:t>
      </w:r>
      <w:r>
        <w:rPr>
          <w:spacing w:val="1"/>
        </w:rPr>
        <w:t>at</w:t>
      </w:r>
      <w:r w:rsidR="00932420">
        <w:rPr>
          <w:spacing w:val="1"/>
        </w:rPr>
        <w:t xml:space="preserve"> </w:t>
      </w:r>
      <w:r>
        <w:rPr>
          <w:spacing w:val="1"/>
        </w:rPr>
        <w:t>$4.2</w:t>
      </w:r>
      <w:r w:rsidR="00932420">
        <w:rPr>
          <w:spacing w:val="1"/>
        </w:rPr>
        <w:t xml:space="preserve"> </w:t>
      </w:r>
      <w:r>
        <w:rPr>
          <w:spacing w:val="1"/>
        </w:rPr>
        <w:t>billion,</w:t>
      </w:r>
      <w:r w:rsidR="00932420">
        <w:rPr>
          <w:spacing w:val="1"/>
        </w:rPr>
        <w:t xml:space="preserve"> </w:t>
      </w:r>
      <w:r>
        <w:rPr>
          <w:spacing w:val="-1"/>
        </w:rPr>
        <w:t>while</w:t>
      </w:r>
      <w:r w:rsidR="00932420">
        <w:rPr>
          <w:spacing w:val="-1"/>
        </w:rPr>
        <w:t xml:space="preserve"> </w:t>
      </w:r>
      <w:r>
        <w:rPr>
          <w:spacing w:val="-1"/>
        </w:rPr>
        <w:t>international</w:t>
      </w:r>
      <w:r w:rsidR="00932420">
        <w:rPr>
          <w:spacing w:val="-1"/>
        </w:rPr>
        <w:t xml:space="preserve"> </w:t>
      </w:r>
      <w:r>
        <w:rPr>
          <w:spacing w:val="-1"/>
        </w:rPr>
        <w:t>overnight</w:t>
      </w:r>
      <w:r w:rsidR="00932420">
        <w:rPr>
          <w:spacing w:val="-1"/>
        </w:rPr>
        <w:t xml:space="preserve"> </w:t>
      </w:r>
      <w:r>
        <w:rPr>
          <w:spacing w:val="-1"/>
        </w:rPr>
        <w:t>visitors</w:t>
      </w:r>
      <w:r w:rsidR="00932420">
        <w:rPr>
          <w:spacing w:val="-1"/>
        </w:rPr>
        <w:t xml:space="preserve"> </w:t>
      </w:r>
      <w:r>
        <w:rPr>
          <w:spacing w:val="-1"/>
        </w:rPr>
        <w:t>were</w:t>
      </w:r>
      <w:r w:rsidR="00932420">
        <w:rPr>
          <w:spacing w:val="-1"/>
        </w:rPr>
        <w:t xml:space="preserve"> </w:t>
      </w:r>
      <w:r>
        <w:rPr>
          <w:spacing w:val="-1"/>
        </w:rPr>
        <w:t>at</w:t>
      </w:r>
      <w:r w:rsidR="00932420">
        <w:rPr>
          <w:spacing w:val="-1"/>
        </w:rPr>
        <w:t xml:space="preserve"> </w:t>
      </w:r>
      <w:r>
        <w:rPr>
          <w:spacing w:val="-1"/>
        </w:rPr>
        <w:t>46%</w:t>
      </w:r>
      <w:r w:rsidR="00932420">
        <w:rPr>
          <w:spacing w:val="-1"/>
        </w:rPr>
        <w:t xml:space="preserve"> </w:t>
      </w:r>
      <w:r>
        <w:t>of</w:t>
      </w:r>
      <w:r w:rsidR="00932420">
        <w:t xml:space="preserve"> </w:t>
      </w:r>
      <w:r>
        <w:t>the</w:t>
      </w:r>
      <w:r w:rsidR="00932420">
        <w:t xml:space="preserve"> </w:t>
      </w:r>
      <w:r>
        <w:t>pre-pandemic</w:t>
      </w:r>
      <w:r w:rsidR="00932420">
        <w:t xml:space="preserve"> </w:t>
      </w:r>
      <w:r>
        <w:t>result</w:t>
      </w:r>
      <w:r w:rsidR="00932420">
        <w:t xml:space="preserve"> </w:t>
      </w:r>
      <w:r>
        <w:t>(1.4</w:t>
      </w:r>
      <w:r w:rsidR="00932420">
        <w:t xml:space="preserve"> </w:t>
      </w:r>
      <w:r>
        <w:t>million).</w:t>
      </w:r>
      <w:r w:rsidR="00932420">
        <w:t xml:space="preserve"> </w:t>
      </w:r>
    </w:p>
    <w:p w14:paraId="00A93B33" w14:textId="709DE1A1" w:rsidR="00CA3C5B" w:rsidRDefault="00260033" w:rsidP="00296C3F">
      <w:r>
        <w:t>China</w:t>
      </w:r>
      <w:r w:rsidR="00932420">
        <w:t xml:space="preserve"> </w:t>
      </w:r>
      <w:r>
        <w:t>returned</w:t>
      </w:r>
      <w:r w:rsidR="00932420">
        <w:t xml:space="preserve"> </w:t>
      </w:r>
      <w:r>
        <w:t>as</w:t>
      </w:r>
      <w:r w:rsidR="00932420">
        <w:t xml:space="preserve"> </w:t>
      </w:r>
      <w:r>
        <w:t>Victoria’s</w:t>
      </w:r>
      <w:r w:rsidR="00932420">
        <w:t xml:space="preserve"> </w:t>
      </w:r>
      <w:r>
        <w:t>number</w:t>
      </w:r>
      <w:r w:rsidR="00932420">
        <w:t xml:space="preserve"> </w:t>
      </w:r>
      <w:r>
        <w:t>one</w:t>
      </w:r>
      <w:r w:rsidR="00932420">
        <w:t xml:space="preserve"> </w:t>
      </w:r>
      <w:r>
        <w:t>international</w:t>
      </w:r>
      <w:r w:rsidR="00932420">
        <w:t xml:space="preserve"> </w:t>
      </w:r>
      <w:r>
        <w:t>market</w:t>
      </w:r>
      <w:r w:rsidR="00932420">
        <w:t xml:space="preserve"> </w:t>
      </w:r>
      <w:r>
        <w:t>in</w:t>
      </w:r>
      <w:r w:rsidR="00932420">
        <w:t xml:space="preserve"> </w:t>
      </w:r>
      <w:r>
        <w:t>expenditure</w:t>
      </w:r>
      <w:r w:rsidR="00932420">
        <w:t xml:space="preserve"> </w:t>
      </w:r>
      <w:r>
        <w:t>since</w:t>
      </w:r>
      <w:r w:rsidR="00932420">
        <w:t xml:space="preserve"> </w:t>
      </w:r>
      <w:r>
        <w:t>borders</w:t>
      </w:r>
      <w:r w:rsidR="00932420">
        <w:t xml:space="preserve"> </w:t>
      </w:r>
      <w:r>
        <w:t>reopened</w:t>
      </w:r>
      <w:r w:rsidR="00932420">
        <w:t xml:space="preserve"> </w:t>
      </w:r>
      <w:r>
        <w:t>in</w:t>
      </w:r>
      <w:r w:rsidR="00932420">
        <w:t xml:space="preserve"> </w:t>
      </w:r>
      <w:r>
        <w:t>January</w:t>
      </w:r>
      <w:r w:rsidR="00932420">
        <w:t xml:space="preserve"> </w:t>
      </w:r>
      <w:r>
        <w:t>2023.</w:t>
      </w:r>
      <w:r w:rsidR="00932420">
        <w:t xml:space="preserve"> </w:t>
      </w:r>
      <w:r>
        <w:t>India</w:t>
      </w:r>
      <w:r w:rsidR="00932420">
        <w:t xml:space="preserve"> </w:t>
      </w:r>
      <w:r>
        <w:t>also</w:t>
      </w:r>
      <w:r w:rsidR="00932420">
        <w:t xml:space="preserve"> </w:t>
      </w:r>
      <w:r>
        <w:t>continued</w:t>
      </w:r>
      <w:r w:rsidR="00932420">
        <w:t xml:space="preserve"> </w:t>
      </w:r>
      <w:r>
        <w:t>to</w:t>
      </w:r>
      <w:r w:rsidR="00932420">
        <w:t xml:space="preserve"> </w:t>
      </w:r>
      <w:r>
        <w:t>grow</w:t>
      </w:r>
      <w:r w:rsidR="00932420">
        <w:t xml:space="preserve"> </w:t>
      </w:r>
      <w:r>
        <w:t>its</w:t>
      </w:r>
      <w:r w:rsidR="00932420">
        <w:t xml:space="preserve"> </w:t>
      </w:r>
      <w:r>
        <w:t>international</w:t>
      </w:r>
      <w:r w:rsidR="00932420">
        <w:t xml:space="preserve"> </w:t>
      </w:r>
      <w:r>
        <w:t>market</w:t>
      </w:r>
      <w:r w:rsidR="00932420">
        <w:t xml:space="preserve"> </w:t>
      </w:r>
      <w:r>
        <w:t>with</w:t>
      </w:r>
      <w:r w:rsidR="00932420">
        <w:t xml:space="preserve"> </w:t>
      </w:r>
      <w:r>
        <w:t>visitor</w:t>
      </w:r>
      <w:r w:rsidR="00932420">
        <w:t xml:space="preserve"> </w:t>
      </w:r>
      <w:r>
        <w:t>expenditure</w:t>
      </w:r>
      <w:r w:rsidR="00932420">
        <w:t xml:space="preserve"> </w:t>
      </w:r>
      <w:r>
        <w:t>11%</w:t>
      </w:r>
      <w:r w:rsidR="00932420">
        <w:t xml:space="preserve"> </w:t>
      </w:r>
      <w:r>
        <w:t>higher</w:t>
      </w:r>
      <w:r w:rsidR="00932420">
        <w:t xml:space="preserve"> </w:t>
      </w:r>
      <w:r>
        <w:t>than</w:t>
      </w:r>
      <w:r w:rsidR="00932420">
        <w:t xml:space="preserve"> </w:t>
      </w:r>
      <w:r>
        <w:t>pre-pandemic</w:t>
      </w:r>
      <w:r w:rsidR="00932420">
        <w:t xml:space="preserve"> </w:t>
      </w:r>
      <w:r>
        <w:t>levels</w:t>
      </w:r>
      <w:r w:rsidR="00932420">
        <w:t xml:space="preserve"> </w:t>
      </w:r>
      <w:r>
        <w:t>for</w:t>
      </w:r>
      <w:r w:rsidR="00932420">
        <w:t xml:space="preserve"> </w:t>
      </w:r>
      <w:r>
        <w:t>the</w:t>
      </w:r>
      <w:r w:rsidR="00932420">
        <w:t xml:space="preserve"> </w:t>
      </w:r>
      <w:r>
        <w:t>year</w:t>
      </w:r>
      <w:r w:rsidR="00932420">
        <w:t xml:space="preserve"> </w:t>
      </w:r>
      <w:r>
        <w:t>ending</w:t>
      </w:r>
      <w:r w:rsidR="00932420">
        <w:t xml:space="preserve"> </w:t>
      </w:r>
      <w:r>
        <w:t>March</w:t>
      </w:r>
      <w:r w:rsidR="00932420">
        <w:t xml:space="preserve"> </w:t>
      </w:r>
      <w:r>
        <w:t>2023.</w:t>
      </w:r>
    </w:p>
    <w:p w14:paraId="7750D1A4" w14:textId="79093977" w:rsidR="00CA3C5B" w:rsidRDefault="00260033" w:rsidP="00296C3F">
      <w:pPr>
        <w:pStyle w:val="Normalbeforebullets"/>
      </w:pPr>
      <w:r>
        <w:t>Delivery</w:t>
      </w:r>
      <w:r w:rsidR="00932420">
        <w:t xml:space="preserve"> </w:t>
      </w:r>
      <w:r>
        <w:t>continued</w:t>
      </w:r>
      <w:r w:rsidR="00932420">
        <w:t xml:space="preserve"> </w:t>
      </w:r>
      <w:r>
        <w:t>for</w:t>
      </w:r>
      <w:r w:rsidR="00932420">
        <w:t xml:space="preserve"> </w:t>
      </w:r>
      <w:r>
        <w:t>the</w:t>
      </w:r>
      <w:r w:rsidR="00932420">
        <w:t xml:space="preserve"> </w:t>
      </w:r>
      <w:r>
        <w:t>following</w:t>
      </w:r>
      <w:r w:rsidR="00932420">
        <w:t xml:space="preserve"> </w:t>
      </w:r>
      <w:r>
        <w:t>initiatives</w:t>
      </w:r>
      <w:r w:rsidR="00932420">
        <w:t xml:space="preserve"> </w:t>
      </w:r>
      <w:r>
        <w:t>within</w:t>
      </w:r>
      <w:r w:rsidR="00932420">
        <w:t xml:space="preserve"> </w:t>
      </w:r>
      <w:r>
        <w:t>the</w:t>
      </w:r>
      <w:r w:rsidR="00932420">
        <w:t xml:space="preserve"> </w:t>
      </w:r>
      <w:r>
        <w:t>Victorian</w:t>
      </w:r>
      <w:r w:rsidR="00932420">
        <w:t xml:space="preserve"> </w:t>
      </w:r>
      <w:r>
        <w:t>Visitor</w:t>
      </w:r>
      <w:r w:rsidR="00932420">
        <w:t xml:space="preserve"> </w:t>
      </w:r>
      <w:r>
        <w:t>Economy</w:t>
      </w:r>
      <w:r w:rsidR="00932420">
        <w:t xml:space="preserve"> </w:t>
      </w:r>
      <w:r>
        <w:t>Recovery</w:t>
      </w:r>
      <w:r w:rsidR="00932420">
        <w:t xml:space="preserve"> </w:t>
      </w:r>
      <w:r>
        <w:t>and</w:t>
      </w:r>
      <w:r w:rsidR="00932420">
        <w:t xml:space="preserve"> </w:t>
      </w:r>
      <w:r>
        <w:t>Reform</w:t>
      </w:r>
      <w:r w:rsidR="00932420">
        <w:t xml:space="preserve"> </w:t>
      </w:r>
      <w:r>
        <w:t>Plan</w:t>
      </w:r>
      <w:r w:rsidR="00932420">
        <w:t xml:space="preserve"> </w:t>
      </w:r>
      <w:r>
        <w:t>in</w:t>
      </w:r>
      <w:r w:rsidR="00932420">
        <w:t xml:space="preserve"> </w:t>
      </w:r>
      <w:r>
        <w:t>2022–23:</w:t>
      </w:r>
      <w:r w:rsidR="00932420">
        <w:t xml:space="preserve"> </w:t>
      </w:r>
    </w:p>
    <w:p w14:paraId="728770AB" w14:textId="47E5099C" w:rsidR="00CA3C5B" w:rsidRDefault="00260033" w:rsidP="00296C3F">
      <w:pPr>
        <w:pStyle w:val="Bullet"/>
      </w:pPr>
      <w:r>
        <w:t>Continued</w:t>
      </w:r>
      <w:r w:rsidR="00932420">
        <w:t xml:space="preserve"> </w:t>
      </w:r>
      <w:r>
        <w:t>roll</w:t>
      </w:r>
      <w:r w:rsidR="00932420">
        <w:t xml:space="preserve"> </w:t>
      </w:r>
      <w:r>
        <w:t>out</w:t>
      </w:r>
      <w:r w:rsidR="00932420">
        <w:t xml:space="preserve"> </w:t>
      </w:r>
      <w:r>
        <w:t>of</w:t>
      </w:r>
      <w:r w:rsidR="00932420">
        <w:t xml:space="preserve"> </w:t>
      </w:r>
      <w:r>
        <w:t>Visit</w:t>
      </w:r>
      <w:r w:rsidR="00932420">
        <w:t xml:space="preserve"> </w:t>
      </w:r>
      <w:r>
        <w:t>Victoria’s</w:t>
      </w:r>
      <w:r w:rsidR="00932420">
        <w:t xml:space="preserve"> </w:t>
      </w:r>
      <w:r>
        <w:t>marketing</w:t>
      </w:r>
      <w:r w:rsidR="00932420">
        <w:t xml:space="preserve"> </w:t>
      </w:r>
      <w:r>
        <w:t>campaigns</w:t>
      </w:r>
      <w:r w:rsidR="00932420">
        <w:t xml:space="preserve"> </w:t>
      </w:r>
      <w:r w:rsidRPr="00296C3F">
        <w:rPr>
          <w:i/>
          <w:iCs/>
        </w:rPr>
        <w:t>Stay</w:t>
      </w:r>
      <w:r w:rsidR="00932420" w:rsidRPr="00296C3F">
        <w:rPr>
          <w:i/>
          <w:iCs/>
        </w:rPr>
        <w:t xml:space="preserve"> </w:t>
      </w:r>
      <w:r w:rsidRPr="00296C3F">
        <w:rPr>
          <w:i/>
          <w:iCs/>
        </w:rPr>
        <w:t>close,</w:t>
      </w:r>
      <w:r w:rsidR="00932420" w:rsidRPr="00296C3F">
        <w:rPr>
          <w:i/>
          <w:iCs/>
        </w:rPr>
        <w:t xml:space="preserve"> </w:t>
      </w:r>
      <w:r w:rsidRPr="00296C3F">
        <w:rPr>
          <w:i/>
          <w:iCs/>
        </w:rPr>
        <w:t>go</w:t>
      </w:r>
      <w:r w:rsidR="00932420" w:rsidRPr="00296C3F">
        <w:rPr>
          <w:i/>
          <w:iCs/>
        </w:rPr>
        <w:t xml:space="preserve"> </w:t>
      </w:r>
      <w:r w:rsidRPr="00296C3F">
        <w:rPr>
          <w:i/>
          <w:iCs/>
        </w:rPr>
        <w:t>further</w:t>
      </w:r>
      <w:r w:rsidR="00932420">
        <w:t xml:space="preserve"> </w:t>
      </w:r>
      <w:r>
        <w:t>and</w:t>
      </w:r>
      <w:r w:rsidR="00932420">
        <w:t xml:space="preserve"> </w:t>
      </w:r>
      <w:r w:rsidRPr="00296C3F">
        <w:rPr>
          <w:i/>
          <w:iCs/>
        </w:rPr>
        <w:t>Get</w:t>
      </w:r>
      <w:r w:rsidR="00932420" w:rsidRPr="00296C3F">
        <w:rPr>
          <w:i/>
          <w:iCs/>
        </w:rPr>
        <w:t xml:space="preserve"> </w:t>
      </w:r>
      <w:r w:rsidRPr="00296C3F">
        <w:rPr>
          <w:i/>
          <w:iCs/>
        </w:rPr>
        <w:t>Set</w:t>
      </w:r>
    </w:p>
    <w:p w14:paraId="50FA51AC" w14:textId="0D6D1039" w:rsidR="00CA3C5B" w:rsidRDefault="00260033" w:rsidP="00296C3F">
      <w:pPr>
        <w:pStyle w:val="Bullet"/>
      </w:pPr>
      <w:r>
        <w:t>Continued</w:t>
      </w:r>
      <w:r w:rsidR="00932420">
        <w:t xml:space="preserve"> </w:t>
      </w:r>
      <w:r>
        <w:t>work</w:t>
      </w:r>
      <w:r w:rsidR="00932420">
        <w:t xml:space="preserve"> </w:t>
      </w:r>
      <w:r>
        <w:t>with</w:t>
      </w:r>
      <w:r w:rsidR="00932420">
        <w:t xml:space="preserve"> </w:t>
      </w:r>
      <w:r>
        <w:t>Visit</w:t>
      </w:r>
      <w:r w:rsidR="00932420">
        <w:t xml:space="preserve"> </w:t>
      </w:r>
      <w:r>
        <w:t>Victoria</w:t>
      </w:r>
      <w:r w:rsidR="00932420">
        <w:t xml:space="preserve"> </w:t>
      </w:r>
      <w:r>
        <w:t>and</w:t>
      </w:r>
      <w:r w:rsidR="00932420">
        <w:t xml:space="preserve"> </w:t>
      </w:r>
      <w:r>
        <w:t>the</w:t>
      </w:r>
      <w:r w:rsidR="00932420">
        <w:t xml:space="preserve"> </w:t>
      </w:r>
      <w:r>
        <w:t>Melbourne</w:t>
      </w:r>
      <w:r w:rsidR="00932420">
        <w:t xml:space="preserve"> </w:t>
      </w:r>
      <w:r>
        <w:t>Convention</w:t>
      </w:r>
      <w:r w:rsidR="00932420">
        <w:t xml:space="preserve"> </w:t>
      </w:r>
      <w:r>
        <w:t>Bureau,</w:t>
      </w:r>
      <w:r w:rsidR="00932420">
        <w:t xml:space="preserve"> </w:t>
      </w:r>
      <w:r>
        <w:t>delivering</w:t>
      </w:r>
      <w:r w:rsidR="00932420">
        <w:t xml:space="preserve"> </w:t>
      </w:r>
      <w:r>
        <w:t>a</w:t>
      </w:r>
      <w:r w:rsidR="00932420">
        <w:t xml:space="preserve"> </w:t>
      </w:r>
      <w:r>
        <w:rPr>
          <w:spacing w:val="-1"/>
        </w:rPr>
        <w:t>strong</w:t>
      </w:r>
      <w:r w:rsidR="00932420">
        <w:rPr>
          <w:spacing w:val="-1"/>
        </w:rPr>
        <w:t xml:space="preserve"> </w:t>
      </w:r>
      <w:r>
        <w:rPr>
          <w:spacing w:val="-1"/>
        </w:rPr>
        <w:t>calendar</w:t>
      </w:r>
      <w:r w:rsidR="00932420">
        <w:rPr>
          <w:spacing w:val="-1"/>
        </w:rPr>
        <w:t xml:space="preserve"> </w:t>
      </w:r>
      <w:r>
        <w:rPr>
          <w:spacing w:val="-1"/>
        </w:rPr>
        <w:t>of</w:t>
      </w:r>
      <w:r w:rsidR="00932420">
        <w:rPr>
          <w:spacing w:val="-1"/>
        </w:rPr>
        <w:t xml:space="preserve"> </w:t>
      </w:r>
      <w:r>
        <w:rPr>
          <w:spacing w:val="-1"/>
        </w:rPr>
        <w:t>major,</w:t>
      </w:r>
      <w:r w:rsidR="00932420">
        <w:rPr>
          <w:spacing w:val="-1"/>
        </w:rPr>
        <w:t xml:space="preserve"> </w:t>
      </w:r>
      <w:proofErr w:type="gramStart"/>
      <w:r>
        <w:rPr>
          <w:spacing w:val="-1"/>
        </w:rPr>
        <w:t>business</w:t>
      </w:r>
      <w:proofErr w:type="gramEnd"/>
      <w:r w:rsidR="00932420">
        <w:rPr>
          <w:spacing w:val="-1"/>
        </w:rPr>
        <w:t xml:space="preserve"> </w:t>
      </w:r>
      <w:r>
        <w:rPr>
          <w:spacing w:val="-1"/>
        </w:rPr>
        <w:t>and</w:t>
      </w:r>
      <w:r w:rsidR="00932420">
        <w:rPr>
          <w:spacing w:val="-1"/>
        </w:rPr>
        <w:t xml:space="preserve"> </w:t>
      </w:r>
      <w:r>
        <w:rPr>
          <w:spacing w:val="-1"/>
        </w:rPr>
        <w:t>regional</w:t>
      </w:r>
      <w:r w:rsidR="00932420">
        <w:rPr>
          <w:spacing w:val="-1"/>
        </w:rPr>
        <w:t xml:space="preserve"> </w:t>
      </w:r>
      <w:r>
        <w:t>events</w:t>
      </w:r>
      <w:r w:rsidR="00932420">
        <w:t xml:space="preserve"> </w:t>
      </w:r>
      <w:r>
        <w:t>for</w:t>
      </w:r>
      <w:r w:rsidR="00932420">
        <w:t xml:space="preserve"> </w:t>
      </w:r>
      <w:r>
        <w:t>Victoria</w:t>
      </w:r>
      <w:r w:rsidR="00932420">
        <w:t xml:space="preserve"> </w:t>
      </w:r>
      <w:r>
        <w:t>including</w:t>
      </w:r>
      <w:r w:rsidR="00932420">
        <w:t xml:space="preserve"> </w:t>
      </w:r>
      <w:r>
        <w:t>the</w:t>
      </w:r>
      <w:r w:rsidR="00932420">
        <w:t xml:space="preserve"> </w:t>
      </w:r>
      <w:r>
        <w:t>Melbourne</w:t>
      </w:r>
      <w:r w:rsidR="00932420">
        <w:t xml:space="preserve"> </w:t>
      </w:r>
      <w:r>
        <w:t>Winter</w:t>
      </w:r>
      <w:r w:rsidR="00932420">
        <w:t xml:space="preserve"> </w:t>
      </w:r>
      <w:r>
        <w:t>Masterpieces</w:t>
      </w:r>
      <w:r w:rsidR="00932420">
        <w:t xml:space="preserve"> </w:t>
      </w:r>
      <w:r w:rsidRPr="00D23DEC">
        <w:rPr>
          <w:i/>
          <w:iCs/>
        </w:rPr>
        <w:t>Goddess</w:t>
      </w:r>
      <w:r w:rsidR="00932420">
        <w:t xml:space="preserve"> </w:t>
      </w:r>
      <w:r>
        <w:t>exhibition</w:t>
      </w:r>
      <w:r w:rsidR="00932420">
        <w:t xml:space="preserve"> </w:t>
      </w:r>
      <w:r>
        <w:t>at</w:t>
      </w:r>
      <w:r w:rsidR="00932420">
        <w:t xml:space="preserve"> </w:t>
      </w:r>
      <w:r>
        <w:t>ACMI,</w:t>
      </w:r>
      <w:r w:rsidR="00932420">
        <w:t xml:space="preserve"> </w:t>
      </w:r>
      <w:proofErr w:type="spellStart"/>
      <w:r>
        <w:t>SpineWeek</w:t>
      </w:r>
      <w:proofErr w:type="spellEnd"/>
      <w:r w:rsidR="00932420">
        <w:t xml:space="preserve"> </w:t>
      </w:r>
      <w:r>
        <w:t>2023</w:t>
      </w:r>
      <w:r w:rsidR="00932420">
        <w:t xml:space="preserve"> </w:t>
      </w:r>
      <w:r>
        <w:t>and</w:t>
      </w:r>
      <w:r w:rsidR="00932420">
        <w:t xml:space="preserve"> </w:t>
      </w:r>
      <w:r>
        <w:t>the</w:t>
      </w:r>
      <w:r w:rsidR="00932420">
        <w:t xml:space="preserve"> </w:t>
      </w:r>
      <w:r>
        <w:t>Grampians</w:t>
      </w:r>
      <w:r w:rsidR="00932420">
        <w:t xml:space="preserve"> </w:t>
      </w:r>
      <w:r>
        <w:t>Grape</w:t>
      </w:r>
      <w:r w:rsidR="00932420">
        <w:t xml:space="preserve"> </w:t>
      </w:r>
      <w:r>
        <w:t>Escape</w:t>
      </w:r>
    </w:p>
    <w:p w14:paraId="2E1C0F93" w14:textId="600C1955" w:rsidR="00CA3C5B" w:rsidRDefault="00260033" w:rsidP="00296C3F">
      <w:pPr>
        <w:pStyle w:val="Bullet"/>
      </w:pPr>
      <w:r>
        <w:t>Facilitated</w:t>
      </w:r>
      <w:r w:rsidR="00932420">
        <w:t xml:space="preserve"> </w:t>
      </w:r>
      <w:r>
        <w:t>public</w:t>
      </w:r>
      <w:r w:rsidR="00932420">
        <w:t xml:space="preserve"> </w:t>
      </w:r>
      <w:r>
        <w:t>and</w:t>
      </w:r>
      <w:r w:rsidR="00932420">
        <w:t xml:space="preserve"> </w:t>
      </w:r>
      <w:r>
        <w:t>private</w:t>
      </w:r>
      <w:r w:rsidR="00932420">
        <w:t xml:space="preserve"> </w:t>
      </w:r>
      <w:r>
        <w:t>sector</w:t>
      </w:r>
      <w:r w:rsidR="00932420">
        <w:t xml:space="preserve"> </w:t>
      </w:r>
      <w:r>
        <w:t>infrastructure</w:t>
      </w:r>
      <w:r w:rsidR="00932420">
        <w:t xml:space="preserve"> </w:t>
      </w:r>
      <w:r>
        <w:t>development</w:t>
      </w:r>
      <w:r w:rsidR="00932420">
        <w:t xml:space="preserve"> </w:t>
      </w:r>
      <w:r>
        <w:t>through</w:t>
      </w:r>
      <w:r w:rsidR="00932420">
        <w:t xml:space="preserve"> </w:t>
      </w:r>
      <w:r>
        <w:t>the</w:t>
      </w:r>
      <w:r w:rsidR="00932420">
        <w:t xml:space="preserve"> </w:t>
      </w:r>
      <w:r>
        <w:t>$310</w:t>
      </w:r>
      <w:r w:rsidR="00932420">
        <w:t xml:space="preserve"> </w:t>
      </w:r>
      <w:r>
        <w:t>million</w:t>
      </w:r>
      <w:r w:rsidR="00932420">
        <w:t xml:space="preserve"> </w:t>
      </w:r>
      <w:r>
        <w:t>Tourism</w:t>
      </w:r>
      <w:r w:rsidR="00932420">
        <w:t xml:space="preserve"> </w:t>
      </w:r>
      <w:r>
        <w:t>Infrastructure</w:t>
      </w:r>
      <w:r w:rsidR="00932420">
        <w:t xml:space="preserve"> </w:t>
      </w:r>
      <w:r>
        <w:t>program</w:t>
      </w:r>
    </w:p>
    <w:p w14:paraId="058E36F3" w14:textId="2DE2450B" w:rsidR="00CA3C5B" w:rsidRDefault="00260033" w:rsidP="00296C3F">
      <w:pPr>
        <w:pStyle w:val="Bullet"/>
      </w:pPr>
      <w:r>
        <w:t>Launched</w:t>
      </w:r>
      <w:r w:rsidR="00932420">
        <w:t xml:space="preserve"> </w:t>
      </w:r>
      <w:r>
        <w:t>the</w:t>
      </w:r>
      <w:r w:rsidR="00932420">
        <w:t xml:space="preserve"> </w:t>
      </w:r>
      <w:r>
        <w:t>$3</w:t>
      </w:r>
      <w:r w:rsidR="00932420">
        <w:t xml:space="preserve"> </w:t>
      </w:r>
      <w:r>
        <w:t>million</w:t>
      </w:r>
      <w:r w:rsidR="00932420">
        <w:t xml:space="preserve"> </w:t>
      </w:r>
      <w:r>
        <w:t>Visitor</w:t>
      </w:r>
      <w:r w:rsidR="00932420">
        <w:t xml:space="preserve"> </w:t>
      </w:r>
      <w:r>
        <w:t>Servicing</w:t>
      </w:r>
      <w:r w:rsidR="00932420">
        <w:t xml:space="preserve"> </w:t>
      </w:r>
      <w:r>
        <w:t>program</w:t>
      </w:r>
      <w:r w:rsidR="00932420">
        <w:t xml:space="preserve"> </w:t>
      </w:r>
      <w:r>
        <w:t>in</w:t>
      </w:r>
      <w:r w:rsidR="00932420">
        <w:t xml:space="preserve"> </w:t>
      </w:r>
      <w:r>
        <w:t>May</w:t>
      </w:r>
      <w:r w:rsidR="00932420">
        <w:t xml:space="preserve"> </w:t>
      </w:r>
      <w:r>
        <w:t>2023</w:t>
      </w:r>
      <w:r w:rsidR="00932420">
        <w:t xml:space="preserve"> </w:t>
      </w:r>
      <w:r>
        <w:t>–</w:t>
      </w:r>
      <w:r w:rsidR="00932420">
        <w:t xml:space="preserve"> </w:t>
      </w:r>
      <w:r>
        <w:t>a</w:t>
      </w:r>
      <w:r w:rsidR="00932420">
        <w:t xml:space="preserve"> </w:t>
      </w:r>
      <w:r>
        <w:t>new</w:t>
      </w:r>
      <w:r w:rsidR="00932420">
        <w:t xml:space="preserve"> </w:t>
      </w:r>
      <w:r>
        <w:t>grant</w:t>
      </w:r>
      <w:r w:rsidR="00932420">
        <w:t xml:space="preserve"> </w:t>
      </w:r>
      <w:r>
        <w:t>program</w:t>
      </w:r>
      <w:r w:rsidR="00932420">
        <w:t xml:space="preserve"> </w:t>
      </w:r>
      <w:r>
        <w:t>to</w:t>
      </w:r>
      <w:r w:rsidR="00932420">
        <w:t xml:space="preserve"> </w:t>
      </w:r>
      <w:r>
        <w:t>develop</w:t>
      </w:r>
      <w:r w:rsidR="00932420">
        <w:t xml:space="preserve"> </w:t>
      </w:r>
      <w:r>
        <w:t>innovative</w:t>
      </w:r>
      <w:r w:rsidR="00932420">
        <w:t xml:space="preserve"> </w:t>
      </w:r>
      <w:r>
        <w:t>ways</w:t>
      </w:r>
      <w:r w:rsidR="00932420">
        <w:t xml:space="preserve"> </w:t>
      </w:r>
      <w:r>
        <w:t>to</w:t>
      </w:r>
      <w:r w:rsidR="00932420">
        <w:t xml:space="preserve"> </w:t>
      </w:r>
      <w:r>
        <w:t>encourage</w:t>
      </w:r>
      <w:r w:rsidR="00932420">
        <w:t xml:space="preserve"> </w:t>
      </w:r>
      <w:r>
        <w:t>people</w:t>
      </w:r>
      <w:r w:rsidR="00932420">
        <w:t xml:space="preserve"> </w:t>
      </w:r>
      <w:r>
        <w:t>to</w:t>
      </w:r>
      <w:r w:rsidR="00932420">
        <w:t xml:space="preserve"> </w:t>
      </w:r>
      <w:r>
        <w:t>stay</w:t>
      </w:r>
      <w:r w:rsidR="00932420">
        <w:t xml:space="preserve"> </w:t>
      </w:r>
      <w:r>
        <w:t>longer</w:t>
      </w:r>
      <w:r w:rsidR="00932420">
        <w:t xml:space="preserve"> </w:t>
      </w:r>
      <w:r>
        <w:t>and</w:t>
      </w:r>
      <w:r w:rsidR="00932420">
        <w:t xml:space="preserve"> </w:t>
      </w:r>
      <w:r>
        <w:t>experience</w:t>
      </w:r>
      <w:r w:rsidR="00932420">
        <w:t xml:space="preserve"> </w:t>
      </w:r>
      <w:r>
        <w:t>the</w:t>
      </w:r>
      <w:r w:rsidR="00932420">
        <w:t xml:space="preserve"> </w:t>
      </w:r>
      <w:r>
        <w:t>best</w:t>
      </w:r>
      <w:r w:rsidR="00932420">
        <w:t xml:space="preserve"> </w:t>
      </w:r>
      <w:r>
        <w:t>of</w:t>
      </w:r>
      <w:r w:rsidR="00932420">
        <w:t xml:space="preserve"> </w:t>
      </w:r>
      <w:r>
        <w:t>Victoria</w:t>
      </w:r>
    </w:p>
    <w:p w14:paraId="3BDEB2C3" w14:textId="33AEF45A" w:rsidR="00CA3C5B" w:rsidRDefault="00260033" w:rsidP="00296C3F">
      <w:pPr>
        <w:pStyle w:val="Bulletlast"/>
      </w:pPr>
      <w:r>
        <w:t>Announced</w:t>
      </w:r>
      <w:r w:rsidR="00932420">
        <w:t xml:space="preserve"> </w:t>
      </w:r>
      <w:r>
        <w:t>the</w:t>
      </w:r>
      <w:r w:rsidR="00932420">
        <w:t xml:space="preserve"> </w:t>
      </w:r>
      <w:r>
        <w:t>successful</w:t>
      </w:r>
      <w:r w:rsidR="00932420">
        <w:t xml:space="preserve"> </w:t>
      </w:r>
      <w:r>
        <w:t>applicants</w:t>
      </w:r>
      <w:r w:rsidR="00932420">
        <w:t xml:space="preserve"> </w:t>
      </w:r>
      <w:r>
        <w:t>of</w:t>
      </w:r>
      <w:r w:rsidR="00932420">
        <w:t xml:space="preserve"> </w:t>
      </w:r>
      <w:r>
        <w:t>the</w:t>
      </w:r>
      <w:r w:rsidR="00932420">
        <w:t xml:space="preserve"> </w:t>
      </w:r>
      <w:r>
        <w:t>Small</w:t>
      </w:r>
      <w:r w:rsidR="00932420">
        <w:t xml:space="preserve"> </w:t>
      </w:r>
      <w:r>
        <w:t>and</w:t>
      </w:r>
      <w:r w:rsidR="00932420">
        <w:t xml:space="preserve"> </w:t>
      </w:r>
      <w:r>
        <w:t>Medium</w:t>
      </w:r>
      <w:r w:rsidR="00932420">
        <w:t xml:space="preserve"> </w:t>
      </w:r>
      <w:r>
        <w:t>Events</w:t>
      </w:r>
      <w:r w:rsidR="00932420">
        <w:t xml:space="preserve"> </w:t>
      </w:r>
      <w:r>
        <w:t>program</w:t>
      </w:r>
      <w:r w:rsidR="00932420">
        <w:t xml:space="preserve"> </w:t>
      </w:r>
      <w:r>
        <w:t>in</w:t>
      </w:r>
      <w:r w:rsidR="00932420">
        <w:t xml:space="preserve"> </w:t>
      </w:r>
      <w:r>
        <w:t>June</w:t>
      </w:r>
      <w:r w:rsidR="00932420">
        <w:t xml:space="preserve"> </w:t>
      </w:r>
      <w:r>
        <w:t>2023.</w:t>
      </w:r>
      <w:r w:rsidR="00932420">
        <w:t xml:space="preserve"> </w:t>
      </w:r>
      <w:r>
        <w:t>The</w:t>
      </w:r>
      <w:r w:rsidR="00932420">
        <w:t xml:space="preserve"> </w:t>
      </w:r>
      <w:r>
        <w:t>program</w:t>
      </w:r>
      <w:r w:rsidR="00932420">
        <w:t xml:space="preserve"> </w:t>
      </w:r>
      <w:r>
        <w:t>supports</w:t>
      </w:r>
      <w:r w:rsidR="00932420">
        <w:t xml:space="preserve"> </w:t>
      </w:r>
      <w:r>
        <w:t>the</w:t>
      </w:r>
      <w:r w:rsidR="00932420">
        <w:t xml:space="preserve"> </w:t>
      </w:r>
      <w:r>
        <w:t>recovery</w:t>
      </w:r>
      <w:r w:rsidR="00932420">
        <w:t xml:space="preserve"> </w:t>
      </w:r>
      <w:r>
        <w:t>of</w:t>
      </w:r>
      <w:r w:rsidR="00932420">
        <w:t xml:space="preserve"> </w:t>
      </w:r>
      <w:r>
        <w:t>the</w:t>
      </w:r>
      <w:r w:rsidR="00932420">
        <w:t xml:space="preserve"> </w:t>
      </w:r>
      <w:r>
        <w:t>events</w:t>
      </w:r>
      <w:r w:rsidR="00932420">
        <w:t xml:space="preserve"> </w:t>
      </w:r>
      <w:r>
        <w:t>sector</w:t>
      </w:r>
      <w:r w:rsidR="00932420">
        <w:t xml:space="preserve"> </w:t>
      </w:r>
      <w:r>
        <w:t>across</w:t>
      </w:r>
      <w:r w:rsidR="00932420">
        <w:t xml:space="preserve"> </w:t>
      </w:r>
      <w:r>
        <w:t>Greater</w:t>
      </w:r>
      <w:r w:rsidR="00932420">
        <w:t xml:space="preserve"> </w:t>
      </w:r>
      <w:r>
        <w:t>Melbourne.</w:t>
      </w:r>
    </w:p>
    <w:p w14:paraId="697CBC4D" w14:textId="55C7A6B4" w:rsidR="00CA3C5B" w:rsidRDefault="00260033" w:rsidP="00296C3F">
      <w:pPr>
        <w:pStyle w:val="Heading2"/>
      </w:pPr>
      <w:bookmarkStart w:id="45" w:name="_Toc152067232"/>
      <w:r>
        <w:t>Indicator:</w:t>
      </w:r>
      <w:r w:rsidR="00932420">
        <w:t xml:space="preserve"> </w:t>
      </w:r>
      <w:r>
        <w:t>Increase</w:t>
      </w:r>
      <w:r w:rsidR="00932420">
        <w:t xml:space="preserve"> </w:t>
      </w:r>
      <w:r>
        <w:t>rates</w:t>
      </w:r>
      <w:r w:rsidR="00932420">
        <w:t xml:space="preserve"> </w:t>
      </w:r>
      <w:r>
        <w:t>of</w:t>
      </w:r>
      <w:r w:rsidR="00932420">
        <w:t xml:space="preserve"> </w:t>
      </w:r>
      <w:r>
        <w:t>community</w:t>
      </w:r>
      <w:r w:rsidR="00932420">
        <w:t xml:space="preserve"> </w:t>
      </w:r>
      <w:r>
        <w:t>engagement,</w:t>
      </w:r>
      <w:r w:rsidR="00932420">
        <w:t xml:space="preserve"> </w:t>
      </w:r>
      <w:r>
        <w:t>including</w:t>
      </w:r>
      <w:r w:rsidR="00932420">
        <w:t xml:space="preserve"> </w:t>
      </w:r>
      <w:r>
        <w:t>through</w:t>
      </w:r>
      <w:r w:rsidR="00932420">
        <w:t xml:space="preserve"> </w:t>
      </w:r>
      <w:r>
        <w:t>participation</w:t>
      </w:r>
      <w:r w:rsidR="00932420">
        <w:t xml:space="preserve"> </w:t>
      </w:r>
      <w:r>
        <w:t>in</w:t>
      </w:r>
      <w:r w:rsidR="00932420">
        <w:t xml:space="preserve"> </w:t>
      </w:r>
      <w:r>
        <w:t>sport</w:t>
      </w:r>
      <w:r w:rsidR="00932420">
        <w:t xml:space="preserve"> </w:t>
      </w:r>
      <w:r>
        <w:t>and</w:t>
      </w:r>
      <w:r w:rsidR="00932420">
        <w:t xml:space="preserve"> </w:t>
      </w:r>
      <w:r>
        <w:t>recreation</w:t>
      </w:r>
      <w:bookmarkEnd w:id="45"/>
    </w:p>
    <w:p w14:paraId="7150D187" w14:textId="66B2D56A" w:rsidR="00CA3C5B" w:rsidRDefault="00260033" w:rsidP="00296C3F">
      <w:pPr>
        <w:pStyle w:val="TableHeading"/>
      </w:pPr>
      <w:r>
        <w:t>Table</w:t>
      </w:r>
      <w:r w:rsidR="00932420">
        <w:t xml:space="preserve"> </w:t>
      </w:r>
      <w:r>
        <w:t>21:</w:t>
      </w:r>
      <w:r w:rsidR="00932420">
        <w:t xml:space="preserve"> </w:t>
      </w:r>
      <w:r>
        <w:t>Increase</w:t>
      </w:r>
      <w:r w:rsidR="00932420">
        <w:t xml:space="preserve"> </w:t>
      </w:r>
      <w:r>
        <w:t>rates</w:t>
      </w:r>
      <w:r w:rsidR="00932420">
        <w:t xml:space="preserve"> </w:t>
      </w:r>
      <w:r>
        <w:t>of</w:t>
      </w:r>
      <w:r w:rsidR="00932420">
        <w:t xml:space="preserve"> </w:t>
      </w:r>
      <w:r>
        <w:t>community</w:t>
      </w:r>
      <w:r w:rsidR="00932420">
        <w:t xml:space="preserve"> </w:t>
      </w:r>
      <w:r>
        <w:t>engagement,</w:t>
      </w:r>
      <w:r w:rsidR="00932420">
        <w:t xml:space="preserve"> </w:t>
      </w:r>
      <w:r>
        <w:t>including</w:t>
      </w:r>
      <w:r w:rsidR="00932420">
        <w:t xml:space="preserve"> </w:t>
      </w:r>
      <w:r>
        <w:t>through</w:t>
      </w:r>
      <w:r w:rsidR="00932420">
        <w:t xml:space="preserve"> </w:t>
      </w:r>
      <w:r>
        <w:t>participation</w:t>
      </w:r>
      <w:r w:rsidR="00932420">
        <w:t xml:space="preserve"> </w:t>
      </w:r>
      <w:r>
        <w:t>in</w:t>
      </w:r>
      <w:r w:rsidR="00932420">
        <w:t xml:space="preserve"> </w:t>
      </w:r>
      <w:r>
        <w:t>sport</w:t>
      </w:r>
      <w:r w:rsidR="00932420">
        <w:t xml:space="preserve"> </w:t>
      </w:r>
      <w:r>
        <w:t>and</w:t>
      </w:r>
      <w:r w:rsidR="00932420">
        <w:t xml:space="preserve"> </w:t>
      </w:r>
      <w:r>
        <w:t>recreation</w:t>
      </w:r>
    </w:p>
    <w:tbl>
      <w:tblPr>
        <w:tblStyle w:val="TableGrid"/>
        <w:tblW w:w="9638" w:type="dxa"/>
        <w:tblLayout w:type="fixed"/>
        <w:tblLook w:val="0020" w:firstRow="1" w:lastRow="0" w:firstColumn="0" w:lastColumn="0" w:noHBand="0" w:noVBand="0"/>
      </w:tblPr>
      <w:tblGrid>
        <w:gridCol w:w="5102"/>
        <w:gridCol w:w="1134"/>
        <w:gridCol w:w="1134"/>
        <w:gridCol w:w="1134"/>
        <w:gridCol w:w="1134"/>
      </w:tblGrid>
      <w:tr w:rsidR="00CA3C5B" w14:paraId="19A3CCD9" w14:textId="77777777" w:rsidTr="00296C3F">
        <w:trPr>
          <w:cantSplit/>
        </w:trPr>
        <w:tc>
          <w:tcPr>
            <w:tcW w:w="5102" w:type="dxa"/>
          </w:tcPr>
          <w:p w14:paraId="4483160A" w14:textId="5AE816AC" w:rsidR="00CA3C5B" w:rsidRDefault="00260033" w:rsidP="00296C3F">
            <w:pPr>
              <w:pStyle w:val="TableColumnHeading"/>
            </w:pPr>
            <w:bookmarkStart w:id="46" w:name="ColumnTitle_22"/>
            <w:bookmarkEnd w:id="46"/>
            <w:r>
              <w:t>Measure</w:t>
            </w:r>
            <w:r w:rsidR="00932420">
              <w:t xml:space="preserve"> </w:t>
            </w:r>
            <w:r>
              <w:t>(unit</w:t>
            </w:r>
            <w:r w:rsidR="00932420">
              <w:t xml:space="preserve"> </w:t>
            </w:r>
            <w:r>
              <w:t>of</w:t>
            </w:r>
            <w:r w:rsidR="00932420">
              <w:t xml:space="preserve"> </w:t>
            </w:r>
            <w:r>
              <w:t>measure)</w:t>
            </w:r>
          </w:p>
        </w:tc>
        <w:tc>
          <w:tcPr>
            <w:tcW w:w="1134" w:type="dxa"/>
          </w:tcPr>
          <w:p w14:paraId="73F149FB" w14:textId="77777777" w:rsidR="00CA3C5B" w:rsidRDefault="00260033" w:rsidP="00296C3F">
            <w:pPr>
              <w:pStyle w:val="TableColumnHeading"/>
              <w:jc w:val="right"/>
            </w:pPr>
            <w:r>
              <w:t>2019–20</w:t>
            </w:r>
          </w:p>
        </w:tc>
        <w:tc>
          <w:tcPr>
            <w:tcW w:w="1134" w:type="dxa"/>
          </w:tcPr>
          <w:p w14:paraId="0AB025E9" w14:textId="77777777" w:rsidR="00CA3C5B" w:rsidRDefault="00260033" w:rsidP="00296C3F">
            <w:pPr>
              <w:pStyle w:val="TableColumnHeading"/>
              <w:jc w:val="right"/>
            </w:pPr>
            <w:r>
              <w:t>2020–21</w:t>
            </w:r>
          </w:p>
        </w:tc>
        <w:tc>
          <w:tcPr>
            <w:tcW w:w="1134" w:type="dxa"/>
          </w:tcPr>
          <w:p w14:paraId="22AB1BB6" w14:textId="77777777" w:rsidR="00CA3C5B" w:rsidRDefault="00260033" w:rsidP="00296C3F">
            <w:pPr>
              <w:pStyle w:val="TableColumnHeading"/>
              <w:jc w:val="right"/>
            </w:pPr>
            <w:r>
              <w:t>2021–22</w:t>
            </w:r>
          </w:p>
        </w:tc>
        <w:tc>
          <w:tcPr>
            <w:tcW w:w="1134" w:type="dxa"/>
          </w:tcPr>
          <w:p w14:paraId="1952D436" w14:textId="77777777" w:rsidR="00CA3C5B" w:rsidRDefault="00260033" w:rsidP="00296C3F">
            <w:pPr>
              <w:pStyle w:val="TableColumnHeading"/>
              <w:jc w:val="right"/>
            </w:pPr>
            <w:r>
              <w:rPr>
                <w:lang w:val="en-US"/>
              </w:rPr>
              <w:t>2022–23</w:t>
            </w:r>
          </w:p>
        </w:tc>
      </w:tr>
      <w:tr w:rsidR="00CA3C5B" w14:paraId="6CAC10BC" w14:textId="77777777" w:rsidTr="00296C3F">
        <w:trPr>
          <w:cantSplit/>
        </w:trPr>
        <w:tc>
          <w:tcPr>
            <w:tcW w:w="5102" w:type="dxa"/>
          </w:tcPr>
          <w:p w14:paraId="3BF66145" w14:textId="27B9EA94" w:rsidR="00CA3C5B" w:rsidRDefault="00260033" w:rsidP="00296C3F">
            <w:pPr>
              <w:pStyle w:val="TableCopy"/>
            </w:pPr>
            <w:r>
              <w:t>Percentage</w:t>
            </w:r>
            <w:r w:rsidR="00932420">
              <w:t xml:space="preserve"> </w:t>
            </w:r>
            <w:r>
              <w:t>of</w:t>
            </w:r>
            <w:r w:rsidR="00932420">
              <w:t xml:space="preserve"> </w:t>
            </w:r>
            <w:r>
              <w:t>adult</w:t>
            </w:r>
            <w:r w:rsidR="00932420">
              <w:t xml:space="preserve"> </w:t>
            </w:r>
            <w:r>
              <w:t>Victorians</w:t>
            </w:r>
            <w:r w:rsidR="00932420">
              <w:t xml:space="preserve"> </w:t>
            </w:r>
            <w:r>
              <w:t>participating</w:t>
            </w:r>
            <w:r w:rsidR="00932420">
              <w:t xml:space="preserve"> </w:t>
            </w:r>
            <w:r>
              <w:t>in</w:t>
            </w:r>
            <w:r w:rsidR="00932420">
              <w:t xml:space="preserve"> </w:t>
            </w:r>
            <w:r>
              <w:t>sport</w:t>
            </w:r>
            <w:r w:rsidR="00932420">
              <w:t xml:space="preserve"> </w:t>
            </w:r>
            <w:r>
              <w:t>at</w:t>
            </w:r>
            <w:r w:rsidR="00932420">
              <w:t xml:space="preserve"> </w:t>
            </w:r>
            <w:r>
              <w:t>least</w:t>
            </w:r>
            <w:r w:rsidR="00932420">
              <w:t xml:space="preserve"> </w:t>
            </w:r>
            <w:r>
              <w:t>once</w:t>
            </w:r>
            <w:r w:rsidR="00932420">
              <w:t xml:space="preserve"> </w:t>
            </w:r>
            <w:r>
              <w:t>per</w:t>
            </w:r>
            <w:r w:rsidR="00932420">
              <w:t xml:space="preserve"> </w:t>
            </w:r>
            <w:r>
              <w:t>year</w:t>
            </w:r>
            <w:r w:rsidR="00932420">
              <w:t xml:space="preserve"> </w:t>
            </w:r>
            <w:r>
              <w:t>(%)</w:t>
            </w:r>
          </w:p>
        </w:tc>
        <w:tc>
          <w:tcPr>
            <w:tcW w:w="1134" w:type="dxa"/>
          </w:tcPr>
          <w:p w14:paraId="75FE75FF" w14:textId="77777777" w:rsidR="00CA3C5B" w:rsidRDefault="00260033" w:rsidP="00296C3F">
            <w:pPr>
              <w:pStyle w:val="TableCopy"/>
              <w:jc w:val="right"/>
            </w:pPr>
            <w:r>
              <w:t>91.2</w:t>
            </w:r>
          </w:p>
        </w:tc>
        <w:tc>
          <w:tcPr>
            <w:tcW w:w="1134" w:type="dxa"/>
          </w:tcPr>
          <w:p w14:paraId="3E01A0FD" w14:textId="77777777" w:rsidR="00CA3C5B" w:rsidRDefault="00260033" w:rsidP="00296C3F">
            <w:pPr>
              <w:pStyle w:val="TableCopy"/>
              <w:jc w:val="right"/>
            </w:pPr>
            <w:r>
              <w:t>89.7</w:t>
            </w:r>
          </w:p>
        </w:tc>
        <w:tc>
          <w:tcPr>
            <w:tcW w:w="1134" w:type="dxa"/>
          </w:tcPr>
          <w:p w14:paraId="5F89CC5F" w14:textId="77777777" w:rsidR="00CA3C5B" w:rsidRDefault="00260033" w:rsidP="00296C3F">
            <w:pPr>
              <w:pStyle w:val="TableCopy"/>
              <w:jc w:val="right"/>
            </w:pPr>
            <w:r>
              <w:t>90.9*</w:t>
            </w:r>
          </w:p>
        </w:tc>
        <w:tc>
          <w:tcPr>
            <w:tcW w:w="1134" w:type="dxa"/>
          </w:tcPr>
          <w:p w14:paraId="447236C6" w14:textId="77777777" w:rsidR="00CA3C5B" w:rsidRDefault="00260033" w:rsidP="00296C3F">
            <w:pPr>
              <w:pStyle w:val="TableCopy"/>
              <w:jc w:val="right"/>
            </w:pPr>
            <w:r>
              <w:rPr>
                <w:lang w:val="en-US"/>
              </w:rPr>
              <w:t>89.6**</w:t>
            </w:r>
          </w:p>
        </w:tc>
      </w:tr>
    </w:tbl>
    <w:p w14:paraId="437C5223" w14:textId="77777777" w:rsidR="00296C3F" w:rsidRDefault="00296C3F" w:rsidP="00296C3F">
      <w:pPr>
        <w:pStyle w:val="FootnoteText"/>
        <w:spacing w:before="120"/>
      </w:pPr>
      <w:r>
        <w:t xml:space="preserve">* Updated from calendar year to financial year figure based on since released </w:t>
      </w:r>
      <w:proofErr w:type="spellStart"/>
      <w:r>
        <w:t>AusPlay</w:t>
      </w:r>
      <w:proofErr w:type="spellEnd"/>
      <w:r>
        <w:t xml:space="preserve"> data.</w:t>
      </w:r>
    </w:p>
    <w:p w14:paraId="5ACC15CE" w14:textId="1367D5F8" w:rsidR="00CA3C5B" w:rsidRDefault="00296C3F" w:rsidP="00296C3F">
      <w:pPr>
        <w:pStyle w:val="FootnoteText"/>
        <w:spacing w:after="280"/>
      </w:pPr>
      <w:r>
        <w:t xml:space="preserve">** This is the latest available </w:t>
      </w:r>
      <w:proofErr w:type="spellStart"/>
      <w:r>
        <w:t>AusPlay</w:t>
      </w:r>
      <w:proofErr w:type="spellEnd"/>
      <w:r>
        <w:t xml:space="preserve"> data and covers January to December 2022.</w:t>
      </w:r>
    </w:p>
    <w:p w14:paraId="626D5C25" w14:textId="1E85E675" w:rsidR="00CA3C5B" w:rsidRDefault="00260033" w:rsidP="00296C3F">
      <w:pPr>
        <w:pStyle w:val="FigureHeading"/>
      </w:pPr>
      <w:r>
        <w:lastRenderedPageBreak/>
        <w:t>Figure</w:t>
      </w:r>
      <w:r w:rsidR="00932420">
        <w:t xml:space="preserve"> </w:t>
      </w:r>
      <w:r>
        <w:t>25:</w:t>
      </w:r>
      <w:r w:rsidR="00932420">
        <w:t xml:space="preserve"> </w:t>
      </w:r>
      <w:r>
        <w:t>Percentage</w:t>
      </w:r>
      <w:r w:rsidR="00932420">
        <w:t xml:space="preserve"> </w:t>
      </w:r>
      <w:r>
        <w:t>of</w:t>
      </w:r>
      <w:r w:rsidR="00932420">
        <w:t xml:space="preserve"> </w:t>
      </w:r>
      <w:r>
        <w:t>adult</w:t>
      </w:r>
      <w:r w:rsidR="00932420">
        <w:t xml:space="preserve"> </w:t>
      </w:r>
      <w:r>
        <w:t>Victorians</w:t>
      </w:r>
      <w:r w:rsidR="00932420">
        <w:t xml:space="preserve"> </w:t>
      </w:r>
      <w:r>
        <w:t>participating</w:t>
      </w:r>
      <w:r w:rsidR="00932420">
        <w:t xml:space="preserve"> </w:t>
      </w:r>
      <w:r>
        <w:t>in</w:t>
      </w:r>
      <w:r w:rsidR="00932420">
        <w:t xml:space="preserve"> </w:t>
      </w:r>
      <w:r>
        <w:t>sport</w:t>
      </w:r>
      <w:r w:rsidR="00932420">
        <w:t xml:space="preserve"> </w:t>
      </w:r>
      <w:r>
        <w:t>at</w:t>
      </w:r>
      <w:r w:rsidR="00932420">
        <w:t xml:space="preserve"> </w:t>
      </w:r>
      <w:r>
        <w:t>least</w:t>
      </w:r>
      <w:r w:rsidR="00932420">
        <w:t xml:space="preserve"> </w:t>
      </w:r>
      <w:r>
        <w:t>once</w:t>
      </w:r>
      <w:r w:rsidR="00932420">
        <w:t xml:space="preserve"> </w:t>
      </w:r>
      <w:r>
        <w:t>per</w:t>
      </w:r>
      <w:r w:rsidR="00932420">
        <w:t xml:space="preserve"> </w:t>
      </w:r>
      <w:r>
        <w:t>year</w:t>
      </w:r>
    </w:p>
    <w:p w14:paraId="1874EF41" w14:textId="54B1FB9C" w:rsidR="00CA3C5B" w:rsidRDefault="00296C3F" w:rsidP="00296C3F">
      <w:r>
        <w:rPr>
          <w:noProof/>
        </w:rPr>
        <w:drawing>
          <wp:inline distT="0" distB="0" distL="0" distR="0" wp14:anchorId="4B0E7041" wp14:editId="64603603">
            <wp:extent cx="3235124" cy="2164425"/>
            <wp:effectExtent l="0" t="0" r="3810" b="7620"/>
            <wp:docPr id="25" name="Picture 25" descr="Figure 25: Percentage of adult Victorians participating in sport at least once per year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25: Percentage of adult Victorians participating in sport at least once per year graph. Data in table above."/>
                    <pic:cNvPicPr/>
                  </pic:nvPicPr>
                  <pic:blipFill>
                    <a:blip r:embed="rId34"/>
                    <a:stretch>
                      <a:fillRect/>
                    </a:stretch>
                  </pic:blipFill>
                  <pic:spPr>
                    <a:xfrm>
                      <a:off x="0" y="0"/>
                      <a:ext cx="3249629" cy="2174130"/>
                    </a:xfrm>
                    <a:prstGeom prst="rect">
                      <a:avLst/>
                    </a:prstGeom>
                  </pic:spPr>
                </pic:pic>
              </a:graphicData>
            </a:graphic>
          </wp:inline>
        </w:drawing>
      </w:r>
    </w:p>
    <w:p w14:paraId="22CC7AAC" w14:textId="253F84CB" w:rsidR="00CA3C5B" w:rsidRDefault="00260033" w:rsidP="00296C3F">
      <w:r>
        <w:t>Impacts</w:t>
      </w:r>
      <w:r w:rsidR="00932420">
        <w:t xml:space="preserve"> </w:t>
      </w:r>
      <w:r>
        <w:t>of</w:t>
      </w:r>
      <w:r w:rsidR="00932420">
        <w:t xml:space="preserve"> </w:t>
      </w:r>
      <w:r>
        <w:t>the</w:t>
      </w:r>
      <w:r w:rsidR="00932420">
        <w:t xml:space="preserve"> </w:t>
      </w:r>
      <w:r>
        <w:t>pandemic</w:t>
      </w:r>
      <w:r w:rsidR="00932420">
        <w:t xml:space="preserve"> </w:t>
      </w:r>
      <w:r>
        <w:t>have</w:t>
      </w:r>
      <w:r w:rsidR="00932420">
        <w:t xml:space="preserve"> </w:t>
      </w:r>
      <w:r>
        <w:t>continued</w:t>
      </w:r>
      <w:r w:rsidR="00932420">
        <w:t xml:space="preserve"> </w:t>
      </w:r>
      <w:r>
        <w:t>to</w:t>
      </w:r>
      <w:r w:rsidR="00932420">
        <w:t xml:space="preserve"> </w:t>
      </w:r>
      <w:r>
        <w:t>be</w:t>
      </w:r>
      <w:r w:rsidR="00932420">
        <w:t xml:space="preserve"> </w:t>
      </w:r>
      <w:r>
        <w:t>felt</w:t>
      </w:r>
      <w:r w:rsidR="00932420">
        <w:t xml:space="preserve"> </w:t>
      </w:r>
      <w:r>
        <w:t>by</w:t>
      </w:r>
      <w:r w:rsidR="00932420">
        <w:t xml:space="preserve"> </w:t>
      </w:r>
      <w:r>
        <w:t>the</w:t>
      </w:r>
      <w:r w:rsidR="00932420">
        <w:t xml:space="preserve"> </w:t>
      </w:r>
      <w:r>
        <w:t>Victorian</w:t>
      </w:r>
      <w:r w:rsidR="00932420">
        <w:t xml:space="preserve"> </w:t>
      </w:r>
      <w:r>
        <w:t>community</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sectors.</w:t>
      </w:r>
      <w:r w:rsidR="00932420">
        <w:t xml:space="preserve"> </w:t>
      </w:r>
      <w:r>
        <w:t>While</w:t>
      </w:r>
      <w:r w:rsidR="00932420">
        <w:t xml:space="preserve"> </w:t>
      </w:r>
      <w:r>
        <w:t>overall</w:t>
      </w:r>
      <w:r w:rsidR="00932420">
        <w:t xml:space="preserve"> </w:t>
      </w:r>
      <w:r>
        <w:t>participation</w:t>
      </w:r>
      <w:r w:rsidR="00932420">
        <w:t xml:space="preserve"> </w:t>
      </w:r>
      <w:r>
        <w:rPr>
          <w:spacing w:val="-1"/>
        </w:rPr>
        <w:t>rates</w:t>
      </w:r>
      <w:r w:rsidR="00932420">
        <w:rPr>
          <w:spacing w:val="-1"/>
        </w:rPr>
        <w:t xml:space="preserve"> </w:t>
      </w:r>
      <w:r>
        <w:rPr>
          <w:spacing w:val="-1"/>
        </w:rPr>
        <w:t>have</w:t>
      </w:r>
      <w:r w:rsidR="00932420">
        <w:rPr>
          <w:spacing w:val="-1"/>
        </w:rPr>
        <w:t xml:space="preserve"> </w:t>
      </w:r>
      <w:r>
        <w:rPr>
          <w:spacing w:val="-1"/>
        </w:rPr>
        <w:t>largely</w:t>
      </w:r>
      <w:r w:rsidR="00932420">
        <w:rPr>
          <w:spacing w:val="-1"/>
        </w:rPr>
        <w:t xml:space="preserve"> </w:t>
      </w:r>
      <w:r>
        <w:rPr>
          <w:spacing w:val="-1"/>
        </w:rPr>
        <w:t>returned</w:t>
      </w:r>
      <w:r w:rsidR="00932420">
        <w:rPr>
          <w:spacing w:val="-1"/>
        </w:rPr>
        <w:t xml:space="preserve"> </w:t>
      </w:r>
      <w:r>
        <w:rPr>
          <w:spacing w:val="-1"/>
        </w:rPr>
        <w:t>to</w:t>
      </w:r>
      <w:r w:rsidR="00932420">
        <w:rPr>
          <w:spacing w:val="-1"/>
        </w:rPr>
        <w:t xml:space="preserve"> </w:t>
      </w:r>
      <w:r>
        <w:rPr>
          <w:spacing w:val="-1"/>
        </w:rPr>
        <w:t>pre-pandemic</w:t>
      </w:r>
      <w:r w:rsidR="00932420">
        <w:rPr>
          <w:spacing w:val="-1"/>
        </w:rPr>
        <w:t xml:space="preserve"> </w:t>
      </w:r>
      <w:r>
        <w:rPr>
          <w:spacing w:val="-1"/>
        </w:rPr>
        <w:t>levels,</w:t>
      </w:r>
      <w:r w:rsidR="00932420">
        <w:rPr>
          <w:spacing w:val="-1"/>
        </w:rPr>
        <w:t xml:space="preserve"> </w:t>
      </w:r>
      <w:r>
        <w:t>recovery</w:t>
      </w:r>
      <w:r w:rsidR="00932420">
        <w:t xml:space="preserve"> </w:t>
      </w:r>
      <w:r>
        <w:t>has</w:t>
      </w:r>
      <w:r w:rsidR="00932420">
        <w:t xml:space="preserve"> </w:t>
      </w:r>
      <w:r>
        <w:t>not</w:t>
      </w:r>
      <w:r w:rsidR="00932420">
        <w:t xml:space="preserve"> </w:t>
      </w:r>
      <w:r>
        <w:t>been</w:t>
      </w:r>
      <w:r w:rsidR="00932420">
        <w:t xml:space="preserve"> </w:t>
      </w:r>
      <w:r>
        <w:t>consistent,</w:t>
      </w:r>
      <w:r w:rsidR="00932420">
        <w:t xml:space="preserve"> </w:t>
      </w:r>
      <w:r>
        <w:t>with</w:t>
      </w:r>
      <w:r w:rsidR="00932420">
        <w:t xml:space="preserve"> </w:t>
      </w:r>
      <w:r>
        <w:t>only</w:t>
      </w:r>
      <w:r w:rsidR="00932420">
        <w:t xml:space="preserve"> </w:t>
      </w:r>
      <w:r>
        <w:t>some</w:t>
      </w:r>
      <w:r w:rsidR="00932420">
        <w:t xml:space="preserve"> </w:t>
      </w:r>
      <w:r>
        <w:t>demographics</w:t>
      </w:r>
      <w:r w:rsidR="00932420">
        <w:t xml:space="preserve"> </w:t>
      </w:r>
      <w:r>
        <w:t>trending</w:t>
      </w:r>
      <w:r w:rsidR="00932420">
        <w:t xml:space="preserve"> </w:t>
      </w:r>
      <w:r>
        <w:t>back</w:t>
      </w:r>
      <w:r w:rsidR="00932420">
        <w:t xml:space="preserve"> </w:t>
      </w:r>
      <w:r>
        <w:t>to</w:t>
      </w:r>
      <w:r w:rsidR="00932420">
        <w:t xml:space="preserve"> </w:t>
      </w:r>
      <w:r>
        <w:t>pre-pandemic</w:t>
      </w:r>
      <w:r w:rsidR="00932420">
        <w:t xml:space="preserve"> </w:t>
      </w:r>
      <w:r>
        <w:t>participation</w:t>
      </w:r>
      <w:r w:rsidR="00932420">
        <w:t xml:space="preserve"> </w:t>
      </w:r>
      <w:r>
        <w:t>rates.</w:t>
      </w:r>
    </w:p>
    <w:p w14:paraId="198AE31E" w14:textId="52BF78E5" w:rsidR="00CA3C5B" w:rsidRDefault="00260033" w:rsidP="00296C3F">
      <w:r>
        <w:t>By</w:t>
      </w:r>
      <w:r w:rsidR="00932420">
        <w:t xml:space="preserve"> </w:t>
      </w:r>
      <w:r>
        <w:t>investing</w:t>
      </w:r>
      <w:r w:rsidR="00932420">
        <w:t xml:space="preserve"> </w:t>
      </w:r>
      <w:r>
        <w:t>in</w:t>
      </w:r>
      <w:r w:rsidR="00932420">
        <w:t xml:space="preserve"> </w:t>
      </w:r>
      <w:r>
        <w:t>targeted</w:t>
      </w:r>
      <w:r w:rsidR="00932420">
        <w:t xml:space="preserve"> </w:t>
      </w:r>
      <w:r>
        <w:t>programs,</w:t>
      </w:r>
      <w:r w:rsidR="00932420">
        <w:t xml:space="preserve"> </w:t>
      </w:r>
      <w:r>
        <w:t>the</w:t>
      </w:r>
      <w:r w:rsidR="00932420">
        <w:t xml:space="preserve"> </w:t>
      </w:r>
      <w:r>
        <w:t>sector</w:t>
      </w:r>
      <w:r w:rsidR="00932420">
        <w:t xml:space="preserve"> </w:t>
      </w:r>
      <w:r>
        <w:t>has</w:t>
      </w:r>
      <w:r w:rsidR="00932420">
        <w:t xml:space="preserve"> </w:t>
      </w:r>
      <w:r>
        <w:t>been</w:t>
      </w:r>
      <w:r w:rsidR="00932420">
        <w:t xml:space="preserve"> </w:t>
      </w:r>
      <w:r>
        <w:t>supported</w:t>
      </w:r>
      <w:r w:rsidR="00932420">
        <w:t xml:space="preserve"> </w:t>
      </w:r>
      <w:r>
        <w:t>to</w:t>
      </w:r>
      <w:r w:rsidR="00932420">
        <w:t xml:space="preserve"> </w:t>
      </w:r>
      <w:r>
        <w:t>deliver</w:t>
      </w:r>
      <w:r w:rsidR="00932420">
        <w:t xml:space="preserve"> </w:t>
      </w:r>
      <w:r>
        <w:t>community</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participation</w:t>
      </w:r>
      <w:r w:rsidR="00932420">
        <w:t xml:space="preserve"> </w:t>
      </w:r>
      <w:r>
        <w:t>opportunities</w:t>
      </w:r>
      <w:r w:rsidR="00932420">
        <w:t xml:space="preserve"> </w:t>
      </w:r>
      <w:r>
        <w:t>and</w:t>
      </w:r>
      <w:r w:rsidR="00932420">
        <w:t xml:space="preserve"> </w:t>
      </w:r>
      <w:r>
        <w:t>reduce</w:t>
      </w:r>
      <w:r w:rsidR="00932420">
        <w:t xml:space="preserve"> </w:t>
      </w:r>
      <w:r>
        <w:t>barriers</w:t>
      </w:r>
      <w:r w:rsidR="00932420">
        <w:t xml:space="preserve"> </w:t>
      </w:r>
      <w:r>
        <w:t>to</w:t>
      </w:r>
      <w:r w:rsidR="00932420">
        <w:t xml:space="preserve"> </w:t>
      </w:r>
      <w:r>
        <w:t>participation.</w:t>
      </w:r>
      <w:r w:rsidR="00932420">
        <w:t xml:space="preserve"> </w:t>
      </w:r>
      <w:r>
        <w:t>Over</w:t>
      </w:r>
      <w:r w:rsidR="00932420">
        <w:t xml:space="preserve"> </w:t>
      </w:r>
      <w:r>
        <w:t>1,400</w:t>
      </w:r>
      <w:r w:rsidR="00932420">
        <w:t xml:space="preserve"> </w:t>
      </w:r>
      <w:r>
        <w:t>grants</w:t>
      </w:r>
      <w:r w:rsidR="00932420">
        <w:t xml:space="preserve"> </w:t>
      </w:r>
      <w:r>
        <w:t>totalling</w:t>
      </w:r>
      <w:r w:rsidR="00932420">
        <w:t xml:space="preserve"> </w:t>
      </w:r>
      <w:r>
        <w:t>more</w:t>
      </w:r>
      <w:r w:rsidR="00932420">
        <w:t xml:space="preserve"> </w:t>
      </w:r>
      <w:r>
        <w:t>than</w:t>
      </w:r>
      <w:r w:rsidR="00932420">
        <w:t xml:space="preserve"> </w:t>
      </w:r>
      <w:r>
        <w:t>$2.2</w:t>
      </w:r>
      <w:r w:rsidR="00932420">
        <w:t xml:space="preserve"> </w:t>
      </w:r>
      <w:r>
        <w:t>million</w:t>
      </w:r>
      <w:r w:rsidR="00932420">
        <w:t xml:space="preserve"> </w:t>
      </w:r>
      <w:r>
        <w:t>were</w:t>
      </w:r>
      <w:r w:rsidR="00932420">
        <w:t xml:space="preserve"> </w:t>
      </w:r>
      <w:r>
        <w:t>delivered</w:t>
      </w:r>
      <w:r w:rsidR="00932420">
        <w:t xml:space="preserve"> </w:t>
      </w:r>
      <w:r>
        <w:t>across</w:t>
      </w:r>
      <w:r w:rsidR="00932420">
        <w:t xml:space="preserve"> </w:t>
      </w:r>
      <w:r>
        <w:t>the</w:t>
      </w:r>
      <w:r w:rsidR="00932420">
        <w:t xml:space="preserve"> </w:t>
      </w:r>
      <w:r>
        <w:t>Sporting</w:t>
      </w:r>
      <w:r w:rsidR="00932420">
        <w:t xml:space="preserve"> </w:t>
      </w:r>
      <w:r>
        <w:t>Club</w:t>
      </w:r>
      <w:r w:rsidR="00932420">
        <w:t xml:space="preserve"> </w:t>
      </w:r>
      <w:r>
        <w:t>and</w:t>
      </w:r>
      <w:r w:rsidR="00932420">
        <w:t xml:space="preserve"> </w:t>
      </w:r>
      <w:r>
        <w:t>the</w:t>
      </w:r>
      <w:r w:rsidR="00932420">
        <w:t xml:space="preserve"> </w:t>
      </w:r>
      <w:r>
        <w:t>Aboriginal</w:t>
      </w:r>
      <w:r w:rsidR="00932420">
        <w:t xml:space="preserve"> </w:t>
      </w:r>
      <w:r>
        <w:t>Sport</w:t>
      </w:r>
      <w:r w:rsidR="00932420">
        <w:t xml:space="preserve"> </w:t>
      </w:r>
      <w:r>
        <w:t>Participation</w:t>
      </w:r>
      <w:r w:rsidR="00932420">
        <w:t xml:space="preserve"> </w:t>
      </w:r>
      <w:r>
        <w:t>grants</w:t>
      </w:r>
      <w:r w:rsidR="00932420">
        <w:t xml:space="preserve"> </w:t>
      </w:r>
      <w:r>
        <w:t>programs</w:t>
      </w:r>
      <w:r w:rsidR="00932420">
        <w:t xml:space="preserve"> </w:t>
      </w:r>
      <w:r>
        <w:t>to</w:t>
      </w:r>
      <w:r w:rsidR="00932420">
        <w:t xml:space="preserve"> </w:t>
      </w:r>
      <w:r>
        <w:t>assist</w:t>
      </w:r>
      <w:r w:rsidR="00932420">
        <w:t xml:space="preserve"> </w:t>
      </w:r>
      <w:r>
        <w:t>with</w:t>
      </w:r>
      <w:r w:rsidR="00932420">
        <w:t xml:space="preserve"> </w:t>
      </w:r>
      <w:r>
        <w:t>accessing</w:t>
      </w:r>
      <w:r w:rsidR="00932420">
        <w:t xml:space="preserve"> </w:t>
      </w:r>
      <w:r>
        <w:t>new</w:t>
      </w:r>
      <w:r w:rsidR="00932420">
        <w:t xml:space="preserve"> </w:t>
      </w:r>
      <w:r>
        <w:t>uniforms</w:t>
      </w:r>
      <w:r w:rsidR="00932420">
        <w:t xml:space="preserve"> </w:t>
      </w:r>
      <w:r>
        <w:t>and</w:t>
      </w:r>
      <w:r w:rsidR="00932420">
        <w:t xml:space="preserve"> </w:t>
      </w:r>
      <w:r>
        <w:t>equipment,</w:t>
      </w:r>
      <w:r w:rsidR="00932420">
        <w:t xml:space="preserve"> </w:t>
      </w:r>
      <w:r>
        <w:t>support</w:t>
      </w:r>
      <w:r w:rsidR="00932420">
        <w:t xml:space="preserve"> </w:t>
      </w:r>
      <w:r>
        <w:t>the</w:t>
      </w:r>
      <w:r w:rsidR="00932420">
        <w:t xml:space="preserve"> </w:t>
      </w:r>
      <w:r>
        <w:t>capacity</w:t>
      </w:r>
      <w:r w:rsidR="00932420">
        <w:t xml:space="preserve"> </w:t>
      </w:r>
      <w:r>
        <w:t>and</w:t>
      </w:r>
      <w:r w:rsidR="00932420">
        <w:t xml:space="preserve"> </w:t>
      </w:r>
      <w:r>
        <w:t>capability</w:t>
      </w:r>
      <w:r w:rsidR="00932420">
        <w:t xml:space="preserve"> </w:t>
      </w:r>
      <w:r>
        <w:t>of</w:t>
      </w:r>
      <w:r w:rsidR="00932420">
        <w:t xml:space="preserve"> </w:t>
      </w:r>
      <w:r>
        <w:t>the</w:t>
      </w:r>
      <w:r w:rsidR="00932420">
        <w:t xml:space="preserve"> </w:t>
      </w:r>
      <w:r>
        <w:t>sector</w:t>
      </w:r>
      <w:r w:rsidR="00932420">
        <w:t xml:space="preserve"> </w:t>
      </w:r>
      <w:r>
        <w:t>and</w:t>
      </w:r>
      <w:r w:rsidR="00932420">
        <w:t xml:space="preserve"> </w:t>
      </w:r>
      <w:r>
        <w:t>increase</w:t>
      </w:r>
      <w:r w:rsidR="00932420">
        <w:t xml:space="preserve"> </w:t>
      </w:r>
      <w:r>
        <w:t>participation,</w:t>
      </w:r>
      <w:r w:rsidR="00932420">
        <w:t xml:space="preserve"> </w:t>
      </w:r>
      <w:r>
        <w:t>particularly</w:t>
      </w:r>
      <w:r w:rsidR="00932420">
        <w:t xml:space="preserve"> </w:t>
      </w:r>
      <w:r>
        <w:t>among</w:t>
      </w:r>
      <w:r w:rsidR="00932420">
        <w:t xml:space="preserve"> </w:t>
      </w:r>
      <w:r>
        <w:t>under</w:t>
      </w:r>
      <w:r>
        <w:noBreakHyphen/>
        <w:t>represented</w:t>
      </w:r>
      <w:r w:rsidR="00932420">
        <w:t xml:space="preserve"> </w:t>
      </w:r>
      <w:r>
        <w:t>groups.</w:t>
      </w:r>
    </w:p>
    <w:p w14:paraId="0037A615" w14:textId="0DA0B50C" w:rsidR="00CA3C5B" w:rsidRDefault="00260033" w:rsidP="00296C3F">
      <w:r>
        <w:t>The</w:t>
      </w:r>
      <w:r w:rsidR="00932420">
        <w:t xml:space="preserve"> </w:t>
      </w:r>
      <w:r>
        <w:t>Get</w:t>
      </w:r>
      <w:r w:rsidR="00932420">
        <w:t xml:space="preserve"> </w:t>
      </w:r>
      <w:r>
        <w:t>Active</w:t>
      </w:r>
      <w:r w:rsidR="00932420">
        <w:t xml:space="preserve"> </w:t>
      </w:r>
      <w:r>
        <w:t>Kids</w:t>
      </w:r>
      <w:r w:rsidR="00932420">
        <w:t xml:space="preserve"> </w:t>
      </w:r>
      <w:r>
        <w:t>voucher</w:t>
      </w:r>
      <w:r w:rsidR="00932420">
        <w:t xml:space="preserve"> </w:t>
      </w:r>
      <w:r>
        <w:t>program</w:t>
      </w:r>
      <w:r w:rsidR="00932420">
        <w:t xml:space="preserve"> </w:t>
      </w:r>
      <w:r>
        <w:t>increased</w:t>
      </w:r>
      <w:r w:rsidR="00932420">
        <w:t xml:space="preserve"> </w:t>
      </w:r>
      <w:r>
        <w:t>participation</w:t>
      </w:r>
      <w:r w:rsidR="00932420">
        <w:t xml:space="preserve"> </w:t>
      </w:r>
      <w:r>
        <w:t>in</w:t>
      </w:r>
      <w:r w:rsidR="00932420">
        <w:t xml:space="preserve"> </w:t>
      </w:r>
      <w:r>
        <w:t>organised</w:t>
      </w:r>
      <w:r w:rsidR="00932420">
        <w:t xml:space="preserve"> </w:t>
      </w:r>
      <w:r>
        <w:t>sport</w:t>
      </w:r>
      <w:r w:rsidR="00932420">
        <w:t xml:space="preserve"> </w:t>
      </w:r>
      <w:r>
        <w:t>and</w:t>
      </w:r>
      <w:r w:rsidR="00932420">
        <w:t xml:space="preserve"> </w:t>
      </w:r>
      <w:r>
        <w:t>recreation</w:t>
      </w:r>
      <w:r w:rsidR="00932420">
        <w:t xml:space="preserve"> </w:t>
      </w:r>
      <w:r>
        <w:t>activities.</w:t>
      </w:r>
      <w:r w:rsidR="00932420">
        <w:t xml:space="preserve"> </w:t>
      </w:r>
      <w:r>
        <w:t>Eligible</w:t>
      </w:r>
      <w:r w:rsidR="00932420">
        <w:t xml:space="preserve"> </w:t>
      </w:r>
      <w:r>
        <w:t>Victorian</w:t>
      </w:r>
      <w:r w:rsidR="00932420">
        <w:t xml:space="preserve"> </w:t>
      </w:r>
      <w:r>
        <w:t>families</w:t>
      </w:r>
      <w:r w:rsidR="00932420">
        <w:t xml:space="preserve"> </w:t>
      </w:r>
      <w:r>
        <w:t>were</w:t>
      </w:r>
      <w:r w:rsidR="00932420">
        <w:t xml:space="preserve"> </w:t>
      </w:r>
      <w:r>
        <w:t>assisted</w:t>
      </w:r>
      <w:r w:rsidR="00932420">
        <w:t xml:space="preserve"> </w:t>
      </w:r>
      <w:r>
        <w:t>with</w:t>
      </w:r>
      <w:r w:rsidR="00932420">
        <w:t xml:space="preserve"> </w:t>
      </w:r>
      <w:r>
        <w:t>vouchers</w:t>
      </w:r>
      <w:r w:rsidR="00932420">
        <w:t xml:space="preserve"> </w:t>
      </w:r>
      <w:r>
        <w:t>of</w:t>
      </w:r>
      <w:r w:rsidR="00932420">
        <w:t xml:space="preserve"> </w:t>
      </w:r>
      <w:r>
        <w:t>up</w:t>
      </w:r>
      <w:r w:rsidR="00932420">
        <w:t xml:space="preserve"> </w:t>
      </w:r>
      <w:r>
        <w:t>to</w:t>
      </w:r>
      <w:r w:rsidR="00932420">
        <w:t xml:space="preserve"> </w:t>
      </w:r>
      <w:r>
        <w:t>$200</w:t>
      </w:r>
      <w:r w:rsidR="00932420">
        <w:t xml:space="preserve"> </w:t>
      </w:r>
      <w:r>
        <w:t>to</w:t>
      </w:r>
      <w:r w:rsidR="00932420">
        <w:t xml:space="preserve"> </w:t>
      </w:r>
      <w:r>
        <w:t>meet</w:t>
      </w:r>
      <w:r w:rsidR="00932420">
        <w:t xml:space="preserve"> </w:t>
      </w:r>
      <w:r>
        <w:t>the</w:t>
      </w:r>
      <w:r w:rsidR="00932420">
        <w:t xml:space="preserve"> </w:t>
      </w:r>
      <w:r>
        <w:t>costs</w:t>
      </w:r>
      <w:r w:rsidR="00932420">
        <w:t xml:space="preserve"> </w:t>
      </w:r>
      <w:r>
        <w:t>of</w:t>
      </w:r>
      <w:r w:rsidR="00932420">
        <w:t xml:space="preserve"> </w:t>
      </w:r>
      <w:r>
        <w:t>membership</w:t>
      </w:r>
      <w:r w:rsidR="00932420">
        <w:t xml:space="preserve"> </w:t>
      </w:r>
      <w:r>
        <w:t>and</w:t>
      </w:r>
      <w:r w:rsidR="00932420">
        <w:t xml:space="preserve"> </w:t>
      </w:r>
      <w:r>
        <w:t>registration,</w:t>
      </w:r>
      <w:r w:rsidR="00932420">
        <w:t xml:space="preserve"> </w:t>
      </w:r>
      <w:proofErr w:type="gramStart"/>
      <w:r>
        <w:t>uniforms</w:t>
      </w:r>
      <w:proofErr w:type="gramEnd"/>
      <w:r w:rsidR="00932420">
        <w:t xml:space="preserve"> </w:t>
      </w:r>
      <w:r>
        <w:t>and</w:t>
      </w:r>
      <w:r w:rsidR="00932420">
        <w:t xml:space="preserve"> </w:t>
      </w:r>
      <w:r>
        <w:t>equipment</w:t>
      </w:r>
      <w:r w:rsidR="00932420">
        <w:t xml:space="preserve"> </w:t>
      </w:r>
      <w:r>
        <w:t>to</w:t>
      </w:r>
      <w:r w:rsidR="00932420">
        <w:t xml:space="preserve"> </w:t>
      </w:r>
      <w:r>
        <w:t>support</w:t>
      </w:r>
      <w:r w:rsidR="00932420">
        <w:t xml:space="preserve"> </w:t>
      </w:r>
      <w:r>
        <w:t>their</w:t>
      </w:r>
      <w:r w:rsidR="00932420">
        <w:t xml:space="preserve"> </w:t>
      </w:r>
      <w:r>
        <w:t>children</w:t>
      </w:r>
      <w:r w:rsidR="00932420">
        <w:t xml:space="preserve"> </w:t>
      </w:r>
      <w:r>
        <w:t>to</w:t>
      </w:r>
      <w:r w:rsidR="00932420">
        <w:t xml:space="preserve"> </w:t>
      </w:r>
      <w:r>
        <w:t>participate.</w:t>
      </w:r>
      <w:r w:rsidR="00932420">
        <w:t xml:space="preserve"> </w:t>
      </w:r>
      <w:r>
        <w:t>To</w:t>
      </w:r>
      <w:r w:rsidR="00932420">
        <w:t xml:space="preserve"> </w:t>
      </w:r>
      <w:r>
        <w:t>date,</w:t>
      </w:r>
      <w:r w:rsidR="00932420">
        <w:t xml:space="preserve"> </w:t>
      </w:r>
      <w:r>
        <w:t>over</w:t>
      </w:r>
      <w:r w:rsidR="00932420">
        <w:t xml:space="preserve"> </w:t>
      </w:r>
      <w:r>
        <w:t>115,000</w:t>
      </w:r>
      <w:r w:rsidR="00932420">
        <w:t xml:space="preserve"> </w:t>
      </w:r>
      <w:r>
        <w:t>vouchers</w:t>
      </w:r>
      <w:r w:rsidR="00932420">
        <w:t xml:space="preserve"> </w:t>
      </w:r>
      <w:r>
        <w:t>have</w:t>
      </w:r>
      <w:r w:rsidR="00932420">
        <w:t xml:space="preserve"> </w:t>
      </w:r>
      <w:r>
        <w:t>been</w:t>
      </w:r>
      <w:r w:rsidR="00932420">
        <w:t xml:space="preserve"> </w:t>
      </w:r>
      <w:r>
        <w:t>issued</w:t>
      </w:r>
      <w:r w:rsidR="00932420">
        <w:t xml:space="preserve"> </w:t>
      </w:r>
      <w:r>
        <w:t>to</w:t>
      </w:r>
      <w:r w:rsidR="00932420">
        <w:t xml:space="preserve"> </w:t>
      </w:r>
      <w:r>
        <w:t>eligible</w:t>
      </w:r>
      <w:r w:rsidR="00932420">
        <w:t xml:space="preserve"> </w:t>
      </w:r>
      <w:r>
        <w:t>families</w:t>
      </w:r>
      <w:r w:rsidR="00932420">
        <w:t xml:space="preserve"> </w:t>
      </w:r>
      <w:r>
        <w:t>through</w:t>
      </w:r>
      <w:r w:rsidR="00932420">
        <w:t xml:space="preserve"> </w:t>
      </w:r>
      <w:r>
        <w:t>the</w:t>
      </w:r>
      <w:r w:rsidR="00932420">
        <w:t xml:space="preserve"> </w:t>
      </w:r>
      <w:r>
        <w:t>program.</w:t>
      </w:r>
    </w:p>
    <w:p w14:paraId="71EB1F3C" w14:textId="2E33C6F1" w:rsidR="00CA3C5B" w:rsidRDefault="00260033" w:rsidP="00296C3F">
      <w:r>
        <w:t>The</w:t>
      </w:r>
      <w:r w:rsidR="00932420">
        <w:t xml:space="preserve"> </w:t>
      </w:r>
      <w:r>
        <w:t>Victorian</w:t>
      </w:r>
      <w:r w:rsidR="00932420">
        <w:t xml:space="preserve"> </w:t>
      </w:r>
      <w:r>
        <w:t>Government</w:t>
      </w:r>
      <w:r w:rsidR="00932420">
        <w:t xml:space="preserve"> </w:t>
      </w:r>
      <w:r>
        <w:t>continued</w:t>
      </w:r>
      <w:r w:rsidR="00932420">
        <w:t xml:space="preserve"> </w:t>
      </w:r>
      <w:r>
        <w:t>to</w:t>
      </w:r>
      <w:r w:rsidR="00932420">
        <w:t xml:space="preserve"> </w:t>
      </w:r>
      <w:r>
        <w:t>tackle</w:t>
      </w:r>
      <w:r w:rsidR="00932420">
        <w:t xml:space="preserve"> </w:t>
      </w:r>
      <w:r>
        <w:t>barriers</w:t>
      </w:r>
      <w:r w:rsidR="00932420">
        <w:t xml:space="preserve"> </w:t>
      </w:r>
      <w:r>
        <w:t>to</w:t>
      </w:r>
      <w:r w:rsidR="00932420">
        <w:t xml:space="preserve"> </w:t>
      </w:r>
      <w:r>
        <w:t>gender</w:t>
      </w:r>
      <w:r w:rsidR="00932420">
        <w:t xml:space="preserve"> </w:t>
      </w:r>
      <w:r>
        <w:t>equality</w:t>
      </w:r>
      <w:r w:rsidR="00932420">
        <w:t xml:space="preserve"> </w:t>
      </w:r>
      <w:r>
        <w:t>in</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through</w:t>
      </w:r>
      <w:r w:rsidR="00932420">
        <w:t xml:space="preserve"> </w:t>
      </w:r>
      <w:r>
        <w:t>the</w:t>
      </w:r>
      <w:r w:rsidR="00932420">
        <w:t xml:space="preserve"> </w:t>
      </w:r>
      <w:r>
        <w:t>Office</w:t>
      </w:r>
      <w:r w:rsidR="00932420">
        <w:t xml:space="preserve"> </w:t>
      </w:r>
      <w:r>
        <w:t>for</w:t>
      </w:r>
      <w:r w:rsidR="00932420">
        <w:t xml:space="preserve"> </w:t>
      </w:r>
      <w:r>
        <w:t>Women</w:t>
      </w:r>
      <w:r w:rsidR="00932420">
        <w:t xml:space="preserve"> </w:t>
      </w:r>
      <w:r>
        <w:t>in</w:t>
      </w:r>
      <w:r w:rsidR="00932420">
        <w:t xml:space="preserve"> </w:t>
      </w:r>
      <w:r>
        <w:t>Sport</w:t>
      </w:r>
      <w:r w:rsidR="00932420">
        <w:t xml:space="preserve"> </w:t>
      </w:r>
      <w:r>
        <w:t>and</w:t>
      </w:r>
      <w:r w:rsidR="00932420">
        <w:t xml:space="preserve"> </w:t>
      </w:r>
      <w:r>
        <w:t>Recreation</w:t>
      </w:r>
      <w:r w:rsidR="00932420">
        <w:t xml:space="preserve"> </w:t>
      </w:r>
      <w:r>
        <w:t>(OWSR)</w:t>
      </w:r>
      <w:r w:rsidR="00932420">
        <w:t xml:space="preserve"> </w:t>
      </w:r>
      <w:r>
        <w:t>and</w:t>
      </w:r>
      <w:r w:rsidR="00932420">
        <w:t xml:space="preserve"> </w:t>
      </w:r>
      <w:r w:rsidRPr="00296C3F">
        <w:rPr>
          <w:i/>
          <w:iCs/>
        </w:rPr>
        <w:t>Change</w:t>
      </w:r>
      <w:r w:rsidR="00932420" w:rsidRPr="00296C3F">
        <w:rPr>
          <w:i/>
          <w:iCs/>
        </w:rPr>
        <w:t xml:space="preserve"> </w:t>
      </w:r>
      <w:r w:rsidRPr="00296C3F">
        <w:rPr>
          <w:i/>
          <w:iCs/>
        </w:rPr>
        <w:t>Our</w:t>
      </w:r>
      <w:r w:rsidR="00932420" w:rsidRPr="00296C3F">
        <w:rPr>
          <w:i/>
          <w:iCs/>
        </w:rPr>
        <w:t xml:space="preserve"> </w:t>
      </w:r>
      <w:r w:rsidRPr="00296C3F">
        <w:rPr>
          <w:i/>
          <w:iCs/>
        </w:rPr>
        <w:t>Game</w:t>
      </w:r>
      <w:r w:rsidR="00932420">
        <w:t xml:space="preserve"> </w:t>
      </w:r>
      <w:r>
        <w:t>initiative,</w:t>
      </w:r>
      <w:r w:rsidR="00932420">
        <w:t xml:space="preserve"> </w:t>
      </w:r>
      <w:r>
        <w:t>which</w:t>
      </w:r>
      <w:r w:rsidR="00932420">
        <w:t xml:space="preserve"> </w:t>
      </w:r>
      <w:r>
        <w:t>received</w:t>
      </w:r>
      <w:r w:rsidR="00932420">
        <w:t xml:space="preserve"> </w:t>
      </w:r>
      <w:r>
        <w:t>funding</w:t>
      </w:r>
      <w:r w:rsidR="00932420">
        <w:t xml:space="preserve"> </w:t>
      </w:r>
      <w:r>
        <w:t>of</w:t>
      </w:r>
      <w:r w:rsidR="00932420">
        <w:t xml:space="preserve"> </w:t>
      </w:r>
      <w:r>
        <w:t>$11.57</w:t>
      </w:r>
      <w:r w:rsidR="00932420">
        <w:t xml:space="preserve"> </w:t>
      </w:r>
      <w:r>
        <w:t>million</w:t>
      </w:r>
      <w:r w:rsidR="00932420">
        <w:t xml:space="preserve"> </w:t>
      </w:r>
      <w:r>
        <w:t>over</w:t>
      </w:r>
      <w:r w:rsidR="00932420">
        <w:t xml:space="preserve"> </w:t>
      </w:r>
      <w:r>
        <w:t>4</w:t>
      </w:r>
      <w:r w:rsidR="00932420">
        <w:t xml:space="preserve"> </w:t>
      </w:r>
      <w:r>
        <w:t>years</w:t>
      </w:r>
      <w:r w:rsidR="00932420">
        <w:t xml:space="preserve"> </w:t>
      </w:r>
      <w:r>
        <w:t>in</w:t>
      </w:r>
      <w:r w:rsidR="00932420">
        <w:t xml:space="preserve"> </w:t>
      </w:r>
      <w:r>
        <w:t>the</w:t>
      </w:r>
      <w:r w:rsidR="00932420">
        <w:t xml:space="preserve"> </w:t>
      </w:r>
      <w:r>
        <w:t>2021–22</w:t>
      </w:r>
      <w:r w:rsidR="00932420">
        <w:t xml:space="preserve"> </w:t>
      </w:r>
      <w:r>
        <w:t>Victorian</w:t>
      </w:r>
      <w:r w:rsidR="00932420">
        <w:t xml:space="preserve"> </w:t>
      </w:r>
      <w:r>
        <w:t>State</w:t>
      </w:r>
      <w:r w:rsidR="00932420">
        <w:t xml:space="preserve"> </w:t>
      </w:r>
      <w:r>
        <w:t>Budget.</w:t>
      </w:r>
      <w:r w:rsidR="00932420">
        <w:t xml:space="preserve"> </w:t>
      </w:r>
      <w:r>
        <w:t>Work</w:t>
      </w:r>
      <w:r w:rsidR="00932420">
        <w:t xml:space="preserve"> </w:t>
      </w:r>
      <w:r>
        <w:t>on</w:t>
      </w:r>
      <w:r w:rsidR="00932420">
        <w:t xml:space="preserve"> </w:t>
      </w:r>
      <w:r>
        <w:t>breaking</w:t>
      </w:r>
      <w:r w:rsidR="00932420">
        <w:t xml:space="preserve"> </w:t>
      </w:r>
      <w:r>
        <w:t>down</w:t>
      </w:r>
      <w:r w:rsidR="00932420">
        <w:t xml:space="preserve"> </w:t>
      </w:r>
      <w:r>
        <w:t>barriers</w:t>
      </w:r>
      <w:r w:rsidR="00932420">
        <w:t xml:space="preserve"> </w:t>
      </w:r>
      <w:r>
        <w:t>was</w:t>
      </w:r>
      <w:r w:rsidR="00932420">
        <w:t xml:space="preserve"> </w:t>
      </w:r>
      <w:r>
        <w:t>achieved</w:t>
      </w:r>
      <w:r w:rsidR="00932420">
        <w:t xml:space="preserve"> </w:t>
      </w:r>
      <w:r>
        <w:t>through</w:t>
      </w:r>
      <w:r w:rsidR="00932420">
        <w:t xml:space="preserve"> </w:t>
      </w:r>
      <w:r>
        <w:t>various</w:t>
      </w:r>
      <w:r w:rsidR="00932420">
        <w:t xml:space="preserve"> </w:t>
      </w:r>
      <w:r>
        <w:t>policies,</w:t>
      </w:r>
      <w:r w:rsidR="00932420">
        <w:t xml:space="preserve"> </w:t>
      </w:r>
      <w:proofErr w:type="gramStart"/>
      <w:r>
        <w:t>programs</w:t>
      </w:r>
      <w:proofErr w:type="gramEnd"/>
      <w:r w:rsidR="00932420">
        <w:t xml:space="preserve"> </w:t>
      </w:r>
      <w:r>
        <w:t>and</w:t>
      </w:r>
      <w:r w:rsidR="00932420">
        <w:t xml:space="preserve"> </w:t>
      </w:r>
      <w:r>
        <w:t>initiatives</w:t>
      </w:r>
      <w:r w:rsidR="00932420">
        <w:t xml:space="preserve"> </w:t>
      </w:r>
      <w:r>
        <w:t>to</w:t>
      </w:r>
      <w:r w:rsidR="00932420">
        <w:t xml:space="preserve"> </w:t>
      </w:r>
      <w:r>
        <w:t>increase</w:t>
      </w:r>
      <w:r w:rsidR="00932420">
        <w:t xml:space="preserve"> </w:t>
      </w:r>
      <w:r>
        <w:t>participation,</w:t>
      </w:r>
      <w:r w:rsidR="00932420">
        <w:t xml:space="preserve"> </w:t>
      </w:r>
      <w:r>
        <w:t>leadership</w:t>
      </w:r>
      <w:r w:rsidR="00932420">
        <w:t xml:space="preserve"> </w:t>
      </w:r>
      <w:r>
        <w:t>and</w:t>
      </w:r>
      <w:r w:rsidR="00932420">
        <w:t xml:space="preserve"> </w:t>
      </w:r>
      <w:r>
        <w:t>visibility</w:t>
      </w:r>
      <w:r w:rsidR="00932420">
        <w:t xml:space="preserve"> </w:t>
      </w:r>
      <w:r>
        <w:t>of</w:t>
      </w:r>
      <w:r w:rsidR="00932420">
        <w:t xml:space="preserve"> </w:t>
      </w:r>
      <w:r>
        <w:t>women</w:t>
      </w:r>
      <w:r w:rsidR="00932420">
        <w:t xml:space="preserve"> </w:t>
      </w:r>
      <w:r>
        <w:t>and</w:t>
      </w:r>
      <w:r w:rsidR="00932420">
        <w:t xml:space="preserve"> </w:t>
      </w:r>
      <w:r>
        <w:t>girls</w:t>
      </w:r>
      <w:r w:rsidR="00932420">
        <w:t xml:space="preserve"> </w:t>
      </w:r>
      <w:r>
        <w:t>in</w:t>
      </w:r>
      <w:r w:rsidR="00932420">
        <w:t xml:space="preserve"> </w:t>
      </w:r>
      <w:r>
        <w:t>sport</w:t>
      </w:r>
      <w:r w:rsidR="00932420">
        <w:t xml:space="preserve"> </w:t>
      </w:r>
      <w:r>
        <w:t>and</w:t>
      </w:r>
      <w:r w:rsidR="00932420">
        <w:t xml:space="preserve"> </w:t>
      </w:r>
      <w:r>
        <w:t>active</w:t>
      </w:r>
      <w:r w:rsidR="00932420">
        <w:t xml:space="preserve"> </w:t>
      </w:r>
      <w:r>
        <w:t>recreation.</w:t>
      </w:r>
    </w:p>
    <w:p w14:paraId="641A360F" w14:textId="6C650E5D" w:rsidR="00CA3C5B" w:rsidRDefault="00260033" w:rsidP="00296C3F">
      <w:r>
        <w:t>Additionally,</w:t>
      </w:r>
      <w:r w:rsidR="00932420">
        <w:t xml:space="preserve"> </w:t>
      </w:r>
      <w:r>
        <w:t>the</w:t>
      </w:r>
      <w:r w:rsidR="00932420">
        <w:t xml:space="preserve"> </w:t>
      </w:r>
      <w:r>
        <w:t>Fair</w:t>
      </w:r>
      <w:r w:rsidR="00932420">
        <w:t xml:space="preserve"> </w:t>
      </w:r>
      <w:r>
        <w:t>Access</w:t>
      </w:r>
      <w:r w:rsidR="00932420">
        <w:t xml:space="preserve"> </w:t>
      </w:r>
      <w:r>
        <w:t>Policy</w:t>
      </w:r>
      <w:r w:rsidR="00932420">
        <w:t xml:space="preserve"> </w:t>
      </w:r>
      <w:r>
        <w:t>Roadmap</w:t>
      </w:r>
      <w:r w:rsidR="00932420">
        <w:t xml:space="preserve"> </w:t>
      </w:r>
      <w:r>
        <w:t>was</w:t>
      </w:r>
      <w:r w:rsidR="00932420">
        <w:t xml:space="preserve"> </w:t>
      </w:r>
      <w:r>
        <w:t>launched</w:t>
      </w:r>
      <w:r w:rsidR="00932420">
        <w:t xml:space="preserve"> </w:t>
      </w:r>
      <w:r>
        <w:t>in</w:t>
      </w:r>
      <w:r w:rsidR="00932420">
        <w:t xml:space="preserve"> </w:t>
      </w:r>
      <w:r>
        <w:t>August</w:t>
      </w:r>
      <w:r w:rsidR="00932420">
        <w:t xml:space="preserve"> </w:t>
      </w:r>
      <w:r>
        <w:t>2022.</w:t>
      </w:r>
      <w:r w:rsidR="00932420">
        <w:t xml:space="preserve"> </w:t>
      </w:r>
      <w:r>
        <w:t>An</w:t>
      </w:r>
      <w:r w:rsidR="00932420">
        <w:t xml:space="preserve"> </w:t>
      </w:r>
      <w:r>
        <w:t>Australia-first</w:t>
      </w:r>
      <w:r w:rsidR="00932420">
        <w:t xml:space="preserve"> </w:t>
      </w:r>
      <w:r>
        <w:t>policy,</w:t>
      </w:r>
      <w:r w:rsidR="00932420">
        <w:t xml:space="preserve"> </w:t>
      </w:r>
      <w:r>
        <w:t>it</w:t>
      </w:r>
      <w:r w:rsidR="00932420">
        <w:t xml:space="preserve"> </w:t>
      </w:r>
      <w:r>
        <w:t>addresses</w:t>
      </w:r>
      <w:r w:rsidR="00932420">
        <w:t xml:space="preserve"> </w:t>
      </w:r>
      <w:r>
        <w:t>barriers</w:t>
      </w:r>
      <w:r w:rsidR="00932420">
        <w:t xml:space="preserve"> </w:t>
      </w:r>
      <w:r>
        <w:t>to</w:t>
      </w:r>
      <w:r w:rsidR="00932420">
        <w:t xml:space="preserve"> </w:t>
      </w:r>
      <w:r>
        <w:t>the</w:t>
      </w:r>
      <w:r w:rsidR="00932420">
        <w:t xml:space="preserve"> </w:t>
      </w:r>
      <w:r>
        <w:t>gender</w:t>
      </w:r>
      <w:r w:rsidR="00932420">
        <w:t xml:space="preserve"> </w:t>
      </w:r>
      <w:r>
        <w:t>equitable</w:t>
      </w:r>
      <w:r w:rsidR="00932420">
        <w:t xml:space="preserve"> </w:t>
      </w:r>
      <w:r>
        <w:t>access</w:t>
      </w:r>
      <w:r w:rsidR="00932420">
        <w:t xml:space="preserve"> </w:t>
      </w:r>
      <w:r>
        <w:t>and</w:t>
      </w:r>
      <w:r w:rsidR="00932420">
        <w:t xml:space="preserve"> </w:t>
      </w:r>
      <w:r>
        <w:t>use</w:t>
      </w:r>
      <w:r w:rsidR="00932420">
        <w:t xml:space="preserve"> </w:t>
      </w:r>
      <w:r>
        <w:t>of</w:t>
      </w:r>
      <w:r w:rsidR="00932420">
        <w:t xml:space="preserve"> </w:t>
      </w:r>
      <w:r>
        <w:t>community</w:t>
      </w:r>
      <w:r w:rsidR="00932420">
        <w:t xml:space="preserve"> </w:t>
      </w:r>
      <w:r>
        <w:t>sports</w:t>
      </w:r>
      <w:r w:rsidR="00932420">
        <w:t xml:space="preserve"> </w:t>
      </w:r>
      <w:r>
        <w:t>infrastructure</w:t>
      </w:r>
      <w:r w:rsidR="00932420">
        <w:t xml:space="preserve"> </w:t>
      </w:r>
      <w:r>
        <w:t>and</w:t>
      </w:r>
      <w:r w:rsidR="00932420">
        <w:t xml:space="preserve"> </w:t>
      </w:r>
      <w:r>
        <w:t>is</w:t>
      </w:r>
      <w:r w:rsidR="00932420">
        <w:t xml:space="preserve"> </w:t>
      </w:r>
      <w:r>
        <w:t>being</w:t>
      </w:r>
      <w:r w:rsidR="00932420">
        <w:t xml:space="preserve"> </w:t>
      </w:r>
      <w:r>
        <w:t>delivered</w:t>
      </w:r>
      <w:r w:rsidR="00932420">
        <w:t xml:space="preserve"> </w:t>
      </w:r>
      <w:r>
        <w:t>with</w:t>
      </w:r>
      <w:r w:rsidR="00932420">
        <w:t xml:space="preserve"> </w:t>
      </w:r>
      <w:r>
        <w:t>local</w:t>
      </w:r>
      <w:r w:rsidR="00932420">
        <w:t xml:space="preserve"> </w:t>
      </w:r>
      <w:r>
        <w:t>government</w:t>
      </w:r>
      <w:r w:rsidR="00932420">
        <w:t xml:space="preserve"> </w:t>
      </w:r>
      <w:r>
        <w:t>and</w:t>
      </w:r>
      <w:r w:rsidR="00932420">
        <w:t xml:space="preserve"> </w:t>
      </w:r>
      <w:r>
        <w:t>in</w:t>
      </w:r>
      <w:r w:rsidR="00932420">
        <w:t xml:space="preserve"> </w:t>
      </w:r>
      <w:r>
        <w:t>alignment</w:t>
      </w:r>
      <w:r w:rsidR="00932420">
        <w:t xml:space="preserve"> </w:t>
      </w:r>
      <w:r>
        <w:t>with</w:t>
      </w:r>
      <w:r w:rsidR="00932420">
        <w:t xml:space="preserve"> </w:t>
      </w:r>
      <w:r>
        <w:t>the</w:t>
      </w:r>
      <w:r w:rsidR="00932420">
        <w:t xml:space="preserve"> </w:t>
      </w:r>
      <w:r w:rsidRPr="00296C3F">
        <w:rPr>
          <w:i/>
          <w:iCs/>
        </w:rPr>
        <w:t>Gender</w:t>
      </w:r>
      <w:r w:rsidR="00932420" w:rsidRPr="00296C3F">
        <w:rPr>
          <w:i/>
          <w:iCs/>
        </w:rPr>
        <w:t xml:space="preserve"> </w:t>
      </w:r>
      <w:r w:rsidRPr="00296C3F">
        <w:rPr>
          <w:i/>
          <w:iCs/>
        </w:rPr>
        <w:t>Equality</w:t>
      </w:r>
      <w:r w:rsidR="00932420" w:rsidRPr="00296C3F">
        <w:rPr>
          <w:i/>
          <w:iCs/>
        </w:rPr>
        <w:t xml:space="preserve"> </w:t>
      </w:r>
      <w:r w:rsidRPr="00296C3F">
        <w:rPr>
          <w:i/>
          <w:iCs/>
        </w:rPr>
        <w:t>Act</w:t>
      </w:r>
      <w:r w:rsidR="00932420" w:rsidRPr="00296C3F">
        <w:rPr>
          <w:i/>
          <w:iCs/>
        </w:rPr>
        <w:t xml:space="preserve"> </w:t>
      </w:r>
      <w:r w:rsidRPr="00296C3F">
        <w:rPr>
          <w:i/>
          <w:iCs/>
        </w:rPr>
        <w:t>2020</w:t>
      </w:r>
      <w:r>
        <w:t>.</w:t>
      </w:r>
      <w:r w:rsidR="00932420">
        <w:t xml:space="preserve"> </w:t>
      </w:r>
      <w:r>
        <w:t>Through</w:t>
      </w:r>
      <w:r w:rsidR="00932420">
        <w:t xml:space="preserve"> </w:t>
      </w:r>
      <w:r>
        <w:t>the</w:t>
      </w:r>
      <w:r w:rsidR="00932420">
        <w:t xml:space="preserve"> </w:t>
      </w:r>
      <w:r>
        <w:t>Balance</w:t>
      </w:r>
      <w:r w:rsidR="00932420">
        <w:t xml:space="preserve"> </w:t>
      </w:r>
      <w:r>
        <w:t>the</w:t>
      </w:r>
      <w:r w:rsidR="00932420">
        <w:t xml:space="preserve"> </w:t>
      </w:r>
      <w:r>
        <w:t>Board</w:t>
      </w:r>
      <w:r w:rsidR="00932420">
        <w:t xml:space="preserve"> </w:t>
      </w:r>
      <w:r>
        <w:t>policy,</w:t>
      </w:r>
      <w:r w:rsidR="00932420">
        <w:t xml:space="preserve"> </w:t>
      </w:r>
      <w:r>
        <w:t>96%</w:t>
      </w:r>
      <w:r w:rsidR="00932420">
        <w:t xml:space="preserve"> </w:t>
      </w:r>
      <w:r>
        <w:t>of</w:t>
      </w:r>
      <w:r w:rsidR="00932420">
        <w:t xml:space="preserve"> </w:t>
      </w:r>
      <w:r>
        <w:t>funded</w:t>
      </w:r>
      <w:r w:rsidR="00932420">
        <w:t xml:space="preserve"> </w:t>
      </w:r>
      <w:r>
        <w:t>state</w:t>
      </w:r>
      <w:r w:rsidR="00932420">
        <w:t xml:space="preserve"> </w:t>
      </w:r>
      <w:r>
        <w:t>sporting</w:t>
      </w:r>
      <w:r w:rsidR="00932420">
        <w:t xml:space="preserve"> </w:t>
      </w:r>
      <w:r>
        <w:t>associations</w:t>
      </w:r>
      <w:r w:rsidR="00932420">
        <w:t xml:space="preserve"> </w:t>
      </w:r>
      <w:r>
        <w:t>and</w:t>
      </w:r>
      <w:r w:rsidR="00932420">
        <w:t xml:space="preserve"> </w:t>
      </w:r>
      <w:r>
        <w:t>state</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bodies</w:t>
      </w:r>
      <w:r w:rsidR="00932420">
        <w:t xml:space="preserve"> </w:t>
      </w:r>
      <w:r>
        <w:t>met</w:t>
      </w:r>
      <w:r w:rsidR="00932420">
        <w:t xml:space="preserve"> </w:t>
      </w:r>
      <w:r>
        <w:t>the</w:t>
      </w:r>
      <w:r w:rsidR="00932420">
        <w:t xml:space="preserve"> </w:t>
      </w:r>
      <w:r>
        <w:t>Victorian</w:t>
      </w:r>
      <w:r w:rsidR="00932420">
        <w:t xml:space="preserve"> </w:t>
      </w:r>
      <w:r>
        <w:t>Government’s</w:t>
      </w:r>
      <w:r w:rsidR="00932420">
        <w:t xml:space="preserve"> </w:t>
      </w:r>
      <w:r>
        <w:t>requirement</w:t>
      </w:r>
      <w:r w:rsidR="00932420">
        <w:t xml:space="preserve"> </w:t>
      </w:r>
      <w:r>
        <w:t>to</w:t>
      </w:r>
      <w:r w:rsidR="00932420">
        <w:t xml:space="preserve"> </w:t>
      </w:r>
      <w:r>
        <w:t>have</w:t>
      </w:r>
      <w:r w:rsidR="00932420">
        <w:t xml:space="preserve"> </w:t>
      </w:r>
      <w:r>
        <w:t>at</w:t>
      </w:r>
      <w:r w:rsidR="00932420">
        <w:t xml:space="preserve"> </w:t>
      </w:r>
      <w:r>
        <w:t>least</w:t>
      </w:r>
      <w:r w:rsidR="00932420">
        <w:t xml:space="preserve"> </w:t>
      </w:r>
      <w:r>
        <w:t>40%</w:t>
      </w:r>
      <w:r w:rsidR="00932420">
        <w:t xml:space="preserve"> </w:t>
      </w:r>
      <w:r>
        <w:t>women</w:t>
      </w:r>
      <w:r w:rsidR="00932420">
        <w:t xml:space="preserve"> </w:t>
      </w:r>
      <w:r>
        <w:t>board</w:t>
      </w:r>
      <w:r w:rsidR="00932420">
        <w:t xml:space="preserve"> </w:t>
      </w:r>
      <w:r>
        <w:t>directors</w:t>
      </w:r>
      <w:r w:rsidR="00932420">
        <w:t xml:space="preserve"> </w:t>
      </w:r>
      <w:r>
        <w:t>as</w:t>
      </w:r>
      <w:r w:rsidR="00932420">
        <w:t xml:space="preserve"> </w:t>
      </w:r>
      <w:proofErr w:type="gramStart"/>
      <w:r>
        <w:t>at</w:t>
      </w:r>
      <w:proofErr w:type="gramEnd"/>
      <w:r w:rsidR="00932420">
        <w:t xml:space="preserve"> </w:t>
      </w:r>
      <w:r>
        <w:t>June</w:t>
      </w:r>
      <w:r w:rsidR="00932420">
        <w:t xml:space="preserve"> </w:t>
      </w:r>
      <w:r>
        <w:t>2023.</w:t>
      </w:r>
    </w:p>
    <w:p w14:paraId="5C98D003" w14:textId="76F71B3C" w:rsidR="00CA3C5B" w:rsidRDefault="00260033" w:rsidP="00296C3F">
      <w:r>
        <w:lastRenderedPageBreak/>
        <w:t>In</w:t>
      </w:r>
      <w:r w:rsidR="00932420">
        <w:t xml:space="preserve"> </w:t>
      </w:r>
      <w:r>
        <w:t>2022–23</w:t>
      </w:r>
      <w:r w:rsidR="00932420">
        <w:t xml:space="preserve"> </w:t>
      </w:r>
      <w:r>
        <w:t>the</w:t>
      </w:r>
      <w:r w:rsidR="00932420">
        <w:t xml:space="preserve"> </w:t>
      </w:r>
      <w:r>
        <w:t>Victorian</w:t>
      </w:r>
      <w:r w:rsidR="00932420">
        <w:t xml:space="preserve"> </w:t>
      </w:r>
      <w:r>
        <w:t>Institute</w:t>
      </w:r>
      <w:r w:rsidR="00932420">
        <w:t xml:space="preserve"> </w:t>
      </w:r>
      <w:r>
        <w:t>of</w:t>
      </w:r>
      <w:r w:rsidR="00932420">
        <w:t xml:space="preserve"> </w:t>
      </w:r>
      <w:r>
        <w:t>Sport</w:t>
      </w:r>
      <w:r w:rsidR="00932420">
        <w:t xml:space="preserve"> </w:t>
      </w:r>
      <w:r>
        <w:t>(VIS)</w:t>
      </w:r>
      <w:r w:rsidR="00932420">
        <w:t xml:space="preserve"> </w:t>
      </w:r>
      <w:r>
        <w:t>supported</w:t>
      </w:r>
      <w:r w:rsidR="00932420">
        <w:t xml:space="preserve"> </w:t>
      </w:r>
      <w:r>
        <w:t>468</w:t>
      </w:r>
      <w:r w:rsidR="00932420">
        <w:t xml:space="preserve"> </w:t>
      </w:r>
      <w:r>
        <w:t>athletes</w:t>
      </w:r>
      <w:r w:rsidR="00932420">
        <w:t xml:space="preserve"> </w:t>
      </w:r>
      <w:r>
        <w:t>under</w:t>
      </w:r>
      <w:r w:rsidR="00932420">
        <w:t xml:space="preserve"> </w:t>
      </w:r>
      <w:r>
        <w:t>VIS</w:t>
      </w:r>
      <w:r w:rsidR="00932420">
        <w:t xml:space="preserve"> </w:t>
      </w:r>
      <w:r>
        <w:t>scholarships</w:t>
      </w:r>
      <w:r w:rsidR="00932420">
        <w:t xml:space="preserve"> </w:t>
      </w:r>
      <w:r>
        <w:t>across</w:t>
      </w:r>
      <w:r w:rsidR="00932420">
        <w:t xml:space="preserve"> </w:t>
      </w:r>
      <w:r>
        <w:t>48</w:t>
      </w:r>
      <w:r w:rsidR="00932420">
        <w:t xml:space="preserve"> </w:t>
      </w:r>
      <w:r>
        <w:t>sports.</w:t>
      </w:r>
      <w:r w:rsidR="00932420">
        <w:t xml:space="preserve"> </w:t>
      </w:r>
      <w:r>
        <w:t>A</w:t>
      </w:r>
      <w:r w:rsidR="00932420">
        <w:t xml:space="preserve"> </w:t>
      </w:r>
      <w:r>
        <w:t>total</w:t>
      </w:r>
      <w:r w:rsidR="00932420">
        <w:t xml:space="preserve"> </w:t>
      </w:r>
      <w:r>
        <w:t>of</w:t>
      </w:r>
      <w:r w:rsidR="00932420">
        <w:t xml:space="preserve"> </w:t>
      </w:r>
      <w:r>
        <w:t>104</w:t>
      </w:r>
      <w:r w:rsidR="00932420">
        <w:t xml:space="preserve"> </w:t>
      </w:r>
      <w:r>
        <w:t>Victorian</w:t>
      </w:r>
      <w:r w:rsidR="00932420">
        <w:t xml:space="preserve"> </w:t>
      </w:r>
      <w:r>
        <w:t>athletes</w:t>
      </w:r>
      <w:r w:rsidR="00932420">
        <w:t xml:space="preserve"> </w:t>
      </w:r>
      <w:r>
        <w:t>(24%</w:t>
      </w:r>
      <w:r w:rsidR="00932420">
        <w:t xml:space="preserve"> </w:t>
      </w:r>
      <w:r>
        <w:t>of</w:t>
      </w:r>
      <w:r w:rsidR="00932420">
        <w:t xml:space="preserve"> </w:t>
      </w:r>
      <w:r>
        <w:t>the</w:t>
      </w:r>
      <w:r w:rsidR="00932420">
        <w:t xml:space="preserve"> </w:t>
      </w:r>
      <w:r>
        <w:t>national</w:t>
      </w:r>
      <w:r w:rsidR="00932420">
        <w:t xml:space="preserve"> </w:t>
      </w:r>
      <w:r>
        <w:t>team)</w:t>
      </w:r>
      <w:r w:rsidR="00932420">
        <w:t xml:space="preserve"> </w:t>
      </w:r>
      <w:r>
        <w:t>represented</w:t>
      </w:r>
      <w:r w:rsidR="00932420">
        <w:t xml:space="preserve"> </w:t>
      </w:r>
      <w:r>
        <w:t>Australia</w:t>
      </w:r>
      <w:r w:rsidR="00932420">
        <w:t xml:space="preserve"> </w:t>
      </w:r>
      <w:r>
        <w:t>at</w:t>
      </w:r>
      <w:r w:rsidR="00932420">
        <w:t xml:space="preserve"> </w:t>
      </w:r>
      <w:r>
        <w:t>the</w:t>
      </w:r>
      <w:r w:rsidR="00932420">
        <w:t xml:space="preserve"> </w:t>
      </w:r>
      <w:r>
        <w:t>Birmingham</w:t>
      </w:r>
      <w:r w:rsidR="00932420">
        <w:t xml:space="preserve"> </w:t>
      </w:r>
      <w:r>
        <w:t>2022</w:t>
      </w:r>
      <w:r w:rsidR="00932420">
        <w:t xml:space="preserve"> </w:t>
      </w:r>
      <w:r>
        <w:t>Commonwealth</w:t>
      </w:r>
      <w:r w:rsidR="00932420">
        <w:t xml:space="preserve"> </w:t>
      </w:r>
      <w:r>
        <w:t>Games,</w:t>
      </w:r>
      <w:r w:rsidR="00932420">
        <w:t xml:space="preserve"> </w:t>
      </w:r>
      <w:r>
        <w:t>including</w:t>
      </w:r>
      <w:r w:rsidR="00932420">
        <w:t xml:space="preserve"> </w:t>
      </w:r>
      <w:r>
        <w:t>67</w:t>
      </w:r>
      <w:r w:rsidR="00932420">
        <w:t xml:space="preserve"> </w:t>
      </w:r>
      <w:r>
        <w:t>VIS</w:t>
      </w:r>
      <w:r w:rsidR="00932420">
        <w:t xml:space="preserve"> </w:t>
      </w:r>
      <w:r>
        <w:t>scholarship</w:t>
      </w:r>
      <w:r w:rsidR="00932420">
        <w:t xml:space="preserve"> </w:t>
      </w:r>
      <w:r>
        <w:t>holders</w:t>
      </w:r>
      <w:r w:rsidR="00932420">
        <w:t xml:space="preserve"> </w:t>
      </w:r>
      <w:r>
        <w:t>–</w:t>
      </w:r>
      <w:r w:rsidR="00932420">
        <w:t xml:space="preserve"> </w:t>
      </w:r>
      <w:r>
        <w:t>with</w:t>
      </w:r>
      <w:r w:rsidR="00932420">
        <w:t xml:space="preserve"> </w:t>
      </w:r>
      <w:r>
        <w:t>17</w:t>
      </w:r>
      <w:r w:rsidR="00932420">
        <w:t xml:space="preserve"> </w:t>
      </w:r>
      <w:r>
        <w:t>VIS</w:t>
      </w:r>
      <w:r w:rsidR="00932420">
        <w:t xml:space="preserve"> </w:t>
      </w:r>
      <w:r>
        <w:t>athletes</w:t>
      </w:r>
      <w:r w:rsidR="00932420">
        <w:t xml:space="preserve"> </w:t>
      </w:r>
      <w:r>
        <w:t>winning</w:t>
      </w:r>
      <w:r w:rsidR="00932420">
        <w:t xml:space="preserve"> </w:t>
      </w:r>
      <w:r>
        <w:t>13</w:t>
      </w:r>
      <w:r w:rsidR="00932420">
        <w:t xml:space="preserve"> </w:t>
      </w:r>
      <w:r>
        <w:t>gold</w:t>
      </w:r>
      <w:r w:rsidR="00932420">
        <w:t xml:space="preserve"> </w:t>
      </w:r>
      <w:r>
        <w:t>medals</w:t>
      </w:r>
      <w:r w:rsidR="00932420">
        <w:t xml:space="preserve"> </w:t>
      </w:r>
      <w:r>
        <w:t>and</w:t>
      </w:r>
      <w:r w:rsidR="00932420">
        <w:t xml:space="preserve"> </w:t>
      </w:r>
      <w:r>
        <w:t>42</w:t>
      </w:r>
      <w:r w:rsidR="00932420">
        <w:t xml:space="preserve"> </w:t>
      </w:r>
      <w:r>
        <w:t>VIS</w:t>
      </w:r>
      <w:r w:rsidR="00932420">
        <w:t xml:space="preserve"> </w:t>
      </w:r>
      <w:r>
        <w:t>athletes</w:t>
      </w:r>
      <w:r w:rsidR="00932420">
        <w:t xml:space="preserve"> </w:t>
      </w:r>
      <w:r>
        <w:t>finishing</w:t>
      </w:r>
      <w:r w:rsidR="00932420">
        <w:t xml:space="preserve"> </w:t>
      </w:r>
      <w:r>
        <w:t>in</w:t>
      </w:r>
      <w:r w:rsidR="00932420">
        <w:t xml:space="preserve"> </w:t>
      </w:r>
      <w:r>
        <w:t>a</w:t>
      </w:r>
      <w:r w:rsidR="00932420">
        <w:t xml:space="preserve"> </w:t>
      </w:r>
      <w:r>
        <w:t>podium</w:t>
      </w:r>
      <w:r w:rsidR="00932420">
        <w:t xml:space="preserve"> </w:t>
      </w:r>
      <w:r>
        <w:t>position.</w:t>
      </w:r>
      <w:r w:rsidR="00932420">
        <w:t xml:space="preserve"> </w:t>
      </w:r>
      <w:r>
        <w:t>Across</w:t>
      </w:r>
      <w:r w:rsidR="00932420">
        <w:t xml:space="preserve"> </w:t>
      </w:r>
      <w:r>
        <w:t>various</w:t>
      </w:r>
      <w:r w:rsidR="00932420">
        <w:t xml:space="preserve"> </w:t>
      </w:r>
      <w:r>
        <w:t>world</w:t>
      </w:r>
      <w:r w:rsidR="00932420">
        <w:t xml:space="preserve"> </w:t>
      </w:r>
      <w:r>
        <w:t>championships</w:t>
      </w:r>
      <w:r w:rsidR="00932420">
        <w:t xml:space="preserve"> </w:t>
      </w:r>
      <w:r>
        <w:t>in</w:t>
      </w:r>
      <w:r w:rsidR="00932420">
        <w:t xml:space="preserve"> </w:t>
      </w:r>
      <w:r>
        <w:t>2022–23,</w:t>
      </w:r>
      <w:r w:rsidR="00932420">
        <w:t xml:space="preserve"> </w:t>
      </w:r>
      <w:r>
        <w:t>10</w:t>
      </w:r>
      <w:r w:rsidR="00932420">
        <w:t xml:space="preserve"> </w:t>
      </w:r>
      <w:r>
        <w:t>world</w:t>
      </w:r>
      <w:r w:rsidR="00932420">
        <w:t xml:space="preserve"> </w:t>
      </w:r>
      <w:r>
        <w:t>championship</w:t>
      </w:r>
      <w:r w:rsidR="00932420">
        <w:t xml:space="preserve"> </w:t>
      </w:r>
      <w:r>
        <w:t>titles</w:t>
      </w:r>
      <w:r w:rsidR="00932420">
        <w:t xml:space="preserve"> </w:t>
      </w:r>
      <w:r>
        <w:t>were</w:t>
      </w:r>
      <w:r w:rsidR="00932420">
        <w:t xml:space="preserve"> </w:t>
      </w:r>
      <w:r>
        <w:t>awarded</w:t>
      </w:r>
      <w:r w:rsidR="00932420">
        <w:t xml:space="preserve"> </w:t>
      </w:r>
      <w:r>
        <w:t>to</w:t>
      </w:r>
      <w:r w:rsidR="00932420">
        <w:t xml:space="preserve"> </w:t>
      </w:r>
      <w:r>
        <w:t>7</w:t>
      </w:r>
      <w:r w:rsidR="00932420">
        <w:t xml:space="preserve"> </w:t>
      </w:r>
      <w:r>
        <w:t>VIS</w:t>
      </w:r>
      <w:r w:rsidR="00932420">
        <w:t xml:space="preserve"> </w:t>
      </w:r>
      <w:r>
        <w:t>athletes</w:t>
      </w:r>
      <w:r w:rsidR="00932420">
        <w:t xml:space="preserve"> </w:t>
      </w:r>
      <w:r>
        <w:t>and</w:t>
      </w:r>
      <w:r w:rsidR="00932420">
        <w:t xml:space="preserve"> </w:t>
      </w:r>
      <w:r>
        <w:t>38</w:t>
      </w:r>
      <w:r w:rsidR="00932420">
        <w:t xml:space="preserve"> </w:t>
      </w:r>
      <w:r>
        <w:t>VIS</w:t>
      </w:r>
      <w:r w:rsidR="00932420">
        <w:t xml:space="preserve"> </w:t>
      </w:r>
      <w:r>
        <w:t>athletes</w:t>
      </w:r>
      <w:r w:rsidR="00932420">
        <w:t xml:space="preserve"> </w:t>
      </w:r>
      <w:r>
        <w:t>secured</w:t>
      </w:r>
      <w:r w:rsidR="00932420">
        <w:t xml:space="preserve"> </w:t>
      </w:r>
      <w:r>
        <w:t>podium</w:t>
      </w:r>
      <w:r w:rsidR="00932420">
        <w:t xml:space="preserve"> </w:t>
      </w:r>
      <w:r>
        <w:t>level</w:t>
      </w:r>
      <w:r w:rsidR="00932420">
        <w:t xml:space="preserve"> </w:t>
      </w:r>
      <w:r>
        <w:t>results.</w:t>
      </w:r>
    </w:p>
    <w:p w14:paraId="6D70F8E0" w14:textId="7AFACF3C" w:rsidR="00CA3C5B" w:rsidRDefault="00260033" w:rsidP="00296C3F">
      <w:r>
        <w:t>Victoria’s</w:t>
      </w:r>
      <w:r w:rsidR="00932420">
        <w:t xml:space="preserve"> </w:t>
      </w:r>
      <w:r>
        <w:t>high-performance</w:t>
      </w:r>
      <w:r w:rsidR="00932420">
        <w:t xml:space="preserve"> </w:t>
      </w:r>
      <w:r>
        <w:t>athletes,</w:t>
      </w:r>
      <w:r w:rsidR="00932420">
        <w:t xml:space="preserve"> </w:t>
      </w:r>
      <w:r>
        <w:t>coaches</w:t>
      </w:r>
      <w:r w:rsidR="00932420">
        <w:t xml:space="preserve"> </w:t>
      </w:r>
      <w:r>
        <w:t>and</w:t>
      </w:r>
      <w:r w:rsidR="00932420">
        <w:t xml:space="preserve"> </w:t>
      </w:r>
      <w:r>
        <w:t>support</w:t>
      </w:r>
      <w:r w:rsidR="00932420">
        <w:t xml:space="preserve"> </w:t>
      </w:r>
      <w:r>
        <w:t>staff</w:t>
      </w:r>
      <w:r w:rsidR="00932420">
        <w:t xml:space="preserve"> </w:t>
      </w:r>
      <w:r>
        <w:t>benefitted</w:t>
      </w:r>
      <w:r w:rsidR="00932420">
        <w:t xml:space="preserve"> </w:t>
      </w:r>
      <w:r>
        <w:t>from</w:t>
      </w:r>
      <w:r w:rsidR="00932420">
        <w:t xml:space="preserve"> </w:t>
      </w:r>
      <w:r>
        <w:t>government</w:t>
      </w:r>
      <w:r w:rsidR="00932420">
        <w:t xml:space="preserve"> </w:t>
      </w:r>
      <w:r>
        <w:t>investment</w:t>
      </w:r>
      <w:r w:rsidR="00932420">
        <w:t xml:space="preserve"> </w:t>
      </w:r>
      <w:r>
        <w:t>in</w:t>
      </w:r>
      <w:r w:rsidR="00932420">
        <w:t xml:space="preserve"> </w:t>
      </w:r>
      <w:r>
        <w:t>the</w:t>
      </w:r>
      <w:r w:rsidR="00932420">
        <w:t xml:space="preserve"> </w:t>
      </w:r>
      <w:r>
        <w:t>world-class</w:t>
      </w:r>
      <w:r w:rsidR="00932420">
        <w:t xml:space="preserve"> </w:t>
      </w:r>
      <w:r>
        <w:t>network</w:t>
      </w:r>
      <w:r w:rsidR="00932420">
        <w:t xml:space="preserve"> </w:t>
      </w:r>
      <w:r>
        <w:t>of</w:t>
      </w:r>
      <w:r w:rsidR="00932420">
        <w:t xml:space="preserve"> </w:t>
      </w:r>
      <w:r>
        <w:t>44</w:t>
      </w:r>
      <w:r w:rsidR="00932420">
        <w:t xml:space="preserve"> </w:t>
      </w:r>
      <w:r>
        <w:t>state</w:t>
      </w:r>
      <w:r w:rsidR="00932420">
        <w:t xml:space="preserve"> </w:t>
      </w:r>
      <w:r>
        <w:t>sport</w:t>
      </w:r>
      <w:r w:rsidR="00932420">
        <w:t xml:space="preserve"> </w:t>
      </w:r>
      <w:r>
        <w:t>facilities</w:t>
      </w:r>
      <w:r w:rsidR="00932420">
        <w:t xml:space="preserve"> </w:t>
      </w:r>
      <w:r>
        <w:t>that</w:t>
      </w:r>
      <w:r w:rsidR="00932420">
        <w:t xml:space="preserve"> </w:t>
      </w:r>
      <w:r>
        <w:t>supported</w:t>
      </w:r>
      <w:r w:rsidR="00932420">
        <w:t xml:space="preserve"> </w:t>
      </w:r>
      <w:r>
        <w:t>55</w:t>
      </w:r>
      <w:r w:rsidR="00932420">
        <w:t xml:space="preserve"> </w:t>
      </w:r>
      <w:r>
        <w:t>professional</w:t>
      </w:r>
      <w:r w:rsidR="00932420">
        <w:t xml:space="preserve"> </w:t>
      </w:r>
      <w:r>
        <w:t>teams.</w:t>
      </w:r>
      <w:r w:rsidR="00932420">
        <w:t xml:space="preserve"> </w:t>
      </w:r>
      <w:r>
        <w:t>Investment</w:t>
      </w:r>
      <w:r w:rsidR="00932420">
        <w:t xml:space="preserve"> </w:t>
      </w:r>
      <w:r>
        <w:t>in</w:t>
      </w:r>
      <w:r w:rsidR="00932420">
        <w:t xml:space="preserve"> </w:t>
      </w:r>
      <w:r>
        <w:t>state</w:t>
      </w:r>
      <w:r w:rsidR="00932420">
        <w:t xml:space="preserve"> </w:t>
      </w:r>
      <w:r>
        <w:t>facilities</w:t>
      </w:r>
      <w:r w:rsidR="00932420">
        <w:t xml:space="preserve"> </w:t>
      </w:r>
      <w:r>
        <w:t>supported</w:t>
      </w:r>
      <w:r w:rsidR="00932420">
        <w:t xml:space="preserve"> </w:t>
      </w:r>
      <w:r>
        <w:t>events</w:t>
      </w:r>
      <w:r w:rsidR="00932420">
        <w:t xml:space="preserve"> </w:t>
      </w:r>
      <w:r>
        <w:t>of</w:t>
      </w:r>
      <w:r w:rsidR="00932420">
        <w:t xml:space="preserve"> </w:t>
      </w:r>
      <w:r>
        <w:t>national</w:t>
      </w:r>
      <w:r w:rsidR="00932420">
        <w:t xml:space="preserve"> </w:t>
      </w:r>
      <w:r>
        <w:t>and</w:t>
      </w:r>
      <w:r w:rsidR="00932420">
        <w:t xml:space="preserve"> </w:t>
      </w:r>
      <w:r>
        <w:t>international</w:t>
      </w:r>
      <w:r w:rsidR="00932420">
        <w:t xml:space="preserve"> </w:t>
      </w:r>
      <w:r>
        <w:t>significance,</w:t>
      </w:r>
      <w:r w:rsidR="00932420">
        <w:t xml:space="preserve"> </w:t>
      </w:r>
      <w:r>
        <w:t>providing</w:t>
      </w:r>
      <w:r w:rsidR="00932420">
        <w:t xml:space="preserve"> </w:t>
      </w:r>
      <w:r>
        <w:t>an</w:t>
      </w:r>
      <w:r w:rsidR="00932420">
        <w:t xml:space="preserve"> </w:t>
      </w:r>
      <w:r>
        <w:t>opportunity</w:t>
      </w:r>
      <w:r w:rsidR="00932420">
        <w:t xml:space="preserve"> </w:t>
      </w:r>
      <w:r>
        <w:t>to</w:t>
      </w:r>
      <w:r w:rsidR="00932420">
        <w:t xml:space="preserve"> </w:t>
      </w:r>
      <w:r>
        <w:t>showcase</w:t>
      </w:r>
      <w:r w:rsidR="00932420">
        <w:t xml:space="preserve"> </w:t>
      </w:r>
      <w:r>
        <w:t>athletes</w:t>
      </w:r>
      <w:r w:rsidR="00932420">
        <w:t xml:space="preserve"> </w:t>
      </w:r>
      <w:r>
        <w:t>performing</w:t>
      </w:r>
      <w:r w:rsidR="00932420">
        <w:t xml:space="preserve"> </w:t>
      </w:r>
      <w:r>
        <w:t>at</w:t>
      </w:r>
      <w:r w:rsidR="00932420">
        <w:t xml:space="preserve"> </w:t>
      </w:r>
      <w:r>
        <w:t>their</w:t>
      </w:r>
      <w:r w:rsidR="00932420">
        <w:t xml:space="preserve"> </w:t>
      </w:r>
      <w:r>
        <w:t>best</w:t>
      </w:r>
      <w:r w:rsidR="00932420">
        <w:t xml:space="preserve"> </w:t>
      </w:r>
      <w:r>
        <w:t>and</w:t>
      </w:r>
      <w:r w:rsidR="00932420">
        <w:t xml:space="preserve"> </w:t>
      </w:r>
      <w:r>
        <w:t>inspire</w:t>
      </w:r>
      <w:r w:rsidR="00932420">
        <w:t xml:space="preserve"> </w:t>
      </w:r>
      <w:r>
        <w:t>Victorians</w:t>
      </w:r>
      <w:r w:rsidR="00932420">
        <w:t xml:space="preserve"> </w:t>
      </w:r>
      <w:r>
        <w:t>to</w:t>
      </w:r>
      <w:r w:rsidR="00932420">
        <w:t xml:space="preserve"> </w:t>
      </w:r>
      <w:r>
        <w:t>participate</w:t>
      </w:r>
      <w:r w:rsidR="00932420">
        <w:t xml:space="preserve"> </w:t>
      </w:r>
      <w:r>
        <w:t>in</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A</w:t>
      </w:r>
      <w:r w:rsidR="00932420">
        <w:t xml:space="preserve"> </w:t>
      </w:r>
      <w:r>
        <w:t>total</w:t>
      </w:r>
      <w:r w:rsidR="00932420">
        <w:t xml:space="preserve"> </w:t>
      </w:r>
      <w:r>
        <w:t>of</w:t>
      </w:r>
      <w:r w:rsidR="00932420">
        <w:t xml:space="preserve"> </w:t>
      </w:r>
      <w:r>
        <w:t>95</w:t>
      </w:r>
      <w:r w:rsidR="00932420">
        <w:t xml:space="preserve"> </w:t>
      </w:r>
      <w:r>
        <w:t>sporting</w:t>
      </w:r>
      <w:r w:rsidR="00932420">
        <w:t xml:space="preserve"> </w:t>
      </w:r>
      <w:r>
        <w:t>events</w:t>
      </w:r>
      <w:r w:rsidR="00932420">
        <w:t xml:space="preserve"> </w:t>
      </w:r>
      <w:r>
        <w:t>of</w:t>
      </w:r>
      <w:r w:rsidR="00932420">
        <w:t xml:space="preserve"> </w:t>
      </w:r>
      <w:r>
        <w:t>national</w:t>
      </w:r>
      <w:r w:rsidR="00932420">
        <w:t xml:space="preserve"> </w:t>
      </w:r>
      <w:r>
        <w:t>or</w:t>
      </w:r>
      <w:r w:rsidR="00932420">
        <w:t xml:space="preserve"> </w:t>
      </w:r>
      <w:r>
        <w:t>international</w:t>
      </w:r>
      <w:r w:rsidR="00932420">
        <w:t xml:space="preserve"> </w:t>
      </w:r>
      <w:r>
        <w:t>level</w:t>
      </w:r>
      <w:r w:rsidR="00932420">
        <w:t xml:space="preserve"> </w:t>
      </w:r>
      <w:r>
        <w:t>were</w:t>
      </w:r>
      <w:r w:rsidR="00932420">
        <w:t xml:space="preserve"> </w:t>
      </w:r>
      <w:r>
        <w:t>facilitated</w:t>
      </w:r>
      <w:r w:rsidR="00932420">
        <w:t xml:space="preserve"> </w:t>
      </w:r>
      <w:r>
        <w:t>through</w:t>
      </w:r>
      <w:r w:rsidR="00932420">
        <w:t xml:space="preserve"> </w:t>
      </w:r>
      <w:r>
        <w:t>the</w:t>
      </w:r>
      <w:r w:rsidR="00932420">
        <w:t xml:space="preserve"> </w:t>
      </w:r>
      <w:r>
        <w:t>Significant</w:t>
      </w:r>
      <w:r w:rsidR="00932420">
        <w:t xml:space="preserve"> </w:t>
      </w:r>
      <w:r>
        <w:t>Sporting</w:t>
      </w:r>
      <w:r w:rsidR="00932420">
        <w:t xml:space="preserve"> </w:t>
      </w:r>
      <w:r>
        <w:t>Events</w:t>
      </w:r>
      <w:r w:rsidR="00932420">
        <w:t xml:space="preserve"> </w:t>
      </w:r>
      <w:r>
        <w:t>program.</w:t>
      </w:r>
      <w:r w:rsidR="00932420">
        <w:t xml:space="preserve"> </w:t>
      </w:r>
      <w:r>
        <w:t>These</w:t>
      </w:r>
      <w:r w:rsidR="00932420">
        <w:t xml:space="preserve"> </w:t>
      </w:r>
      <w:r>
        <w:t>events</w:t>
      </w:r>
      <w:r w:rsidR="00932420">
        <w:t xml:space="preserve"> </w:t>
      </w:r>
      <w:r>
        <w:t>enabled</w:t>
      </w:r>
      <w:r w:rsidR="00932420">
        <w:t xml:space="preserve"> </w:t>
      </w:r>
      <w:r>
        <w:t>Victorian</w:t>
      </w:r>
      <w:r w:rsidR="00932420">
        <w:t xml:space="preserve"> </w:t>
      </w:r>
      <w:r>
        <w:t>athletes</w:t>
      </w:r>
      <w:r w:rsidR="00932420">
        <w:t xml:space="preserve"> </w:t>
      </w:r>
      <w:r>
        <w:t>to</w:t>
      </w:r>
      <w:r w:rsidR="00932420">
        <w:t xml:space="preserve"> </w:t>
      </w:r>
      <w:r>
        <w:t>compete</w:t>
      </w:r>
      <w:r w:rsidR="00932420">
        <w:t xml:space="preserve"> </w:t>
      </w:r>
      <w:r>
        <w:t>on</w:t>
      </w:r>
      <w:r w:rsidR="00932420">
        <w:t xml:space="preserve"> </w:t>
      </w:r>
      <w:r>
        <w:t>home</w:t>
      </w:r>
      <w:r w:rsidR="00932420">
        <w:t xml:space="preserve"> </w:t>
      </w:r>
      <w:r>
        <w:t>soil,</w:t>
      </w:r>
      <w:r w:rsidR="00932420">
        <w:t xml:space="preserve"> </w:t>
      </w:r>
      <w:r>
        <w:t>provided</w:t>
      </w:r>
      <w:r w:rsidR="00932420">
        <w:t xml:space="preserve"> </w:t>
      </w:r>
      <w:r>
        <w:t>inspiration</w:t>
      </w:r>
      <w:r w:rsidR="00932420">
        <w:t xml:space="preserve"> </w:t>
      </w:r>
      <w:r>
        <w:t>for</w:t>
      </w:r>
      <w:r w:rsidR="00932420">
        <w:t xml:space="preserve"> </w:t>
      </w:r>
      <w:r>
        <w:t>fans</w:t>
      </w:r>
      <w:r w:rsidR="00932420">
        <w:t xml:space="preserve"> </w:t>
      </w:r>
      <w:r>
        <w:t>to</w:t>
      </w:r>
      <w:r w:rsidR="00932420">
        <w:t xml:space="preserve"> </w:t>
      </w:r>
      <w:r>
        <w:t>emulate</w:t>
      </w:r>
      <w:r w:rsidR="00932420">
        <w:t xml:space="preserve"> </w:t>
      </w:r>
      <w:r>
        <w:t>their</w:t>
      </w:r>
      <w:r w:rsidR="00932420">
        <w:t xml:space="preserve"> </w:t>
      </w:r>
      <w:r>
        <w:t>heroes</w:t>
      </w:r>
      <w:r w:rsidR="00932420">
        <w:t xml:space="preserve"> </w:t>
      </w:r>
      <w:r>
        <w:t>and</w:t>
      </w:r>
      <w:r w:rsidR="00932420">
        <w:t xml:space="preserve"> </w:t>
      </w:r>
      <w:r>
        <w:t>encouraged</w:t>
      </w:r>
      <w:r w:rsidR="00932420">
        <w:t xml:space="preserve"> </w:t>
      </w:r>
      <w:r>
        <w:t>them</w:t>
      </w:r>
      <w:r w:rsidR="00932420">
        <w:t xml:space="preserve"> </w:t>
      </w:r>
      <w:r>
        <w:t>to</w:t>
      </w:r>
      <w:r w:rsidR="00932420">
        <w:t xml:space="preserve"> </w:t>
      </w:r>
      <w:r>
        <w:t>get</w:t>
      </w:r>
      <w:r w:rsidR="00932420">
        <w:t xml:space="preserve"> </w:t>
      </w:r>
      <w:r>
        <w:t>active</w:t>
      </w:r>
      <w:r w:rsidR="00932420">
        <w:t xml:space="preserve"> </w:t>
      </w:r>
      <w:r>
        <w:t>and</w:t>
      </w:r>
      <w:r w:rsidR="00932420">
        <w:t xml:space="preserve"> </w:t>
      </w:r>
      <w:r>
        <w:t>healthy</w:t>
      </w:r>
      <w:r w:rsidR="00932420">
        <w:t xml:space="preserve"> </w:t>
      </w:r>
      <w:r>
        <w:t>through</w:t>
      </w:r>
      <w:r w:rsidR="00932420">
        <w:t xml:space="preserve"> </w:t>
      </w:r>
      <w:r>
        <w:t>sport.</w:t>
      </w:r>
    </w:p>
    <w:p w14:paraId="220897E5" w14:textId="62EF6C24" w:rsidR="00CA3C5B" w:rsidRDefault="00260033" w:rsidP="00296C3F">
      <w:r>
        <w:t>The</w:t>
      </w:r>
      <w:r w:rsidR="00932420">
        <w:t xml:space="preserve"> </w:t>
      </w:r>
      <w:r>
        <w:t>Victorian</w:t>
      </w:r>
      <w:r w:rsidR="00932420">
        <w:t xml:space="preserve"> </w:t>
      </w:r>
      <w:r>
        <w:t>Government</w:t>
      </w:r>
      <w:r w:rsidR="00932420">
        <w:t xml:space="preserve"> </w:t>
      </w:r>
      <w:r>
        <w:t>supported</w:t>
      </w:r>
      <w:r w:rsidR="00932420">
        <w:t xml:space="preserve"> </w:t>
      </w:r>
      <w:r>
        <w:t>significant</w:t>
      </w:r>
      <w:r w:rsidR="00932420">
        <w:t xml:space="preserve"> </w:t>
      </w:r>
      <w:r>
        <w:t>investment</w:t>
      </w:r>
      <w:r w:rsidR="00932420">
        <w:t xml:space="preserve"> </w:t>
      </w:r>
      <w:r>
        <w:t>in</w:t>
      </w:r>
      <w:r w:rsidR="00932420">
        <w:t xml:space="preserve"> </w:t>
      </w:r>
      <w:r>
        <w:t>community</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infrastructure</w:t>
      </w:r>
      <w:r w:rsidR="00932420">
        <w:t xml:space="preserve"> </w:t>
      </w:r>
      <w:r>
        <w:t>to</w:t>
      </w:r>
      <w:r w:rsidR="00932420">
        <w:t xml:space="preserve"> </w:t>
      </w:r>
      <w:r>
        <w:t>improve</w:t>
      </w:r>
      <w:r w:rsidR="00932420">
        <w:t xml:space="preserve"> </w:t>
      </w:r>
      <w:r>
        <w:t>facilities,</w:t>
      </w:r>
      <w:r w:rsidR="00932420">
        <w:t xml:space="preserve"> </w:t>
      </w:r>
      <w:proofErr w:type="gramStart"/>
      <w:r>
        <w:t>spaces</w:t>
      </w:r>
      <w:proofErr w:type="gramEnd"/>
      <w:r w:rsidR="00932420">
        <w:t xml:space="preserve"> </w:t>
      </w:r>
      <w:r>
        <w:t>and</w:t>
      </w:r>
      <w:r w:rsidR="00932420">
        <w:t xml:space="preserve"> </w:t>
      </w:r>
      <w:r>
        <w:t>environments</w:t>
      </w:r>
      <w:r w:rsidR="00932420">
        <w:t xml:space="preserve"> </w:t>
      </w:r>
      <w:r>
        <w:t>that</w:t>
      </w:r>
      <w:r w:rsidR="00932420">
        <w:t xml:space="preserve"> </w:t>
      </w:r>
      <w:r>
        <w:t>Victorians</w:t>
      </w:r>
      <w:r w:rsidR="00932420">
        <w:t xml:space="preserve"> </w:t>
      </w:r>
      <w:r>
        <w:t>use</w:t>
      </w:r>
      <w:r w:rsidR="00932420">
        <w:t xml:space="preserve"> </w:t>
      </w:r>
      <w:r>
        <w:t>to</w:t>
      </w:r>
      <w:r w:rsidR="00932420">
        <w:t xml:space="preserve"> </w:t>
      </w:r>
      <w:r>
        <w:t>participate.</w:t>
      </w:r>
      <w:r w:rsidR="00932420">
        <w:t xml:space="preserve"> </w:t>
      </w:r>
      <w:r>
        <w:t>Community</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infrastructure</w:t>
      </w:r>
      <w:r w:rsidR="00932420">
        <w:t xml:space="preserve"> </w:t>
      </w:r>
      <w:r>
        <w:t>is</w:t>
      </w:r>
      <w:r w:rsidR="00932420">
        <w:t xml:space="preserve"> </w:t>
      </w:r>
      <w:r>
        <w:t>estimated</w:t>
      </w:r>
      <w:r w:rsidR="00932420">
        <w:t xml:space="preserve"> </w:t>
      </w:r>
      <w:r>
        <w:t>to</w:t>
      </w:r>
      <w:r w:rsidR="00932420">
        <w:t xml:space="preserve"> </w:t>
      </w:r>
      <w:r>
        <w:t>deliver</w:t>
      </w:r>
      <w:r w:rsidR="00932420">
        <w:t xml:space="preserve"> </w:t>
      </w:r>
      <w:r>
        <w:t>more</w:t>
      </w:r>
      <w:r w:rsidR="00932420">
        <w:t xml:space="preserve"> </w:t>
      </w:r>
      <w:r>
        <w:t>than</w:t>
      </w:r>
      <w:r w:rsidR="00932420">
        <w:t xml:space="preserve"> </w:t>
      </w:r>
      <w:r>
        <w:t>$7</w:t>
      </w:r>
      <w:r w:rsidR="00932420">
        <w:t xml:space="preserve"> </w:t>
      </w:r>
      <w:r>
        <w:t>billion</w:t>
      </w:r>
      <w:r w:rsidR="00932420">
        <w:t xml:space="preserve"> </w:t>
      </w:r>
      <w:r>
        <w:t>in</w:t>
      </w:r>
      <w:r w:rsidR="00932420">
        <w:t xml:space="preserve"> </w:t>
      </w:r>
      <w:r>
        <w:t>benefits</w:t>
      </w:r>
      <w:r w:rsidR="00932420">
        <w:t xml:space="preserve"> </w:t>
      </w:r>
      <w:r>
        <w:t>to</w:t>
      </w:r>
      <w:r w:rsidR="00932420">
        <w:t xml:space="preserve"> </w:t>
      </w:r>
      <w:r>
        <w:t>Victoria</w:t>
      </w:r>
      <w:r w:rsidR="00932420">
        <w:t xml:space="preserve"> </w:t>
      </w:r>
      <w:r>
        <w:t>per</w:t>
      </w:r>
      <w:r w:rsidR="00932420">
        <w:t xml:space="preserve"> </w:t>
      </w:r>
      <w:r>
        <w:t>annum</w:t>
      </w:r>
      <w:r w:rsidR="00932420">
        <w:t xml:space="preserve"> </w:t>
      </w:r>
      <w:r>
        <w:t>(including</w:t>
      </w:r>
      <w:r w:rsidR="00932420">
        <w:t xml:space="preserve"> </w:t>
      </w:r>
      <w:r>
        <w:t>economic,</w:t>
      </w:r>
      <w:r w:rsidR="00932420">
        <w:t xml:space="preserve"> </w:t>
      </w:r>
      <w:r>
        <w:t>social</w:t>
      </w:r>
      <w:r w:rsidR="00932420">
        <w:t xml:space="preserve"> </w:t>
      </w:r>
      <w:r>
        <w:t>and</w:t>
      </w:r>
      <w:r w:rsidR="00932420">
        <w:t xml:space="preserve"> </w:t>
      </w:r>
      <w:r>
        <w:t>wellbeing</w:t>
      </w:r>
      <w:r w:rsidR="00932420">
        <w:t xml:space="preserve"> </w:t>
      </w:r>
      <w:r>
        <w:t>and</w:t>
      </w:r>
      <w:r w:rsidR="00932420">
        <w:t xml:space="preserve"> </w:t>
      </w:r>
      <w:r>
        <w:t>health</w:t>
      </w:r>
      <w:r w:rsidR="00932420">
        <w:t xml:space="preserve"> </w:t>
      </w:r>
      <w:r>
        <w:t>benefits).</w:t>
      </w:r>
      <w:r w:rsidR="00932420">
        <w:t xml:space="preserve"> </w:t>
      </w:r>
      <w:r>
        <w:t>In</w:t>
      </w:r>
      <w:r w:rsidR="00932420">
        <w:t xml:space="preserve"> </w:t>
      </w:r>
      <w:r>
        <w:t>2022–23,</w:t>
      </w:r>
      <w:r w:rsidR="00932420">
        <w:t xml:space="preserve"> </w:t>
      </w:r>
      <w:r>
        <w:t>over</w:t>
      </w:r>
      <w:r w:rsidR="00932420">
        <w:t xml:space="preserve"> </w:t>
      </w:r>
      <w:r>
        <w:t>$100</w:t>
      </w:r>
      <w:r w:rsidR="00932420">
        <w:t xml:space="preserve"> </w:t>
      </w:r>
      <w:r>
        <w:t>million</w:t>
      </w:r>
      <w:r w:rsidR="00932420">
        <w:t xml:space="preserve"> </w:t>
      </w:r>
      <w:r>
        <w:t>was</w:t>
      </w:r>
      <w:r w:rsidR="00932420">
        <w:t xml:space="preserve"> </w:t>
      </w:r>
      <w:r>
        <w:t>allocated</w:t>
      </w:r>
      <w:r w:rsidR="00932420">
        <w:t xml:space="preserve"> </w:t>
      </w:r>
      <w:r>
        <w:t>to</w:t>
      </w:r>
      <w:r w:rsidR="00932420">
        <w:t xml:space="preserve"> </w:t>
      </w:r>
      <w:r>
        <w:t>support</w:t>
      </w:r>
      <w:r w:rsidR="00932420">
        <w:t xml:space="preserve"> </w:t>
      </w:r>
      <w:r>
        <w:t>more</w:t>
      </w:r>
      <w:r w:rsidR="00932420">
        <w:t xml:space="preserve"> </w:t>
      </w:r>
      <w:r>
        <w:t>than</w:t>
      </w:r>
      <w:r w:rsidR="00932420">
        <w:t xml:space="preserve"> </w:t>
      </w:r>
      <w:r>
        <w:t>210</w:t>
      </w:r>
      <w:r w:rsidR="00932420">
        <w:t xml:space="preserve"> </w:t>
      </w:r>
      <w:r>
        <w:t>community</w:t>
      </w:r>
      <w:r w:rsidR="00932420">
        <w:t xml:space="preserve"> </w:t>
      </w:r>
      <w:r>
        <w:t>sport</w:t>
      </w:r>
      <w:r w:rsidR="00932420">
        <w:t xml:space="preserve"> </w:t>
      </w:r>
      <w:r>
        <w:t>and</w:t>
      </w:r>
      <w:r w:rsidR="00932420">
        <w:t xml:space="preserve"> </w:t>
      </w:r>
      <w:r>
        <w:t>active</w:t>
      </w:r>
      <w:r w:rsidR="00932420">
        <w:t xml:space="preserve"> </w:t>
      </w:r>
      <w:r>
        <w:t>recreation</w:t>
      </w:r>
      <w:r w:rsidR="00932420">
        <w:t xml:space="preserve"> </w:t>
      </w:r>
      <w:r>
        <w:t>projects.</w:t>
      </w:r>
      <w:r w:rsidR="00932420">
        <w:t xml:space="preserve"> </w:t>
      </w:r>
      <w:r>
        <w:t>This</w:t>
      </w:r>
      <w:r w:rsidR="00932420">
        <w:t xml:space="preserve"> </w:t>
      </w:r>
      <w:r>
        <w:t>included</w:t>
      </w:r>
      <w:r w:rsidR="00932420">
        <w:t xml:space="preserve"> </w:t>
      </w:r>
      <w:r>
        <w:t>funding</w:t>
      </w:r>
      <w:r w:rsidR="00932420">
        <w:t xml:space="preserve"> </w:t>
      </w:r>
      <w:r>
        <w:t>91</w:t>
      </w:r>
      <w:r w:rsidR="00932420">
        <w:t xml:space="preserve"> </w:t>
      </w:r>
      <w:r>
        <w:t>projects</w:t>
      </w:r>
      <w:r w:rsidR="00932420">
        <w:t xml:space="preserve"> </w:t>
      </w:r>
      <w:r>
        <w:t>through</w:t>
      </w:r>
      <w:r w:rsidR="00932420">
        <w:t xml:space="preserve"> </w:t>
      </w:r>
      <w:r>
        <w:t>the</w:t>
      </w:r>
      <w:r w:rsidR="00932420">
        <w:t xml:space="preserve"> </w:t>
      </w:r>
      <w:r>
        <w:t>2022</w:t>
      </w:r>
      <w:r w:rsidR="00932420">
        <w:t xml:space="preserve"> </w:t>
      </w:r>
      <w:r>
        <w:t>Local</w:t>
      </w:r>
      <w:r w:rsidR="00932420">
        <w:t xml:space="preserve"> </w:t>
      </w:r>
      <w:r>
        <w:t>Sports</w:t>
      </w:r>
      <w:r w:rsidR="00932420">
        <w:t xml:space="preserve"> </w:t>
      </w:r>
      <w:r>
        <w:t>Infrastructure</w:t>
      </w:r>
      <w:r w:rsidR="00932420">
        <w:t xml:space="preserve"> </w:t>
      </w:r>
      <w:r>
        <w:t>Fund</w:t>
      </w:r>
      <w:r w:rsidR="00932420">
        <w:t xml:space="preserve"> </w:t>
      </w:r>
      <w:r>
        <w:t>and</w:t>
      </w:r>
      <w:r w:rsidR="00932420">
        <w:t xml:space="preserve"> </w:t>
      </w:r>
      <w:r>
        <w:t>11</w:t>
      </w:r>
      <w:r w:rsidR="00932420">
        <w:t xml:space="preserve"> </w:t>
      </w:r>
      <w:r>
        <w:t>projects</w:t>
      </w:r>
      <w:r w:rsidR="00932420">
        <w:t xml:space="preserve"> </w:t>
      </w:r>
      <w:r>
        <w:t>through</w:t>
      </w:r>
      <w:r w:rsidR="00932420">
        <w:t xml:space="preserve"> </w:t>
      </w:r>
      <w:r>
        <w:t>the</w:t>
      </w:r>
      <w:r w:rsidR="00932420">
        <w:t xml:space="preserve"> </w:t>
      </w:r>
      <w:r>
        <w:t>2022–23</w:t>
      </w:r>
      <w:r w:rsidR="00932420">
        <w:t xml:space="preserve"> </w:t>
      </w:r>
      <w:r>
        <w:t>Country</w:t>
      </w:r>
      <w:r w:rsidR="00932420">
        <w:t xml:space="preserve"> </w:t>
      </w:r>
      <w:r>
        <w:t>Football</w:t>
      </w:r>
      <w:r w:rsidR="00932420">
        <w:t xml:space="preserve"> </w:t>
      </w:r>
      <w:r>
        <w:t>and</w:t>
      </w:r>
      <w:r w:rsidR="00932420">
        <w:t xml:space="preserve"> </w:t>
      </w:r>
      <w:r>
        <w:t>Netball</w:t>
      </w:r>
      <w:r w:rsidR="00932420">
        <w:t xml:space="preserve"> </w:t>
      </w:r>
      <w:r>
        <w:t>Program.</w:t>
      </w:r>
    </w:p>
    <w:p w14:paraId="3EB80309" w14:textId="58E7990A" w:rsidR="00CA3C5B" w:rsidRDefault="00260033" w:rsidP="00296C3F">
      <w:r>
        <w:t>Increased</w:t>
      </w:r>
      <w:r w:rsidR="00932420">
        <w:t xml:space="preserve"> </w:t>
      </w:r>
      <w:r>
        <w:t>participation</w:t>
      </w:r>
      <w:r w:rsidR="00932420">
        <w:t xml:space="preserve"> </w:t>
      </w:r>
      <w:r>
        <w:t>in</w:t>
      </w:r>
      <w:r w:rsidR="00932420">
        <w:t xml:space="preserve"> </w:t>
      </w:r>
      <w:r>
        <w:t>sport</w:t>
      </w:r>
      <w:r w:rsidR="00932420">
        <w:t xml:space="preserve"> </w:t>
      </w:r>
      <w:r>
        <w:t>was</w:t>
      </w:r>
      <w:r w:rsidR="00932420">
        <w:t xml:space="preserve"> </w:t>
      </w:r>
      <w:r>
        <w:t>supported</w:t>
      </w:r>
      <w:r w:rsidR="00932420">
        <w:t xml:space="preserve"> </w:t>
      </w:r>
      <w:r>
        <w:t>by</w:t>
      </w:r>
      <w:r w:rsidR="00932420">
        <w:t xml:space="preserve"> </w:t>
      </w:r>
      <w:r>
        <w:t>the</w:t>
      </w:r>
      <w:r w:rsidR="00932420">
        <w:t xml:space="preserve"> </w:t>
      </w:r>
      <w:r>
        <w:t>completion</w:t>
      </w:r>
      <w:r w:rsidR="00932420">
        <w:t xml:space="preserve"> </w:t>
      </w:r>
      <w:r>
        <w:t>of</w:t>
      </w:r>
      <w:r w:rsidR="00932420">
        <w:t xml:space="preserve"> </w:t>
      </w:r>
      <w:r>
        <w:t>the</w:t>
      </w:r>
      <w:r w:rsidR="00932420">
        <w:t xml:space="preserve"> </w:t>
      </w:r>
      <w:r>
        <w:t>Victorian</w:t>
      </w:r>
      <w:r w:rsidR="00932420">
        <w:t xml:space="preserve"> </w:t>
      </w:r>
      <w:r>
        <w:t>Government’s</w:t>
      </w:r>
      <w:r w:rsidR="00932420">
        <w:t xml:space="preserve"> </w:t>
      </w:r>
      <w:r>
        <w:t>investment</w:t>
      </w:r>
      <w:r w:rsidR="00932420">
        <w:t xml:space="preserve"> </w:t>
      </w:r>
      <w:r>
        <w:t>in</w:t>
      </w:r>
      <w:r w:rsidR="00932420">
        <w:t xml:space="preserve"> </w:t>
      </w:r>
      <w:r>
        <w:t>AFL</w:t>
      </w:r>
      <w:r w:rsidR="00932420">
        <w:t xml:space="preserve"> </w:t>
      </w:r>
      <w:r>
        <w:t>venue</w:t>
      </w:r>
      <w:r w:rsidR="00932420">
        <w:t xml:space="preserve"> </w:t>
      </w:r>
      <w:r>
        <w:t>upgrades,</w:t>
      </w:r>
      <w:r w:rsidR="00932420">
        <w:t xml:space="preserve"> </w:t>
      </w:r>
      <w:r>
        <w:t>benefitting</w:t>
      </w:r>
      <w:r w:rsidR="00932420">
        <w:t xml:space="preserve"> </w:t>
      </w:r>
      <w:r>
        <w:t>professional</w:t>
      </w:r>
      <w:r w:rsidR="00932420">
        <w:t xml:space="preserve"> </w:t>
      </w:r>
      <w:r>
        <w:t>women’s</w:t>
      </w:r>
      <w:r w:rsidR="00932420">
        <w:t xml:space="preserve"> </w:t>
      </w:r>
      <w:r>
        <w:t>sport</w:t>
      </w:r>
      <w:r w:rsidR="00932420">
        <w:t xml:space="preserve"> </w:t>
      </w:r>
      <w:r>
        <w:t>and</w:t>
      </w:r>
      <w:r w:rsidR="00932420">
        <w:t xml:space="preserve"> </w:t>
      </w:r>
      <w:r>
        <w:t>leveraging</w:t>
      </w:r>
      <w:r w:rsidR="00932420">
        <w:t xml:space="preserve"> </w:t>
      </w:r>
      <w:r>
        <w:t>community</w:t>
      </w:r>
      <w:r w:rsidR="00932420">
        <w:t xml:space="preserve"> </w:t>
      </w:r>
      <w:r>
        <w:t>participation</w:t>
      </w:r>
      <w:r w:rsidR="00932420">
        <w:t xml:space="preserve"> </w:t>
      </w:r>
      <w:r>
        <w:t>outcomes</w:t>
      </w:r>
      <w:r w:rsidR="00932420">
        <w:t xml:space="preserve"> </w:t>
      </w:r>
      <w:r>
        <w:t>from</w:t>
      </w:r>
      <w:r w:rsidR="00932420">
        <w:t xml:space="preserve"> </w:t>
      </w:r>
      <w:r>
        <w:t>the</w:t>
      </w:r>
      <w:r w:rsidR="00932420">
        <w:t xml:space="preserve"> </w:t>
      </w:r>
      <w:r>
        <w:t>improved</w:t>
      </w:r>
      <w:r w:rsidR="00932420">
        <w:t xml:space="preserve"> </w:t>
      </w:r>
      <w:r>
        <w:t>and</w:t>
      </w:r>
      <w:r w:rsidR="00932420">
        <w:t xml:space="preserve"> </w:t>
      </w:r>
      <w:r>
        <w:t>expanded</w:t>
      </w:r>
      <w:r w:rsidR="00932420">
        <w:t xml:space="preserve"> </w:t>
      </w:r>
      <w:r>
        <w:t>facilities.</w:t>
      </w:r>
      <w:r w:rsidR="00932420">
        <w:t xml:space="preserve"> </w:t>
      </w:r>
      <w:r>
        <w:t>Other</w:t>
      </w:r>
      <w:r w:rsidR="00932420">
        <w:t xml:space="preserve"> </w:t>
      </w:r>
      <w:r>
        <w:t>projects</w:t>
      </w:r>
      <w:r w:rsidR="00932420">
        <w:t xml:space="preserve"> </w:t>
      </w:r>
      <w:r>
        <w:rPr>
          <w:spacing w:val="-1"/>
        </w:rPr>
        <w:t>completed</w:t>
      </w:r>
      <w:r w:rsidR="00932420">
        <w:rPr>
          <w:spacing w:val="-1"/>
        </w:rPr>
        <w:t xml:space="preserve"> </w:t>
      </w:r>
      <w:r>
        <w:rPr>
          <w:spacing w:val="-1"/>
        </w:rPr>
        <w:t>included</w:t>
      </w:r>
      <w:r w:rsidR="00932420">
        <w:rPr>
          <w:spacing w:val="-1"/>
        </w:rPr>
        <w:t xml:space="preserve"> </w:t>
      </w:r>
      <w:r>
        <w:rPr>
          <w:spacing w:val="-1"/>
        </w:rPr>
        <w:t>delivery</w:t>
      </w:r>
      <w:r w:rsidR="00932420">
        <w:rPr>
          <w:spacing w:val="-1"/>
        </w:rPr>
        <w:t xml:space="preserve"> </w:t>
      </w:r>
      <w:r>
        <w:rPr>
          <w:spacing w:val="-1"/>
        </w:rPr>
        <w:t>of</w:t>
      </w:r>
      <w:r w:rsidR="00932420">
        <w:rPr>
          <w:spacing w:val="-1"/>
        </w:rPr>
        <w:t xml:space="preserve"> </w:t>
      </w:r>
      <w:r>
        <w:rPr>
          <w:spacing w:val="-1"/>
        </w:rPr>
        <w:t>the</w:t>
      </w:r>
      <w:r w:rsidR="00932420">
        <w:rPr>
          <w:spacing w:val="-1"/>
        </w:rPr>
        <w:t xml:space="preserve"> </w:t>
      </w:r>
      <w:r>
        <w:rPr>
          <w:spacing w:val="-1"/>
        </w:rPr>
        <w:t>Home</w:t>
      </w:r>
      <w:r w:rsidR="00932420">
        <w:rPr>
          <w:spacing w:val="-1"/>
        </w:rPr>
        <w:t xml:space="preserve"> </w:t>
      </w:r>
      <w:r>
        <w:rPr>
          <w:spacing w:val="-1"/>
        </w:rPr>
        <w:t>of</w:t>
      </w:r>
      <w:r w:rsidR="00932420">
        <w:rPr>
          <w:spacing w:val="-1"/>
        </w:rPr>
        <w:t xml:space="preserve"> </w:t>
      </w:r>
      <w:r>
        <w:rPr>
          <w:spacing w:val="-1"/>
        </w:rPr>
        <w:t>the</w:t>
      </w:r>
      <w:r w:rsidR="00932420">
        <w:rPr>
          <w:spacing w:val="-1"/>
        </w:rPr>
        <w:t xml:space="preserve"> </w:t>
      </w:r>
      <w:r>
        <w:rPr>
          <w:spacing w:val="-1"/>
        </w:rPr>
        <w:t>Matildas,</w:t>
      </w:r>
      <w:r w:rsidR="00932420">
        <w:rPr>
          <w:spacing w:val="-1"/>
        </w:rPr>
        <w:t xml:space="preserve"> </w:t>
      </w:r>
      <w:r>
        <w:rPr>
          <w:spacing w:val="-1"/>
        </w:rPr>
        <w:t>part</w:t>
      </w:r>
      <w:r w:rsidR="00932420">
        <w:rPr>
          <w:spacing w:val="-1"/>
        </w:rPr>
        <w:t xml:space="preserve"> </w:t>
      </w:r>
      <w:r>
        <w:rPr>
          <w:spacing w:val="-1"/>
        </w:rPr>
        <w:t>of</w:t>
      </w:r>
      <w:r w:rsidR="00932420">
        <w:rPr>
          <w:spacing w:val="-1"/>
        </w:rPr>
        <w:t xml:space="preserve"> </w:t>
      </w:r>
      <w:r>
        <w:rPr>
          <w:spacing w:val="-1"/>
        </w:rPr>
        <w:t>the</w:t>
      </w:r>
      <w:r w:rsidR="00932420">
        <w:rPr>
          <w:spacing w:val="-1"/>
        </w:rPr>
        <w:t xml:space="preserve"> </w:t>
      </w:r>
      <w:r>
        <w:rPr>
          <w:spacing w:val="-1"/>
        </w:rPr>
        <w:t>State</w:t>
      </w:r>
      <w:r w:rsidR="00932420">
        <w:rPr>
          <w:spacing w:val="-1"/>
        </w:rPr>
        <w:t xml:space="preserve"> </w:t>
      </w:r>
      <w:r>
        <w:rPr>
          <w:spacing w:val="-1"/>
        </w:rPr>
        <w:t>Football</w:t>
      </w:r>
      <w:r w:rsidR="00932420">
        <w:rPr>
          <w:spacing w:val="-1"/>
        </w:rPr>
        <w:t xml:space="preserve"> </w:t>
      </w:r>
      <w:r>
        <w:rPr>
          <w:spacing w:val="-1"/>
        </w:rPr>
        <w:t>Centre</w:t>
      </w:r>
      <w:r w:rsidR="00932420">
        <w:rPr>
          <w:spacing w:val="-1"/>
        </w:rPr>
        <w:t xml:space="preserve"> </w:t>
      </w:r>
      <w:r>
        <w:rPr>
          <w:spacing w:val="-1"/>
        </w:rPr>
        <w:t>which</w:t>
      </w:r>
      <w:r w:rsidR="00932420">
        <w:rPr>
          <w:spacing w:val="-1"/>
        </w:rPr>
        <w:t xml:space="preserve"> </w:t>
      </w:r>
      <w:r>
        <w:rPr>
          <w:spacing w:val="-1"/>
        </w:rPr>
        <w:t>provides</w:t>
      </w:r>
      <w:r w:rsidR="00932420">
        <w:rPr>
          <w:spacing w:val="-1"/>
        </w:rPr>
        <w:t xml:space="preserve"> </w:t>
      </w:r>
      <w:r>
        <w:rPr>
          <w:spacing w:val="-1"/>
        </w:rPr>
        <w:t>1,100</w:t>
      </w:r>
      <w:r w:rsidR="00932420">
        <w:rPr>
          <w:spacing w:val="-1"/>
        </w:rPr>
        <w:t xml:space="preserve"> </w:t>
      </w:r>
      <w:r>
        <w:rPr>
          <w:spacing w:val="-1"/>
        </w:rPr>
        <w:t>hours</w:t>
      </w:r>
      <w:r w:rsidR="00932420">
        <w:rPr>
          <w:spacing w:val="-1"/>
        </w:rPr>
        <w:t xml:space="preserve"> </w:t>
      </w:r>
      <w:r>
        <w:rPr>
          <w:spacing w:val="-1"/>
        </w:rPr>
        <w:t>per</w:t>
      </w:r>
      <w:r w:rsidR="00932420">
        <w:rPr>
          <w:spacing w:val="-1"/>
        </w:rPr>
        <w:t xml:space="preserve"> </w:t>
      </w:r>
      <w:r>
        <w:rPr>
          <w:spacing w:val="-1"/>
        </w:rPr>
        <w:t>annum</w:t>
      </w:r>
      <w:r w:rsidR="00932420">
        <w:rPr>
          <w:spacing w:val="-1"/>
        </w:rPr>
        <w:t xml:space="preserve"> </w:t>
      </w:r>
      <w:r>
        <w:rPr>
          <w:spacing w:val="-1"/>
        </w:rPr>
        <w:t>of</w:t>
      </w:r>
      <w:r w:rsidR="00932420">
        <w:rPr>
          <w:spacing w:val="-1"/>
        </w:rPr>
        <w:t xml:space="preserve"> </w:t>
      </w:r>
      <w:r>
        <w:rPr>
          <w:spacing w:val="-1"/>
        </w:rPr>
        <w:t>high-performance</w:t>
      </w:r>
      <w:r w:rsidR="00932420">
        <w:rPr>
          <w:spacing w:val="-1"/>
        </w:rPr>
        <w:t xml:space="preserve"> </w:t>
      </w:r>
      <w:r>
        <w:rPr>
          <w:spacing w:val="-1"/>
        </w:rPr>
        <w:t>programs</w:t>
      </w:r>
      <w:r w:rsidR="00932420">
        <w:rPr>
          <w:spacing w:val="-1"/>
        </w:rPr>
        <w:t xml:space="preserve"> </w:t>
      </w:r>
      <w:r>
        <w:rPr>
          <w:spacing w:val="-1"/>
        </w:rPr>
        <w:t>and</w:t>
      </w:r>
      <w:r w:rsidR="00932420">
        <w:rPr>
          <w:spacing w:val="-1"/>
        </w:rPr>
        <w:t xml:space="preserve"> </w:t>
      </w:r>
      <w:r>
        <w:rPr>
          <w:spacing w:val="-1"/>
        </w:rPr>
        <w:t>a</w:t>
      </w:r>
      <w:r w:rsidR="00932420">
        <w:rPr>
          <w:spacing w:val="-1"/>
        </w:rPr>
        <w:t xml:space="preserve"> </w:t>
      </w:r>
      <w:r>
        <w:rPr>
          <w:spacing w:val="-1"/>
        </w:rPr>
        <w:t>further</w:t>
      </w:r>
      <w:r w:rsidR="00932420">
        <w:rPr>
          <w:spacing w:val="-1"/>
        </w:rPr>
        <w:t xml:space="preserve"> </w:t>
      </w:r>
      <w:r>
        <w:rPr>
          <w:spacing w:val="-1"/>
        </w:rPr>
        <w:t>3,500</w:t>
      </w:r>
      <w:r w:rsidR="00932420">
        <w:rPr>
          <w:spacing w:val="-1"/>
        </w:rPr>
        <w:t xml:space="preserve"> </w:t>
      </w:r>
      <w:r>
        <w:rPr>
          <w:spacing w:val="-1"/>
        </w:rPr>
        <w:t>hours</w:t>
      </w:r>
      <w:r w:rsidR="00932420">
        <w:rPr>
          <w:spacing w:val="-1"/>
        </w:rPr>
        <w:t xml:space="preserve"> </w:t>
      </w:r>
      <w:r>
        <w:rPr>
          <w:spacing w:val="-1"/>
        </w:rPr>
        <w:t>per</w:t>
      </w:r>
      <w:r w:rsidR="00932420">
        <w:rPr>
          <w:spacing w:val="-1"/>
        </w:rPr>
        <w:t xml:space="preserve"> </w:t>
      </w:r>
      <w:r>
        <w:rPr>
          <w:spacing w:val="-1"/>
        </w:rPr>
        <w:t>annum</w:t>
      </w:r>
      <w:r w:rsidR="00932420">
        <w:rPr>
          <w:spacing w:val="-1"/>
        </w:rPr>
        <w:t xml:space="preserve"> </w:t>
      </w:r>
      <w:r>
        <w:rPr>
          <w:spacing w:val="-1"/>
        </w:rPr>
        <w:t>for</w:t>
      </w:r>
      <w:r w:rsidR="00932420">
        <w:rPr>
          <w:spacing w:val="-1"/>
        </w:rPr>
        <w:t xml:space="preserve"> </w:t>
      </w:r>
      <w:r>
        <w:rPr>
          <w:spacing w:val="-1"/>
        </w:rPr>
        <w:t>La</w:t>
      </w:r>
      <w:r w:rsidR="00932420">
        <w:rPr>
          <w:spacing w:val="-1"/>
        </w:rPr>
        <w:t xml:space="preserve"> </w:t>
      </w:r>
      <w:r>
        <w:rPr>
          <w:spacing w:val="-1"/>
        </w:rPr>
        <w:t>Trobe</w:t>
      </w:r>
      <w:r w:rsidR="00932420">
        <w:rPr>
          <w:spacing w:val="-1"/>
        </w:rPr>
        <w:t xml:space="preserve"> </w:t>
      </w:r>
      <w:r>
        <w:rPr>
          <w:spacing w:val="-1"/>
        </w:rPr>
        <w:t>University</w:t>
      </w:r>
      <w:r w:rsidR="00932420">
        <w:rPr>
          <w:spacing w:val="-1"/>
        </w:rPr>
        <w:t xml:space="preserve"> </w:t>
      </w:r>
      <w:r>
        <w:rPr>
          <w:spacing w:val="-1"/>
        </w:rPr>
        <w:t>and</w:t>
      </w:r>
      <w:r w:rsidR="00932420">
        <w:rPr>
          <w:spacing w:val="-1"/>
        </w:rPr>
        <w:t xml:space="preserve"> </w:t>
      </w:r>
      <w:r>
        <w:rPr>
          <w:spacing w:val="-1"/>
        </w:rPr>
        <w:t>community</w:t>
      </w:r>
      <w:r w:rsidR="00932420">
        <w:rPr>
          <w:spacing w:val="-1"/>
        </w:rPr>
        <w:t xml:space="preserve"> </w:t>
      </w:r>
      <w:r>
        <w:rPr>
          <w:spacing w:val="-1"/>
        </w:rPr>
        <w:t>use</w:t>
      </w:r>
      <w:r w:rsidR="00932420">
        <w:rPr>
          <w:spacing w:val="-1"/>
        </w:rPr>
        <w:t xml:space="preserve"> </w:t>
      </w:r>
      <w:r>
        <w:rPr>
          <w:spacing w:val="-1"/>
        </w:rPr>
        <w:t>in</w:t>
      </w:r>
      <w:r w:rsidR="00932420">
        <w:rPr>
          <w:spacing w:val="-1"/>
        </w:rPr>
        <w:t xml:space="preserve"> </w:t>
      </w:r>
      <w:r>
        <w:rPr>
          <w:spacing w:val="-1"/>
        </w:rPr>
        <w:t>addition</w:t>
      </w:r>
      <w:r w:rsidR="00932420">
        <w:rPr>
          <w:spacing w:val="-1"/>
        </w:rPr>
        <w:t xml:space="preserve"> </w:t>
      </w:r>
      <w:r>
        <w:rPr>
          <w:spacing w:val="-1"/>
        </w:rPr>
        <w:t>to</w:t>
      </w:r>
      <w:r w:rsidR="00932420">
        <w:rPr>
          <w:spacing w:val="-1"/>
        </w:rPr>
        <w:t xml:space="preserve"> </w:t>
      </w:r>
      <w:r>
        <w:rPr>
          <w:spacing w:val="-1"/>
        </w:rPr>
        <w:t>use</w:t>
      </w:r>
      <w:r w:rsidR="00932420">
        <w:rPr>
          <w:spacing w:val="-1"/>
        </w:rPr>
        <w:t xml:space="preserve"> </w:t>
      </w:r>
      <w:r>
        <w:rPr>
          <w:spacing w:val="-1"/>
        </w:rPr>
        <w:t>by</w:t>
      </w:r>
      <w:r w:rsidR="00932420">
        <w:rPr>
          <w:spacing w:val="-1"/>
        </w:rPr>
        <w:t xml:space="preserve"> </w:t>
      </w:r>
      <w:r>
        <w:rPr>
          <w:spacing w:val="-1"/>
        </w:rPr>
        <w:t>Football</w:t>
      </w:r>
      <w:r w:rsidR="00932420">
        <w:rPr>
          <w:spacing w:val="-1"/>
        </w:rPr>
        <w:t xml:space="preserve"> </w:t>
      </w:r>
      <w:r>
        <w:rPr>
          <w:spacing w:val="-1"/>
        </w:rPr>
        <w:t>Victoria.</w:t>
      </w:r>
      <w:r w:rsidR="00932420">
        <w:rPr>
          <w:spacing w:val="-1"/>
        </w:rPr>
        <w:t xml:space="preserve"> </w:t>
      </w:r>
    </w:p>
    <w:p w14:paraId="5DBCA587" w14:textId="3FA3C885" w:rsidR="00CA3C5B" w:rsidRDefault="00260033" w:rsidP="00296C3F">
      <w:pPr>
        <w:pStyle w:val="Heading2"/>
      </w:pPr>
      <w:bookmarkStart w:id="47" w:name="_Toc152067233"/>
      <w:r>
        <w:t>Performance</w:t>
      </w:r>
      <w:r w:rsidR="00932420">
        <w:t xml:space="preserve"> </w:t>
      </w:r>
      <w:r>
        <w:t>against</w:t>
      </w:r>
      <w:r w:rsidR="00932420">
        <w:t xml:space="preserve"> </w:t>
      </w:r>
      <w:r>
        <w:t>output</w:t>
      </w:r>
      <w:r w:rsidR="00932420">
        <w:t xml:space="preserve"> </w:t>
      </w:r>
      <w:r>
        <w:t>performance</w:t>
      </w:r>
      <w:r w:rsidR="00932420">
        <w:t xml:space="preserve"> </w:t>
      </w:r>
      <w:r>
        <w:t>measures</w:t>
      </w:r>
      <w:bookmarkEnd w:id="47"/>
    </w:p>
    <w:p w14:paraId="292711A6" w14:textId="13C198F8" w:rsidR="00CA3C5B" w:rsidRDefault="00260033" w:rsidP="00296C3F">
      <w:r>
        <w:t>Table</w:t>
      </w:r>
      <w:r w:rsidR="00932420">
        <w:t xml:space="preserve"> </w:t>
      </w:r>
      <w:r>
        <w:t>22</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Creative</w:t>
      </w:r>
      <w:r w:rsidR="00932420">
        <w:t xml:space="preserve"> </w:t>
      </w:r>
      <w:r>
        <w:t>Industries</w:t>
      </w:r>
      <w:r w:rsidR="00932420">
        <w:t xml:space="preserve"> </w:t>
      </w:r>
      <w:r>
        <w:t>Access,</w:t>
      </w:r>
      <w:r w:rsidR="00932420">
        <w:t xml:space="preserve"> </w:t>
      </w:r>
      <w:proofErr w:type="gramStart"/>
      <w:r>
        <w:t>Development</w:t>
      </w:r>
      <w:proofErr w:type="gramEnd"/>
      <w:r w:rsidR="00932420">
        <w:t xml:space="preserve"> </w:t>
      </w:r>
      <w:r>
        <w:t>and</w:t>
      </w:r>
      <w:r w:rsidR="00932420">
        <w:t xml:space="preserve"> </w:t>
      </w:r>
      <w:r>
        <w:t>Innovation</w:t>
      </w:r>
      <w:r w:rsidR="00932420">
        <w:t xml:space="preserve"> </w:t>
      </w:r>
      <w:r>
        <w:t>output.</w:t>
      </w:r>
      <w:r w:rsidR="00932420">
        <w:t xml:space="preserve"> </w:t>
      </w:r>
      <w:r>
        <w:t>This</w:t>
      </w:r>
      <w:r w:rsidR="00932420">
        <w:t xml:space="preserve"> </w:t>
      </w:r>
      <w:r>
        <w:t>output</w:t>
      </w:r>
      <w:r w:rsidR="00932420">
        <w:t xml:space="preserve"> </w:t>
      </w:r>
      <w:r>
        <w:t>supports</w:t>
      </w:r>
      <w:r w:rsidR="00932420">
        <w:t xml:space="preserve"> </w:t>
      </w:r>
      <w:r>
        <w:t>the</w:t>
      </w:r>
      <w:r w:rsidR="00932420">
        <w:t xml:space="preserve"> </w:t>
      </w:r>
      <w:r>
        <w:t>creative</w:t>
      </w:r>
      <w:r w:rsidR="00932420">
        <w:t xml:space="preserve"> </w:t>
      </w:r>
      <w:r>
        <w:t>industries</w:t>
      </w:r>
      <w:r w:rsidR="00932420">
        <w:t xml:space="preserve"> </w:t>
      </w:r>
      <w:r>
        <w:t>to</w:t>
      </w:r>
      <w:r w:rsidR="00932420">
        <w:t xml:space="preserve"> </w:t>
      </w:r>
      <w:r>
        <w:t>deliver</w:t>
      </w:r>
      <w:r w:rsidR="00932420">
        <w:t xml:space="preserve"> </w:t>
      </w:r>
      <w:r>
        <w:t>economic,</w:t>
      </w:r>
      <w:r w:rsidR="00932420">
        <w:t xml:space="preserve"> </w:t>
      </w:r>
      <w:proofErr w:type="gramStart"/>
      <w:r>
        <w:t>social</w:t>
      </w:r>
      <w:proofErr w:type="gramEnd"/>
      <w:r w:rsidR="00932420">
        <w:t xml:space="preserve"> </w:t>
      </w:r>
      <w:r>
        <w:t>and</w:t>
      </w:r>
      <w:r w:rsidR="00932420">
        <w:t xml:space="preserve"> </w:t>
      </w:r>
      <w:r>
        <w:t>cultural</w:t>
      </w:r>
      <w:r w:rsidR="00932420">
        <w:t xml:space="preserve"> </w:t>
      </w:r>
      <w:r>
        <w:t>benefit</w:t>
      </w:r>
      <w:r w:rsidR="00932420">
        <w:t xml:space="preserve"> </w:t>
      </w:r>
      <w:r>
        <w:t>through</w:t>
      </w:r>
      <w:r w:rsidR="00932420">
        <w:t xml:space="preserve"> </w:t>
      </w:r>
      <w:r>
        <w:t>talent</w:t>
      </w:r>
      <w:r w:rsidR="00932420">
        <w:t xml:space="preserve"> </w:t>
      </w:r>
      <w:r>
        <w:t>and</w:t>
      </w:r>
      <w:r w:rsidR="00932420">
        <w:t xml:space="preserve"> </w:t>
      </w:r>
      <w:r>
        <w:t>leadership;</w:t>
      </w:r>
      <w:r w:rsidR="00932420">
        <w:t xml:space="preserve"> </w:t>
      </w:r>
      <w:r>
        <w:t>the</w:t>
      </w:r>
      <w:r w:rsidR="00932420">
        <w:t xml:space="preserve"> </w:t>
      </w:r>
      <w:r>
        <w:t>creative</w:t>
      </w:r>
      <w:r w:rsidR="00932420">
        <w:t xml:space="preserve"> </w:t>
      </w:r>
      <w:r>
        <w:t>and</w:t>
      </w:r>
      <w:r w:rsidR="00932420">
        <w:t xml:space="preserve"> </w:t>
      </w:r>
      <w:r>
        <w:t>business</w:t>
      </w:r>
      <w:r w:rsidR="00932420">
        <w:t xml:space="preserve"> </w:t>
      </w:r>
      <w:r>
        <w:t>ecology;</w:t>
      </w:r>
      <w:r w:rsidR="00932420">
        <w:t xml:space="preserve"> </w:t>
      </w:r>
      <w:r>
        <w:t>innovation</w:t>
      </w:r>
      <w:r w:rsidR="00932420">
        <w:t xml:space="preserve"> </w:t>
      </w:r>
      <w:r>
        <w:t>and</w:t>
      </w:r>
      <w:r w:rsidR="00932420">
        <w:t xml:space="preserve"> </w:t>
      </w:r>
      <w:r>
        <w:t>social</w:t>
      </w:r>
      <w:r w:rsidR="00932420">
        <w:t xml:space="preserve"> </w:t>
      </w:r>
      <w:r>
        <w:t>impact;</w:t>
      </w:r>
      <w:r w:rsidR="00932420">
        <w:t xml:space="preserve"> </w:t>
      </w:r>
      <w:r>
        <w:t>participation</w:t>
      </w:r>
      <w:r w:rsidR="00932420">
        <w:t xml:space="preserve"> </w:t>
      </w:r>
      <w:r>
        <w:t>and</w:t>
      </w:r>
      <w:r w:rsidR="00932420">
        <w:t xml:space="preserve"> </w:t>
      </w:r>
      <w:r>
        <w:t>place</w:t>
      </w:r>
      <w:r w:rsidR="00932420">
        <w:t xml:space="preserve"> </w:t>
      </w:r>
      <w:r>
        <w:t>making;</w:t>
      </w:r>
      <w:r w:rsidR="00932420">
        <w:t xml:space="preserve"> </w:t>
      </w:r>
      <w:r>
        <w:t>and</w:t>
      </w:r>
      <w:r w:rsidR="00932420">
        <w:t xml:space="preserve"> </w:t>
      </w:r>
      <w:r>
        <w:t>international</w:t>
      </w:r>
      <w:r w:rsidR="00932420">
        <w:t xml:space="preserve"> </w:t>
      </w:r>
      <w:r>
        <w:t>engagement.</w:t>
      </w:r>
    </w:p>
    <w:p w14:paraId="5ADCCC78" w14:textId="319CC885" w:rsidR="00CA3C5B" w:rsidRDefault="00260033" w:rsidP="00296C3F">
      <w:pPr>
        <w:pStyle w:val="TableHeading"/>
      </w:pPr>
      <w:r>
        <w:lastRenderedPageBreak/>
        <w:t>Table</w:t>
      </w:r>
      <w:r w:rsidR="00932420">
        <w:t xml:space="preserve"> </w:t>
      </w:r>
      <w:r>
        <w:t>22:</w:t>
      </w:r>
      <w:r w:rsidR="00932420">
        <w:t xml:space="preserve"> </w:t>
      </w:r>
      <w:r>
        <w:t>Output</w:t>
      </w:r>
      <w:r w:rsidR="00932420">
        <w:t xml:space="preserve"> </w:t>
      </w:r>
      <w:r>
        <w:t>–</w:t>
      </w:r>
      <w:r w:rsidR="00932420">
        <w:t xml:space="preserve"> </w:t>
      </w:r>
      <w:r>
        <w:t>Creative</w:t>
      </w:r>
      <w:r w:rsidR="00932420">
        <w:t xml:space="preserve"> </w:t>
      </w:r>
      <w:r>
        <w:t>Industries</w:t>
      </w:r>
      <w:r w:rsidR="00932420">
        <w:t xml:space="preserve"> </w:t>
      </w:r>
      <w:r>
        <w:t>Access,</w:t>
      </w:r>
      <w:r w:rsidR="00932420">
        <w:t xml:space="preserve"> </w:t>
      </w:r>
      <w:proofErr w:type="gramStart"/>
      <w:r>
        <w:t>Development</w:t>
      </w:r>
      <w:proofErr w:type="gramEnd"/>
      <w:r w:rsidR="00932420">
        <w:t xml:space="preserve"> </w:t>
      </w:r>
      <w:r>
        <w:t>and</w:t>
      </w:r>
      <w:r w:rsidR="00932420">
        <w:t xml:space="preserve"> </w:t>
      </w:r>
      <w:r>
        <w:t>Innovation</w:t>
      </w:r>
    </w:p>
    <w:tbl>
      <w:tblPr>
        <w:tblStyle w:val="TableGrid"/>
        <w:tblW w:w="9935" w:type="dxa"/>
        <w:tblLayout w:type="fixed"/>
        <w:tblLook w:val="0020" w:firstRow="1" w:lastRow="0" w:firstColumn="0" w:lastColumn="0" w:noHBand="0" w:noVBand="0"/>
      </w:tblPr>
      <w:tblGrid>
        <w:gridCol w:w="4673"/>
        <w:gridCol w:w="1134"/>
        <w:gridCol w:w="963"/>
        <w:gridCol w:w="953"/>
        <w:gridCol w:w="1428"/>
        <w:gridCol w:w="784"/>
      </w:tblGrid>
      <w:tr w:rsidR="00CA3C5B" w:rsidRPr="00296C3F" w14:paraId="171715D2" w14:textId="77777777" w:rsidTr="00A517F3">
        <w:trPr>
          <w:cantSplit/>
          <w:tblHeader/>
        </w:trPr>
        <w:tc>
          <w:tcPr>
            <w:tcW w:w="4673" w:type="dxa"/>
          </w:tcPr>
          <w:p w14:paraId="639CF627" w14:textId="4035B727" w:rsidR="00CA3C5B" w:rsidRPr="00296C3F" w:rsidRDefault="00260033" w:rsidP="00296C3F">
            <w:pPr>
              <w:pStyle w:val="TableColumnHeading"/>
              <w:rPr>
                <w:sz w:val="21"/>
                <w:szCs w:val="21"/>
              </w:rPr>
            </w:pPr>
            <w:bookmarkStart w:id="48" w:name="ColumnTitle_23"/>
            <w:bookmarkEnd w:id="48"/>
            <w:r w:rsidRPr="00296C3F">
              <w:rPr>
                <w:sz w:val="21"/>
                <w:szCs w:val="21"/>
              </w:rPr>
              <w:t>Performance</w:t>
            </w:r>
            <w:r w:rsidR="00932420" w:rsidRPr="00296C3F">
              <w:rPr>
                <w:sz w:val="21"/>
                <w:szCs w:val="21"/>
              </w:rPr>
              <w:t xml:space="preserve"> </w:t>
            </w:r>
            <w:r w:rsidRPr="00296C3F">
              <w:rPr>
                <w:sz w:val="21"/>
                <w:szCs w:val="21"/>
              </w:rPr>
              <w:t>measures</w:t>
            </w:r>
          </w:p>
        </w:tc>
        <w:tc>
          <w:tcPr>
            <w:tcW w:w="1134" w:type="dxa"/>
          </w:tcPr>
          <w:p w14:paraId="179C18DA" w14:textId="2FA8757D" w:rsidR="00CA3C5B" w:rsidRPr="00296C3F" w:rsidRDefault="00260033" w:rsidP="00296C3F">
            <w:pPr>
              <w:pStyle w:val="TableColumnHeading"/>
              <w:rPr>
                <w:sz w:val="21"/>
                <w:szCs w:val="21"/>
              </w:rPr>
            </w:pPr>
            <w:r w:rsidRPr="00296C3F">
              <w:rPr>
                <w:sz w:val="21"/>
                <w:szCs w:val="21"/>
              </w:rPr>
              <w:t>Unit</w:t>
            </w:r>
            <w:r w:rsidR="00932420" w:rsidRPr="00296C3F">
              <w:rPr>
                <w:sz w:val="21"/>
                <w:szCs w:val="21"/>
              </w:rPr>
              <w:t xml:space="preserve"> </w:t>
            </w:r>
            <w:r w:rsidRPr="00296C3F">
              <w:rPr>
                <w:sz w:val="21"/>
                <w:szCs w:val="21"/>
              </w:rPr>
              <w:t>of</w:t>
            </w:r>
            <w:r w:rsidR="00932420" w:rsidRPr="00296C3F">
              <w:rPr>
                <w:sz w:val="21"/>
                <w:szCs w:val="21"/>
              </w:rPr>
              <w:t xml:space="preserve"> </w:t>
            </w:r>
            <w:r w:rsidRPr="00296C3F">
              <w:rPr>
                <w:sz w:val="21"/>
                <w:szCs w:val="21"/>
              </w:rPr>
              <w:t>Measure</w:t>
            </w:r>
          </w:p>
        </w:tc>
        <w:tc>
          <w:tcPr>
            <w:tcW w:w="963" w:type="dxa"/>
          </w:tcPr>
          <w:p w14:paraId="5A721F23" w14:textId="34A937C2" w:rsidR="00CA3C5B" w:rsidRPr="00296C3F" w:rsidRDefault="00260033" w:rsidP="0077328E">
            <w:pPr>
              <w:pStyle w:val="TableColumnHeading"/>
              <w:jc w:val="right"/>
              <w:rPr>
                <w:sz w:val="21"/>
                <w:szCs w:val="21"/>
              </w:rPr>
            </w:pPr>
            <w:r w:rsidRPr="00296C3F">
              <w:rPr>
                <w:sz w:val="21"/>
                <w:szCs w:val="21"/>
              </w:rPr>
              <w:t>2022–23</w:t>
            </w:r>
            <w:r w:rsidR="00296C3F">
              <w:rPr>
                <w:sz w:val="21"/>
                <w:szCs w:val="21"/>
              </w:rPr>
              <w:t xml:space="preserve"> </w:t>
            </w:r>
            <w:r w:rsidRPr="00296C3F">
              <w:rPr>
                <w:sz w:val="21"/>
                <w:szCs w:val="21"/>
              </w:rPr>
              <w:t>Actual</w:t>
            </w:r>
          </w:p>
        </w:tc>
        <w:tc>
          <w:tcPr>
            <w:tcW w:w="953" w:type="dxa"/>
          </w:tcPr>
          <w:p w14:paraId="6721678A" w14:textId="3808014E" w:rsidR="00CA3C5B" w:rsidRPr="00296C3F" w:rsidRDefault="00260033" w:rsidP="0077328E">
            <w:pPr>
              <w:pStyle w:val="TableColumnHeading"/>
              <w:jc w:val="right"/>
              <w:rPr>
                <w:sz w:val="21"/>
                <w:szCs w:val="21"/>
              </w:rPr>
            </w:pPr>
            <w:r w:rsidRPr="00296C3F">
              <w:rPr>
                <w:sz w:val="21"/>
                <w:szCs w:val="21"/>
              </w:rPr>
              <w:t>2022–23</w:t>
            </w:r>
            <w:r w:rsidR="00932420" w:rsidRPr="00296C3F">
              <w:rPr>
                <w:sz w:val="21"/>
                <w:szCs w:val="21"/>
              </w:rPr>
              <w:t xml:space="preserve"> </w:t>
            </w:r>
            <w:r w:rsidRPr="00296C3F">
              <w:rPr>
                <w:sz w:val="21"/>
                <w:szCs w:val="21"/>
              </w:rPr>
              <w:t>Target</w:t>
            </w:r>
          </w:p>
        </w:tc>
        <w:tc>
          <w:tcPr>
            <w:tcW w:w="1428" w:type="dxa"/>
          </w:tcPr>
          <w:p w14:paraId="078E1392" w14:textId="0152DDC0" w:rsidR="00CA3C5B" w:rsidRPr="00296C3F" w:rsidRDefault="00260033" w:rsidP="0077328E">
            <w:pPr>
              <w:pStyle w:val="TableColumnHeading"/>
              <w:jc w:val="right"/>
              <w:rPr>
                <w:sz w:val="21"/>
                <w:szCs w:val="21"/>
              </w:rPr>
            </w:pPr>
            <w:r w:rsidRPr="00296C3F">
              <w:rPr>
                <w:sz w:val="21"/>
                <w:szCs w:val="21"/>
              </w:rPr>
              <w:t>Performance</w:t>
            </w:r>
            <w:r w:rsidR="00932420" w:rsidRPr="00296C3F">
              <w:rPr>
                <w:sz w:val="21"/>
                <w:szCs w:val="21"/>
              </w:rPr>
              <w:t xml:space="preserve"> </w:t>
            </w:r>
            <w:r w:rsidRPr="00296C3F">
              <w:rPr>
                <w:sz w:val="21"/>
                <w:szCs w:val="21"/>
              </w:rPr>
              <w:t>variation</w:t>
            </w:r>
            <w:r w:rsidR="00932420" w:rsidRPr="00296C3F">
              <w:rPr>
                <w:sz w:val="21"/>
                <w:szCs w:val="21"/>
              </w:rPr>
              <w:t xml:space="preserve"> </w:t>
            </w:r>
            <w:r w:rsidRPr="00296C3F">
              <w:rPr>
                <w:sz w:val="21"/>
                <w:szCs w:val="21"/>
              </w:rPr>
              <w:t>(%)</w:t>
            </w:r>
          </w:p>
        </w:tc>
        <w:tc>
          <w:tcPr>
            <w:tcW w:w="784" w:type="dxa"/>
          </w:tcPr>
          <w:p w14:paraId="709173DF" w14:textId="77777777" w:rsidR="00CA3C5B" w:rsidRPr="00296C3F" w:rsidRDefault="00260033" w:rsidP="0077328E">
            <w:pPr>
              <w:pStyle w:val="TableColumnHeading"/>
              <w:jc w:val="right"/>
              <w:rPr>
                <w:sz w:val="21"/>
                <w:szCs w:val="21"/>
              </w:rPr>
            </w:pPr>
            <w:r w:rsidRPr="00296C3F">
              <w:rPr>
                <w:sz w:val="21"/>
                <w:szCs w:val="21"/>
              </w:rPr>
              <w:t>Result</w:t>
            </w:r>
          </w:p>
        </w:tc>
      </w:tr>
      <w:tr w:rsidR="00296C3F" w14:paraId="3B6EEB76" w14:textId="77777777" w:rsidTr="00A517F3">
        <w:trPr>
          <w:cantSplit/>
        </w:trPr>
        <w:tc>
          <w:tcPr>
            <w:tcW w:w="4673" w:type="dxa"/>
          </w:tcPr>
          <w:p w14:paraId="5DF8CB37" w14:textId="72330C79" w:rsidR="00296C3F" w:rsidRDefault="00296C3F" w:rsidP="00296C3F">
            <w:pPr>
              <w:pStyle w:val="TableHeading"/>
            </w:pPr>
            <w:r>
              <w:t>Quantity</w:t>
            </w:r>
          </w:p>
        </w:tc>
        <w:tc>
          <w:tcPr>
            <w:tcW w:w="1134" w:type="dxa"/>
          </w:tcPr>
          <w:p w14:paraId="2C98ED13" w14:textId="77777777" w:rsidR="00296C3F" w:rsidRDefault="00296C3F" w:rsidP="00296C3F">
            <w:pPr>
              <w:pStyle w:val="TableCopy"/>
            </w:pPr>
          </w:p>
        </w:tc>
        <w:tc>
          <w:tcPr>
            <w:tcW w:w="963" w:type="dxa"/>
          </w:tcPr>
          <w:p w14:paraId="01CBC18E" w14:textId="77777777" w:rsidR="00296C3F" w:rsidRDefault="00296C3F" w:rsidP="0077328E">
            <w:pPr>
              <w:pStyle w:val="TableCopy"/>
              <w:jc w:val="right"/>
            </w:pPr>
          </w:p>
        </w:tc>
        <w:tc>
          <w:tcPr>
            <w:tcW w:w="953" w:type="dxa"/>
          </w:tcPr>
          <w:p w14:paraId="00CD1B4A" w14:textId="77777777" w:rsidR="00296C3F" w:rsidRDefault="00296C3F" w:rsidP="0077328E">
            <w:pPr>
              <w:pStyle w:val="TableCopy"/>
              <w:jc w:val="right"/>
            </w:pPr>
          </w:p>
        </w:tc>
        <w:tc>
          <w:tcPr>
            <w:tcW w:w="1428" w:type="dxa"/>
          </w:tcPr>
          <w:p w14:paraId="579C89ED" w14:textId="77777777" w:rsidR="00296C3F" w:rsidRDefault="00296C3F" w:rsidP="0077328E">
            <w:pPr>
              <w:pStyle w:val="TableCopy"/>
              <w:jc w:val="right"/>
            </w:pPr>
          </w:p>
        </w:tc>
        <w:tc>
          <w:tcPr>
            <w:tcW w:w="784" w:type="dxa"/>
          </w:tcPr>
          <w:p w14:paraId="2B6421BC" w14:textId="77777777" w:rsidR="00296C3F" w:rsidRDefault="00296C3F" w:rsidP="0077328E">
            <w:pPr>
              <w:pStyle w:val="TableCopy"/>
              <w:jc w:val="right"/>
            </w:pPr>
          </w:p>
        </w:tc>
      </w:tr>
      <w:tr w:rsidR="00CA3C5B" w14:paraId="37E5D845" w14:textId="77777777" w:rsidTr="00A517F3">
        <w:trPr>
          <w:cantSplit/>
        </w:trPr>
        <w:tc>
          <w:tcPr>
            <w:tcW w:w="4673" w:type="dxa"/>
          </w:tcPr>
          <w:p w14:paraId="7E3671F9" w14:textId="0D34A178" w:rsidR="00CA3C5B" w:rsidRDefault="00260033" w:rsidP="00A517F3">
            <w:pPr>
              <w:pStyle w:val="TableCopy"/>
            </w:pPr>
            <w:r>
              <w:t>Attendances</w:t>
            </w:r>
            <w:r w:rsidR="00932420">
              <w:t xml:space="preserve"> </w:t>
            </w:r>
            <w:r>
              <w:t>at</w:t>
            </w:r>
            <w:r w:rsidR="00932420">
              <w:t xml:space="preserve"> </w:t>
            </w:r>
            <w:r>
              <w:t>major</w:t>
            </w:r>
            <w:r w:rsidR="00932420">
              <w:t xml:space="preserve"> </w:t>
            </w:r>
            <w:r>
              <w:t>performing</w:t>
            </w:r>
            <w:r w:rsidR="00932420">
              <w:t xml:space="preserve"> </w:t>
            </w:r>
            <w:r>
              <w:t>arts</w:t>
            </w:r>
            <w:r w:rsidR="00932420">
              <w:t xml:space="preserve"> </w:t>
            </w:r>
            <w:r>
              <w:t>organisations</w:t>
            </w:r>
          </w:p>
        </w:tc>
        <w:tc>
          <w:tcPr>
            <w:tcW w:w="1134" w:type="dxa"/>
          </w:tcPr>
          <w:p w14:paraId="09BF557F" w14:textId="5D278BA6" w:rsidR="00CA3C5B" w:rsidRDefault="00260033" w:rsidP="00A517F3">
            <w:pPr>
              <w:pStyle w:val="TableCopy"/>
            </w:pPr>
            <w:r>
              <w:t>number</w:t>
            </w:r>
            <w:r w:rsidR="00932420">
              <w:t xml:space="preserve"> </w:t>
            </w:r>
            <w:r>
              <w:t>(000)</w:t>
            </w:r>
          </w:p>
        </w:tc>
        <w:tc>
          <w:tcPr>
            <w:tcW w:w="963" w:type="dxa"/>
          </w:tcPr>
          <w:p w14:paraId="0C3F9C51" w14:textId="77777777" w:rsidR="00CA3C5B" w:rsidRDefault="00260033" w:rsidP="0077328E">
            <w:pPr>
              <w:pStyle w:val="TableCopy"/>
              <w:jc w:val="right"/>
            </w:pPr>
            <w:r>
              <w:t>977</w:t>
            </w:r>
          </w:p>
        </w:tc>
        <w:tc>
          <w:tcPr>
            <w:tcW w:w="953" w:type="dxa"/>
          </w:tcPr>
          <w:p w14:paraId="7F5C8539" w14:textId="77777777" w:rsidR="00CA3C5B" w:rsidRDefault="00260033" w:rsidP="0077328E">
            <w:pPr>
              <w:pStyle w:val="TableCopy"/>
              <w:jc w:val="right"/>
            </w:pPr>
            <w:r>
              <w:t>1,000</w:t>
            </w:r>
          </w:p>
        </w:tc>
        <w:tc>
          <w:tcPr>
            <w:tcW w:w="1428" w:type="dxa"/>
          </w:tcPr>
          <w:p w14:paraId="1B6FC595" w14:textId="77777777" w:rsidR="00CA3C5B" w:rsidRDefault="00260033" w:rsidP="0077328E">
            <w:pPr>
              <w:pStyle w:val="TableCopy"/>
              <w:jc w:val="right"/>
            </w:pPr>
            <w:r>
              <w:t>-2.3%</w:t>
            </w:r>
          </w:p>
        </w:tc>
        <w:tc>
          <w:tcPr>
            <w:tcW w:w="784" w:type="dxa"/>
          </w:tcPr>
          <w:p w14:paraId="29FBB1EF" w14:textId="36DD9CE2" w:rsidR="00CA3C5B" w:rsidRPr="00A517F3" w:rsidRDefault="00A517F3" w:rsidP="0077328E">
            <w:pPr>
              <w:pStyle w:val="TableCopy"/>
              <w:jc w:val="right"/>
            </w:pPr>
            <w:r w:rsidRPr="00A517F3">
              <w:t>2</w:t>
            </w:r>
          </w:p>
        </w:tc>
      </w:tr>
      <w:tr w:rsidR="00CA3C5B" w14:paraId="1B92EDB9" w14:textId="77777777" w:rsidTr="00A517F3">
        <w:trPr>
          <w:cantSplit/>
        </w:trPr>
        <w:tc>
          <w:tcPr>
            <w:tcW w:w="4673" w:type="dxa"/>
          </w:tcPr>
          <w:p w14:paraId="1D96CD35" w14:textId="77777777" w:rsidR="00CA3C5B" w:rsidRDefault="00260033" w:rsidP="00A517F3">
            <w:pPr>
              <w:pStyle w:val="TableCopy"/>
            </w:pPr>
            <w:r>
              <w:t>Creative</w:t>
            </w:r>
            <w:r w:rsidR="00932420">
              <w:t xml:space="preserve"> </w:t>
            </w:r>
            <w:r>
              <w:t>learning</w:t>
            </w:r>
            <w:r w:rsidR="00932420">
              <w:t xml:space="preserve"> </w:t>
            </w:r>
            <w:r>
              <w:t>partnerships</w:t>
            </w:r>
          </w:p>
          <w:p w14:paraId="07A69C9F" w14:textId="5403C9A2" w:rsidR="00A517F3" w:rsidRPr="00A517F3" w:rsidRDefault="00A517F3" w:rsidP="00A517F3">
            <w:pPr>
              <w:pStyle w:val="TableCopy"/>
              <w:rPr>
                <w:i/>
                <w:iCs/>
              </w:rPr>
            </w:pPr>
            <w:r w:rsidRPr="00A517F3">
              <w:rPr>
                <w:i/>
                <w:iCs/>
              </w:rPr>
              <w:t>Higher result due to partnership funding from the Department of Education enabling 5 more projects to be supported.</w:t>
            </w:r>
          </w:p>
        </w:tc>
        <w:tc>
          <w:tcPr>
            <w:tcW w:w="1134" w:type="dxa"/>
          </w:tcPr>
          <w:p w14:paraId="1DD3332A" w14:textId="77777777" w:rsidR="00CA3C5B" w:rsidRDefault="00260033" w:rsidP="00A517F3">
            <w:pPr>
              <w:pStyle w:val="TableCopy"/>
            </w:pPr>
            <w:r>
              <w:t>number</w:t>
            </w:r>
          </w:p>
        </w:tc>
        <w:tc>
          <w:tcPr>
            <w:tcW w:w="963" w:type="dxa"/>
          </w:tcPr>
          <w:p w14:paraId="4A5E9CF6" w14:textId="77777777" w:rsidR="00CA3C5B" w:rsidRDefault="00260033" w:rsidP="0077328E">
            <w:pPr>
              <w:pStyle w:val="TableCopy"/>
              <w:jc w:val="right"/>
            </w:pPr>
            <w:r>
              <w:t>19</w:t>
            </w:r>
          </w:p>
        </w:tc>
        <w:tc>
          <w:tcPr>
            <w:tcW w:w="953" w:type="dxa"/>
          </w:tcPr>
          <w:p w14:paraId="2AB866E1" w14:textId="77777777" w:rsidR="00CA3C5B" w:rsidRDefault="00260033" w:rsidP="0077328E">
            <w:pPr>
              <w:pStyle w:val="TableCopy"/>
              <w:jc w:val="right"/>
            </w:pPr>
            <w:r>
              <w:t>14</w:t>
            </w:r>
          </w:p>
        </w:tc>
        <w:tc>
          <w:tcPr>
            <w:tcW w:w="1428" w:type="dxa"/>
          </w:tcPr>
          <w:p w14:paraId="7F4F9396" w14:textId="77777777" w:rsidR="00CA3C5B" w:rsidRDefault="00260033" w:rsidP="0077328E">
            <w:pPr>
              <w:pStyle w:val="TableCopy"/>
              <w:jc w:val="right"/>
            </w:pPr>
            <w:r>
              <w:t>35.7%</w:t>
            </w:r>
          </w:p>
        </w:tc>
        <w:tc>
          <w:tcPr>
            <w:tcW w:w="784" w:type="dxa"/>
          </w:tcPr>
          <w:p w14:paraId="2ADDD722" w14:textId="0CE5632C" w:rsidR="00CA3C5B" w:rsidRDefault="005021D6" w:rsidP="0077328E">
            <w:pPr>
              <w:pStyle w:val="TableCopy"/>
              <w:jc w:val="right"/>
            </w:pPr>
            <w:r>
              <w:t>1</w:t>
            </w:r>
          </w:p>
        </w:tc>
      </w:tr>
      <w:tr w:rsidR="00CA3C5B" w14:paraId="30C1D2E2" w14:textId="77777777" w:rsidTr="00A517F3">
        <w:trPr>
          <w:cantSplit/>
        </w:trPr>
        <w:tc>
          <w:tcPr>
            <w:tcW w:w="4673" w:type="dxa"/>
          </w:tcPr>
          <w:p w14:paraId="048A3079" w14:textId="5D3A547A" w:rsidR="00CA3C5B" w:rsidRDefault="00260033" w:rsidP="00A517F3">
            <w:pPr>
              <w:pStyle w:val="TableCopy"/>
            </w:pPr>
            <w:r>
              <w:t>Design</w:t>
            </w:r>
            <w:r w:rsidR="00932420">
              <w:t xml:space="preserve"> </w:t>
            </w:r>
            <w:r>
              <w:t>organisations</w:t>
            </w:r>
            <w:r w:rsidR="00932420">
              <w:t xml:space="preserve"> </w:t>
            </w:r>
            <w:r>
              <w:t>supported</w:t>
            </w:r>
          </w:p>
        </w:tc>
        <w:tc>
          <w:tcPr>
            <w:tcW w:w="1134" w:type="dxa"/>
          </w:tcPr>
          <w:p w14:paraId="447253AB" w14:textId="77777777" w:rsidR="00CA3C5B" w:rsidRDefault="00260033" w:rsidP="00A517F3">
            <w:pPr>
              <w:pStyle w:val="TableCopy"/>
            </w:pPr>
            <w:r>
              <w:t>number</w:t>
            </w:r>
          </w:p>
        </w:tc>
        <w:tc>
          <w:tcPr>
            <w:tcW w:w="963" w:type="dxa"/>
          </w:tcPr>
          <w:p w14:paraId="7100AC6C" w14:textId="77777777" w:rsidR="00CA3C5B" w:rsidRDefault="00260033" w:rsidP="0077328E">
            <w:pPr>
              <w:pStyle w:val="TableCopy"/>
              <w:jc w:val="right"/>
            </w:pPr>
            <w:r>
              <w:t>21</w:t>
            </w:r>
          </w:p>
        </w:tc>
        <w:tc>
          <w:tcPr>
            <w:tcW w:w="953" w:type="dxa"/>
          </w:tcPr>
          <w:p w14:paraId="41E39B41" w14:textId="77777777" w:rsidR="00CA3C5B" w:rsidRDefault="00260033" w:rsidP="0077328E">
            <w:pPr>
              <w:pStyle w:val="TableCopy"/>
              <w:jc w:val="right"/>
            </w:pPr>
            <w:r>
              <w:t>22</w:t>
            </w:r>
          </w:p>
        </w:tc>
        <w:tc>
          <w:tcPr>
            <w:tcW w:w="1428" w:type="dxa"/>
          </w:tcPr>
          <w:p w14:paraId="53C7D55E" w14:textId="77777777" w:rsidR="00CA3C5B" w:rsidRDefault="00260033" w:rsidP="0077328E">
            <w:pPr>
              <w:pStyle w:val="TableCopy"/>
              <w:jc w:val="right"/>
            </w:pPr>
            <w:r>
              <w:t>-4.5%</w:t>
            </w:r>
          </w:p>
        </w:tc>
        <w:tc>
          <w:tcPr>
            <w:tcW w:w="784" w:type="dxa"/>
          </w:tcPr>
          <w:p w14:paraId="34515F4D" w14:textId="3D42F248" w:rsidR="00CA3C5B" w:rsidRDefault="005021D6" w:rsidP="0077328E">
            <w:pPr>
              <w:pStyle w:val="TableCopy"/>
              <w:jc w:val="right"/>
            </w:pPr>
            <w:r w:rsidRPr="00A517F3">
              <w:t>2</w:t>
            </w:r>
          </w:p>
        </w:tc>
      </w:tr>
      <w:tr w:rsidR="00CA3C5B" w14:paraId="70613F53" w14:textId="77777777" w:rsidTr="00A517F3">
        <w:trPr>
          <w:cantSplit/>
        </w:trPr>
        <w:tc>
          <w:tcPr>
            <w:tcW w:w="4673" w:type="dxa"/>
          </w:tcPr>
          <w:p w14:paraId="16C3EDA3" w14:textId="31A47EC3" w:rsidR="00CA3C5B" w:rsidRDefault="00260033" w:rsidP="00A517F3">
            <w:pPr>
              <w:pStyle w:val="TableCopy"/>
            </w:pPr>
            <w:r>
              <w:t>International</w:t>
            </w:r>
            <w:r w:rsidR="00932420">
              <w:t xml:space="preserve"> </w:t>
            </w:r>
            <w:r>
              <w:t>market</w:t>
            </w:r>
            <w:r w:rsidR="00932420">
              <w:t xml:space="preserve"> </w:t>
            </w:r>
            <w:r>
              <w:t>development</w:t>
            </w:r>
            <w:r w:rsidR="00932420">
              <w:t xml:space="preserve"> </w:t>
            </w:r>
            <w:r>
              <w:t>and</w:t>
            </w:r>
            <w:r w:rsidR="00932420">
              <w:t xml:space="preserve"> </w:t>
            </w:r>
            <w:r>
              <w:t>exchange</w:t>
            </w:r>
            <w:r w:rsidR="00932420">
              <w:t xml:space="preserve"> </w:t>
            </w:r>
            <w:r>
              <w:t>initiatives</w:t>
            </w:r>
          </w:p>
        </w:tc>
        <w:tc>
          <w:tcPr>
            <w:tcW w:w="1134" w:type="dxa"/>
          </w:tcPr>
          <w:p w14:paraId="75804F44" w14:textId="77777777" w:rsidR="00CA3C5B" w:rsidRDefault="00260033" w:rsidP="00A517F3">
            <w:pPr>
              <w:pStyle w:val="TableCopy"/>
            </w:pPr>
            <w:r>
              <w:t>number</w:t>
            </w:r>
          </w:p>
        </w:tc>
        <w:tc>
          <w:tcPr>
            <w:tcW w:w="963" w:type="dxa"/>
          </w:tcPr>
          <w:p w14:paraId="566DE7BA" w14:textId="77777777" w:rsidR="00CA3C5B" w:rsidRDefault="00260033" w:rsidP="0077328E">
            <w:pPr>
              <w:pStyle w:val="TableCopy"/>
              <w:jc w:val="right"/>
            </w:pPr>
            <w:r>
              <w:t>12</w:t>
            </w:r>
          </w:p>
        </w:tc>
        <w:tc>
          <w:tcPr>
            <w:tcW w:w="953" w:type="dxa"/>
          </w:tcPr>
          <w:p w14:paraId="515FA682" w14:textId="77777777" w:rsidR="00CA3C5B" w:rsidRDefault="00260033" w:rsidP="0077328E">
            <w:pPr>
              <w:pStyle w:val="TableCopy"/>
              <w:jc w:val="right"/>
            </w:pPr>
            <w:r>
              <w:t>12</w:t>
            </w:r>
          </w:p>
        </w:tc>
        <w:tc>
          <w:tcPr>
            <w:tcW w:w="1428" w:type="dxa"/>
          </w:tcPr>
          <w:p w14:paraId="5D839E32" w14:textId="77777777" w:rsidR="00CA3C5B" w:rsidRDefault="00260033" w:rsidP="0077328E">
            <w:pPr>
              <w:pStyle w:val="TableCopy"/>
              <w:jc w:val="right"/>
            </w:pPr>
            <w:r>
              <w:t>0.0%</w:t>
            </w:r>
          </w:p>
        </w:tc>
        <w:tc>
          <w:tcPr>
            <w:tcW w:w="784" w:type="dxa"/>
          </w:tcPr>
          <w:p w14:paraId="1D58BD42" w14:textId="31D36C9B" w:rsidR="00CA3C5B" w:rsidRDefault="005021D6" w:rsidP="0077328E">
            <w:pPr>
              <w:pStyle w:val="TableCopy"/>
              <w:jc w:val="right"/>
            </w:pPr>
            <w:r>
              <w:t>1</w:t>
            </w:r>
          </w:p>
        </w:tc>
      </w:tr>
      <w:tr w:rsidR="00CA3C5B" w14:paraId="454963FB" w14:textId="77777777" w:rsidTr="00A517F3">
        <w:trPr>
          <w:cantSplit/>
        </w:trPr>
        <w:tc>
          <w:tcPr>
            <w:tcW w:w="4673" w:type="dxa"/>
          </w:tcPr>
          <w:p w14:paraId="0D7977CD" w14:textId="77777777" w:rsidR="00CA3C5B" w:rsidRDefault="00260033" w:rsidP="00A517F3">
            <w:pPr>
              <w:pStyle w:val="TableCopy"/>
            </w:pPr>
            <w:r>
              <w:t>Organisations</w:t>
            </w:r>
            <w:r w:rsidR="00932420">
              <w:t xml:space="preserve"> </w:t>
            </w:r>
            <w:r>
              <w:t>recurrently</w:t>
            </w:r>
            <w:r w:rsidR="00932420">
              <w:t xml:space="preserve"> </w:t>
            </w:r>
            <w:r>
              <w:t>funded</w:t>
            </w:r>
          </w:p>
          <w:p w14:paraId="5DC755C0" w14:textId="7AFE4EF9" w:rsidR="00A517F3" w:rsidRPr="00A517F3" w:rsidRDefault="00A517F3" w:rsidP="00A517F3">
            <w:pPr>
              <w:pStyle w:val="TableCopy"/>
              <w:rPr>
                <w:i/>
                <w:iCs/>
              </w:rPr>
            </w:pPr>
            <w:r w:rsidRPr="00A517F3">
              <w:rPr>
                <w:i/>
                <w:iCs/>
              </w:rPr>
              <w:t>Higher result due to the introduction of additional initiatives under the Creative Enterprises Program.</w:t>
            </w:r>
          </w:p>
        </w:tc>
        <w:tc>
          <w:tcPr>
            <w:tcW w:w="1134" w:type="dxa"/>
          </w:tcPr>
          <w:p w14:paraId="433197AB" w14:textId="77777777" w:rsidR="00CA3C5B" w:rsidRDefault="00260033" w:rsidP="00A517F3">
            <w:pPr>
              <w:pStyle w:val="TableCopy"/>
            </w:pPr>
            <w:r>
              <w:t>number</w:t>
            </w:r>
          </w:p>
        </w:tc>
        <w:tc>
          <w:tcPr>
            <w:tcW w:w="963" w:type="dxa"/>
          </w:tcPr>
          <w:p w14:paraId="60944AB1" w14:textId="77777777" w:rsidR="00CA3C5B" w:rsidRDefault="00260033" w:rsidP="0077328E">
            <w:pPr>
              <w:pStyle w:val="TableCopy"/>
              <w:jc w:val="right"/>
            </w:pPr>
            <w:r>
              <w:t>179</w:t>
            </w:r>
          </w:p>
        </w:tc>
        <w:tc>
          <w:tcPr>
            <w:tcW w:w="953" w:type="dxa"/>
          </w:tcPr>
          <w:p w14:paraId="340264C2" w14:textId="77777777" w:rsidR="00CA3C5B" w:rsidRDefault="00260033" w:rsidP="0077328E">
            <w:pPr>
              <w:pStyle w:val="TableCopy"/>
              <w:jc w:val="right"/>
            </w:pPr>
            <w:r>
              <w:t>154</w:t>
            </w:r>
          </w:p>
        </w:tc>
        <w:tc>
          <w:tcPr>
            <w:tcW w:w="1428" w:type="dxa"/>
          </w:tcPr>
          <w:p w14:paraId="5AE03500" w14:textId="77777777" w:rsidR="00CA3C5B" w:rsidRDefault="00260033" w:rsidP="0077328E">
            <w:pPr>
              <w:pStyle w:val="TableCopy"/>
              <w:jc w:val="right"/>
            </w:pPr>
            <w:r>
              <w:t>16.2%</w:t>
            </w:r>
          </w:p>
        </w:tc>
        <w:tc>
          <w:tcPr>
            <w:tcW w:w="784" w:type="dxa"/>
          </w:tcPr>
          <w:p w14:paraId="665E28A0" w14:textId="1BFE5230" w:rsidR="00CA3C5B" w:rsidRDefault="005021D6" w:rsidP="0077328E">
            <w:pPr>
              <w:pStyle w:val="TableCopy"/>
              <w:jc w:val="right"/>
            </w:pPr>
            <w:r>
              <w:t>1</w:t>
            </w:r>
          </w:p>
        </w:tc>
      </w:tr>
      <w:tr w:rsidR="00CA3C5B" w14:paraId="42AC9E0F" w14:textId="77777777" w:rsidTr="00A517F3">
        <w:trPr>
          <w:cantSplit/>
        </w:trPr>
        <w:tc>
          <w:tcPr>
            <w:tcW w:w="4673" w:type="dxa"/>
          </w:tcPr>
          <w:p w14:paraId="5DAC72D9" w14:textId="77777777" w:rsidR="00CA3C5B" w:rsidRDefault="00260033" w:rsidP="00A517F3">
            <w:pPr>
              <w:pStyle w:val="TableCopy"/>
            </w:pPr>
            <w:r>
              <w:t>Project</w:t>
            </w:r>
            <w:r w:rsidR="00932420">
              <w:t xml:space="preserve"> </w:t>
            </w:r>
            <w:r>
              <w:t>companies</w:t>
            </w:r>
            <w:r w:rsidR="00932420">
              <w:t xml:space="preserve"> </w:t>
            </w:r>
            <w:r>
              <w:t>and</w:t>
            </w:r>
            <w:r w:rsidR="00932420">
              <w:t xml:space="preserve"> </w:t>
            </w:r>
            <w:r>
              <w:t>artists</w:t>
            </w:r>
            <w:r w:rsidR="00932420">
              <w:t xml:space="preserve"> </w:t>
            </w:r>
            <w:r>
              <w:t>funded</w:t>
            </w:r>
          </w:p>
          <w:p w14:paraId="41EF851F" w14:textId="0DAF7DBC" w:rsidR="00A517F3" w:rsidRPr="00A517F3" w:rsidRDefault="00A517F3" w:rsidP="00A517F3">
            <w:pPr>
              <w:pStyle w:val="TableCopy"/>
              <w:rPr>
                <w:i/>
                <w:iCs/>
              </w:rPr>
            </w:pPr>
            <w:r w:rsidRPr="00A517F3">
              <w:rPr>
                <w:i/>
                <w:iCs/>
              </w:rPr>
              <w:t>Lower result due to the conclusion of COVID-19 related programs.</w:t>
            </w:r>
          </w:p>
        </w:tc>
        <w:tc>
          <w:tcPr>
            <w:tcW w:w="1134" w:type="dxa"/>
          </w:tcPr>
          <w:p w14:paraId="1CD2C8E9" w14:textId="77777777" w:rsidR="00CA3C5B" w:rsidRDefault="00260033" w:rsidP="00A517F3">
            <w:pPr>
              <w:pStyle w:val="TableCopy"/>
            </w:pPr>
            <w:r>
              <w:t>number</w:t>
            </w:r>
          </w:p>
        </w:tc>
        <w:tc>
          <w:tcPr>
            <w:tcW w:w="963" w:type="dxa"/>
          </w:tcPr>
          <w:p w14:paraId="5D725388" w14:textId="77777777" w:rsidR="00CA3C5B" w:rsidRDefault="00260033" w:rsidP="0077328E">
            <w:pPr>
              <w:pStyle w:val="TableCopy"/>
              <w:jc w:val="right"/>
            </w:pPr>
            <w:r>
              <w:t>427</w:t>
            </w:r>
          </w:p>
        </w:tc>
        <w:tc>
          <w:tcPr>
            <w:tcW w:w="953" w:type="dxa"/>
          </w:tcPr>
          <w:p w14:paraId="05FB6DCA" w14:textId="77777777" w:rsidR="00CA3C5B" w:rsidRDefault="00260033" w:rsidP="0077328E">
            <w:pPr>
              <w:pStyle w:val="TableCopy"/>
              <w:jc w:val="right"/>
            </w:pPr>
            <w:r>
              <w:t>469</w:t>
            </w:r>
          </w:p>
        </w:tc>
        <w:tc>
          <w:tcPr>
            <w:tcW w:w="1428" w:type="dxa"/>
          </w:tcPr>
          <w:p w14:paraId="19AF88A5" w14:textId="77777777" w:rsidR="00CA3C5B" w:rsidRDefault="00260033" w:rsidP="0077328E">
            <w:pPr>
              <w:pStyle w:val="TableCopy"/>
              <w:jc w:val="right"/>
            </w:pPr>
            <w:r>
              <w:t>-9.0%</w:t>
            </w:r>
          </w:p>
        </w:tc>
        <w:tc>
          <w:tcPr>
            <w:tcW w:w="784" w:type="dxa"/>
          </w:tcPr>
          <w:p w14:paraId="7E19E67F" w14:textId="67538DF8" w:rsidR="00CA3C5B" w:rsidRDefault="0077328E" w:rsidP="0077328E">
            <w:pPr>
              <w:pStyle w:val="TableCopy"/>
              <w:jc w:val="right"/>
            </w:pPr>
            <w:r>
              <w:t>3</w:t>
            </w:r>
          </w:p>
        </w:tc>
      </w:tr>
      <w:tr w:rsidR="00CA3C5B" w14:paraId="5FF9D5E6" w14:textId="77777777" w:rsidTr="00A517F3">
        <w:trPr>
          <w:cantSplit/>
        </w:trPr>
        <w:tc>
          <w:tcPr>
            <w:tcW w:w="4673" w:type="dxa"/>
          </w:tcPr>
          <w:p w14:paraId="26F63C1E" w14:textId="5B1199E4" w:rsidR="00CA3C5B" w:rsidRDefault="00260033" w:rsidP="00A517F3">
            <w:pPr>
              <w:pStyle w:val="TableCopy"/>
            </w:pPr>
            <w:r>
              <w:t>Project</w:t>
            </w:r>
            <w:r w:rsidR="00932420">
              <w:t xml:space="preserve"> </w:t>
            </w:r>
            <w:r>
              <w:t>companies</w:t>
            </w:r>
            <w:r w:rsidR="00932420">
              <w:t xml:space="preserve"> </w:t>
            </w:r>
            <w:r>
              <w:t>and</w:t>
            </w:r>
            <w:r w:rsidR="00932420">
              <w:t xml:space="preserve"> </w:t>
            </w:r>
            <w:r>
              <w:t>artists</w:t>
            </w:r>
            <w:r w:rsidR="00932420">
              <w:t xml:space="preserve"> </w:t>
            </w:r>
            <w:r>
              <w:t>funded</w:t>
            </w:r>
            <w:r w:rsidR="00932420">
              <w:t xml:space="preserve"> </w:t>
            </w:r>
            <w:r>
              <w:t>which</w:t>
            </w:r>
            <w:r w:rsidR="00932420">
              <w:t xml:space="preserve"> </w:t>
            </w:r>
            <w:r>
              <w:t>are</w:t>
            </w:r>
            <w:r w:rsidR="00932420">
              <w:t xml:space="preserve"> </w:t>
            </w:r>
            <w:r>
              <w:t>regionally</w:t>
            </w:r>
            <w:r w:rsidR="00932420">
              <w:t xml:space="preserve"> </w:t>
            </w:r>
            <w:r>
              <w:t>based</w:t>
            </w:r>
          </w:p>
        </w:tc>
        <w:tc>
          <w:tcPr>
            <w:tcW w:w="1134" w:type="dxa"/>
          </w:tcPr>
          <w:p w14:paraId="4F6D13E1" w14:textId="1E988444" w:rsidR="00CA3C5B" w:rsidRDefault="00260033" w:rsidP="00A517F3">
            <w:pPr>
              <w:pStyle w:val="TableCopy"/>
            </w:pPr>
            <w:r>
              <w:t>per</w:t>
            </w:r>
            <w:r w:rsidR="00932420">
              <w:t xml:space="preserve"> </w:t>
            </w:r>
            <w:r>
              <w:t>cent</w:t>
            </w:r>
          </w:p>
        </w:tc>
        <w:tc>
          <w:tcPr>
            <w:tcW w:w="963" w:type="dxa"/>
          </w:tcPr>
          <w:p w14:paraId="26A0756F" w14:textId="77777777" w:rsidR="00CA3C5B" w:rsidRDefault="00260033" w:rsidP="0077328E">
            <w:pPr>
              <w:pStyle w:val="TableCopy"/>
              <w:jc w:val="right"/>
            </w:pPr>
            <w:r>
              <w:t>24</w:t>
            </w:r>
          </w:p>
        </w:tc>
        <w:tc>
          <w:tcPr>
            <w:tcW w:w="953" w:type="dxa"/>
          </w:tcPr>
          <w:p w14:paraId="74C5DCDE" w14:textId="77777777" w:rsidR="00CA3C5B" w:rsidRDefault="00260033" w:rsidP="0077328E">
            <w:pPr>
              <w:pStyle w:val="TableCopy"/>
              <w:jc w:val="right"/>
            </w:pPr>
            <w:r>
              <w:t>23</w:t>
            </w:r>
          </w:p>
        </w:tc>
        <w:tc>
          <w:tcPr>
            <w:tcW w:w="1428" w:type="dxa"/>
          </w:tcPr>
          <w:p w14:paraId="65B71DAB" w14:textId="77777777" w:rsidR="00CA3C5B" w:rsidRDefault="00260033" w:rsidP="0077328E">
            <w:pPr>
              <w:pStyle w:val="TableCopy"/>
              <w:jc w:val="right"/>
            </w:pPr>
            <w:r>
              <w:t>4.3%</w:t>
            </w:r>
          </w:p>
        </w:tc>
        <w:tc>
          <w:tcPr>
            <w:tcW w:w="784" w:type="dxa"/>
          </w:tcPr>
          <w:p w14:paraId="3CFA0E0D" w14:textId="4FFB9E5F" w:rsidR="00CA3C5B" w:rsidRDefault="005021D6" w:rsidP="0077328E">
            <w:pPr>
              <w:pStyle w:val="TableCopy"/>
              <w:jc w:val="right"/>
            </w:pPr>
            <w:r>
              <w:t>1</w:t>
            </w:r>
          </w:p>
        </w:tc>
      </w:tr>
      <w:tr w:rsidR="00CA3C5B" w14:paraId="21010B37" w14:textId="77777777" w:rsidTr="00A517F3">
        <w:trPr>
          <w:cantSplit/>
        </w:trPr>
        <w:tc>
          <w:tcPr>
            <w:tcW w:w="4673" w:type="dxa"/>
          </w:tcPr>
          <w:p w14:paraId="0E8FB5D8" w14:textId="7F67B6B6" w:rsidR="00CA3C5B" w:rsidRDefault="00260033" w:rsidP="00A517F3">
            <w:pPr>
              <w:pStyle w:val="TableCopy"/>
            </w:pPr>
            <w:r>
              <w:t>Regionally</w:t>
            </w:r>
            <w:r w:rsidR="00932420">
              <w:t xml:space="preserve"> </w:t>
            </w:r>
            <w:r>
              <w:t>based</w:t>
            </w:r>
            <w:r w:rsidR="00932420">
              <w:t xml:space="preserve"> </w:t>
            </w:r>
            <w:r>
              <w:t>organisations</w:t>
            </w:r>
            <w:r w:rsidR="00932420">
              <w:t xml:space="preserve"> </w:t>
            </w:r>
            <w:r>
              <w:t>recurrently</w:t>
            </w:r>
            <w:r w:rsidR="00932420">
              <w:t xml:space="preserve"> </w:t>
            </w:r>
            <w:r>
              <w:t>funded</w:t>
            </w:r>
          </w:p>
        </w:tc>
        <w:tc>
          <w:tcPr>
            <w:tcW w:w="1134" w:type="dxa"/>
          </w:tcPr>
          <w:p w14:paraId="3A3FD86A" w14:textId="77777777" w:rsidR="00CA3C5B" w:rsidRDefault="00260033" w:rsidP="00A517F3">
            <w:pPr>
              <w:pStyle w:val="TableCopy"/>
            </w:pPr>
            <w:r>
              <w:t>number</w:t>
            </w:r>
          </w:p>
        </w:tc>
        <w:tc>
          <w:tcPr>
            <w:tcW w:w="963" w:type="dxa"/>
          </w:tcPr>
          <w:p w14:paraId="3E5E3625" w14:textId="77777777" w:rsidR="00CA3C5B" w:rsidRDefault="00260033" w:rsidP="0077328E">
            <w:pPr>
              <w:pStyle w:val="TableCopy"/>
              <w:jc w:val="right"/>
            </w:pPr>
            <w:r>
              <w:t>54</w:t>
            </w:r>
          </w:p>
        </w:tc>
        <w:tc>
          <w:tcPr>
            <w:tcW w:w="953" w:type="dxa"/>
          </w:tcPr>
          <w:p w14:paraId="3F5008E7" w14:textId="77777777" w:rsidR="00CA3C5B" w:rsidRDefault="00260033" w:rsidP="0077328E">
            <w:pPr>
              <w:pStyle w:val="TableCopy"/>
              <w:jc w:val="right"/>
            </w:pPr>
            <w:r>
              <w:t>56</w:t>
            </w:r>
          </w:p>
        </w:tc>
        <w:tc>
          <w:tcPr>
            <w:tcW w:w="1428" w:type="dxa"/>
          </w:tcPr>
          <w:p w14:paraId="7C724920" w14:textId="77777777" w:rsidR="00CA3C5B" w:rsidRDefault="00260033" w:rsidP="0077328E">
            <w:pPr>
              <w:pStyle w:val="TableCopy"/>
              <w:jc w:val="right"/>
            </w:pPr>
            <w:r>
              <w:t>-3.6%</w:t>
            </w:r>
          </w:p>
        </w:tc>
        <w:tc>
          <w:tcPr>
            <w:tcW w:w="784" w:type="dxa"/>
          </w:tcPr>
          <w:p w14:paraId="476C4E34" w14:textId="06722120" w:rsidR="00CA3C5B" w:rsidRDefault="005021D6" w:rsidP="0077328E">
            <w:pPr>
              <w:pStyle w:val="TableCopy"/>
              <w:jc w:val="right"/>
            </w:pPr>
            <w:r w:rsidRPr="00A517F3">
              <w:t>2</w:t>
            </w:r>
          </w:p>
        </w:tc>
      </w:tr>
      <w:tr w:rsidR="00CA3C5B" w14:paraId="3014DB0B" w14:textId="77777777" w:rsidTr="00A517F3">
        <w:trPr>
          <w:cantSplit/>
        </w:trPr>
        <w:tc>
          <w:tcPr>
            <w:tcW w:w="4673" w:type="dxa"/>
          </w:tcPr>
          <w:p w14:paraId="40180D27" w14:textId="275F9C68" w:rsidR="00CA3C5B" w:rsidRDefault="00260033" w:rsidP="00A517F3">
            <w:pPr>
              <w:pStyle w:val="TableCopy"/>
            </w:pPr>
            <w:r>
              <w:t>Creative</w:t>
            </w:r>
            <w:r w:rsidR="00932420">
              <w:t xml:space="preserve"> </w:t>
            </w:r>
            <w:r>
              <w:t>Victoria</w:t>
            </w:r>
            <w:r w:rsidR="00932420">
              <w:t xml:space="preserve"> </w:t>
            </w:r>
            <w:r>
              <w:t>grant</w:t>
            </w:r>
            <w:r w:rsidR="00932420">
              <w:t xml:space="preserve"> </w:t>
            </w:r>
            <w:r>
              <w:t>recipients</w:t>
            </w:r>
            <w:r w:rsidR="00932420">
              <w:t xml:space="preserve"> </w:t>
            </w:r>
            <w:r>
              <w:t>who</w:t>
            </w:r>
            <w:r w:rsidR="00932420">
              <w:t xml:space="preserve"> </w:t>
            </w:r>
            <w:r>
              <w:t>met</w:t>
            </w:r>
            <w:r w:rsidR="00932420">
              <w:t xml:space="preserve"> </w:t>
            </w:r>
            <w:r>
              <w:t>or</w:t>
            </w:r>
            <w:r w:rsidR="00932420">
              <w:t xml:space="preserve"> </w:t>
            </w:r>
            <w:r>
              <w:t>exceeded</w:t>
            </w:r>
            <w:r w:rsidR="00932420">
              <w:t xml:space="preserve"> </w:t>
            </w:r>
            <w:r>
              <w:t>agreed</w:t>
            </w:r>
            <w:r w:rsidR="00932420">
              <w:t xml:space="preserve"> </w:t>
            </w:r>
            <w:r>
              <w:t>milestones</w:t>
            </w:r>
          </w:p>
        </w:tc>
        <w:tc>
          <w:tcPr>
            <w:tcW w:w="1134" w:type="dxa"/>
          </w:tcPr>
          <w:p w14:paraId="75BD78A4" w14:textId="0C9029B8" w:rsidR="00CA3C5B" w:rsidRDefault="00260033" w:rsidP="00A517F3">
            <w:pPr>
              <w:pStyle w:val="TableCopy"/>
            </w:pPr>
            <w:r>
              <w:t>per</w:t>
            </w:r>
            <w:r w:rsidR="00932420">
              <w:t xml:space="preserve"> </w:t>
            </w:r>
            <w:r>
              <w:t>cent</w:t>
            </w:r>
          </w:p>
        </w:tc>
        <w:tc>
          <w:tcPr>
            <w:tcW w:w="963" w:type="dxa"/>
          </w:tcPr>
          <w:p w14:paraId="00CA25DE" w14:textId="77777777" w:rsidR="00CA3C5B" w:rsidRDefault="00260033" w:rsidP="0077328E">
            <w:pPr>
              <w:pStyle w:val="TableCopy"/>
              <w:jc w:val="right"/>
            </w:pPr>
            <w:r>
              <w:t>86</w:t>
            </w:r>
          </w:p>
        </w:tc>
        <w:tc>
          <w:tcPr>
            <w:tcW w:w="953" w:type="dxa"/>
          </w:tcPr>
          <w:p w14:paraId="661B538B" w14:textId="77777777" w:rsidR="00CA3C5B" w:rsidRDefault="00260033" w:rsidP="0077328E">
            <w:pPr>
              <w:pStyle w:val="TableCopy"/>
              <w:jc w:val="right"/>
            </w:pPr>
            <w:r>
              <w:t>85</w:t>
            </w:r>
          </w:p>
        </w:tc>
        <w:tc>
          <w:tcPr>
            <w:tcW w:w="1428" w:type="dxa"/>
          </w:tcPr>
          <w:p w14:paraId="4160E78B" w14:textId="77777777" w:rsidR="00CA3C5B" w:rsidRDefault="00260033" w:rsidP="0077328E">
            <w:pPr>
              <w:pStyle w:val="TableCopy"/>
              <w:jc w:val="right"/>
            </w:pPr>
            <w:r>
              <w:t>1.2%</w:t>
            </w:r>
          </w:p>
        </w:tc>
        <w:tc>
          <w:tcPr>
            <w:tcW w:w="784" w:type="dxa"/>
          </w:tcPr>
          <w:p w14:paraId="3D9FA1F4" w14:textId="69C6AD3F" w:rsidR="00CA3C5B" w:rsidRDefault="005021D6" w:rsidP="0077328E">
            <w:pPr>
              <w:pStyle w:val="TableCopy"/>
              <w:jc w:val="right"/>
            </w:pPr>
            <w:r>
              <w:t>1</w:t>
            </w:r>
          </w:p>
        </w:tc>
      </w:tr>
      <w:tr w:rsidR="00A517F3" w14:paraId="50E267BD" w14:textId="77777777" w:rsidTr="00A517F3">
        <w:trPr>
          <w:cantSplit/>
        </w:trPr>
        <w:tc>
          <w:tcPr>
            <w:tcW w:w="4673" w:type="dxa"/>
          </w:tcPr>
          <w:p w14:paraId="29C26611" w14:textId="27942331" w:rsidR="00A517F3" w:rsidRDefault="00A517F3" w:rsidP="00A517F3">
            <w:pPr>
              <w:pStyle w:val="TableHeading"/>
            </w:pPr>
            <w:r>
              <w:t>Quality</w:t>
            </w:r>
          </w:p>
        </w:tc>
        <w:tc>
          <w:tcPr>
            <w:tcW w:w="1134" w:type="dxa"/>
          </w:tcPr>
          <w:p w14:paraId="21D25BF7" w14:textId="77777777" w:rsidR="00A517F3" w:rsidRDefault="00A517F3" w:rsidP="00A517F3">
            <w:pPr>
              <w:pStyle w:val="TableCopy"/>
            </w:pPr>
          </w:p>
        </w:tc>
        <w:tc>
          <w:tcPr>
            <w:tcW w:w="963" w:type="dxa"/>
          </w:tcPr>
          <w:p w14:paraId="1E1ED8A4" w14:textId="77777777" w:rsidR="00A517F3" w:rsidRDefault="00A517F3" w:rsidP="0077328E">
            <w:pPr>
              <w:pStyle w:val="TableCopy"/>
              <w:jc w:val="right"/>
            </w:pPr>
          </w:p>
        </w:tc>
        <w:tc>
          <w:tcPr>
            <w:tcW w:w="953" w:type="dxa"/>
          </w:tcPr>
          <w:p w14:paraId="2069D11D" w14:textId="77777777" w:rsidR="00A517F3" w:rsidRDefault="00A517F3" w:rsidP="0077328E">
            <w:pPr>
              <w:pStyle w:val="TableCopy"/>
              <w:jc w:val="right"/>
            </w:pPr>
          </w:p>
        </w:tc>
        <w:tc>
          <w:tcPr>
            <w:tcW w:w="1428" w:type="dxa"/>
          </w:tcPr>
          <w:p w14:paraId="16880E98" w14:textId="77777777" w:rsidR="00A517F3" w:rsidRDefault="00A517F3" w:rsidP="0077328E">
            <w:pPr>
              <w:pStyle w:val="TableCopy"/>
              <w:jc w:val="right"/>
            </w:pPr>
          </w:p>
        </w:tc>
        <w:tc>
          <w:tcPr>
            <w:tcW w:w="784" w:type="dxa"/>
          </w:tcPr>
          <w:p w14:paraId="7CA49483" w14:textId="77777777" w:rsidR="00A517F3" w:rsidRPr="00A517F3" w:rsidRDefault="00A517F3" w:rsidP="0077328E">
            <w:pPr>
              <w:pStyle w:val="TableCopy"/>
              <w:jc w:val="right"/>
            </w:pPr>
          </w:p>
        </w:tc>
      </w:tr>
      <w:tr w:rsidR="00CA3C5B" w14:paraId="42C6CCD1" w14:textId="77777777" w:rsidTr="00A517F3">
        <w:trPr>
          <w:cantSplit/>
        </w:trPr>
        <w:tc>
          <w:tcPr>
            <w:tcW w:w="4673" w:type="dxa"/>
          </w:tcPr>
          <w:p w14:paraId="07F0F0F5" w14:textId="77777777" w:rsidR="00CA3C5B" w:rsidRDefault="00260033" w:rsidP="00A517F3">
            <w:pPr>
              <w:pStyle w:val="TableCopy"/>
            </w:pPr>
            <w:r>
              <w:t>Public</w:t>
            </w:r>
            <w:r w:rsidR="00932420">
              <w:t xml:space="preserve"> </w:t>
            </w:r>
            <w:r>
              <w:t>information</w:t>
            </w:r>
            <w:r w:rsidR="00932420">
              <w:t xml:space="preserve"> </w:t>
            </w:r>
            <w:r>
              <w:t>rated</w:t>
            </w:r>
            <w:r w:rsidR="00932420">
              <w:t xml:space="preserve"> </w:t>
            </w:r>
            <w:r>
              <w:t>‘informative’</w:t>
            </w:r>
            <w:r w:rsidR="00932420">
              <w:t xml:space="preserve"> </w:t>
            </w:r>
            <w:r>
              <w:t>or</w:t>
            </w:r>
            <w:r w:rsidR="00932420">
              <w:t xml:space="preserve"> </w:t>
            </w:r>
            <w:r>
              <w:t>‘very</w:t>
            </w:r>
            <w:r w:rsidR="00932420">
              <w:t xml:space="preserve"> </w:t>
            </w:r>
            <w:r>
              <w:t>informative’</w:t>
            </w:r>
            <w:r w:rsidR="00932420">
              <w:t xml:space="preserve"> </w:t>
            </w:r>
            <w:r>
              <w:t>by</w:t>
            </w:r>
            <w:r w:rsidR="00932420">
              <w:t xml:space="preserve"> </w:t>
            </w:r>
            <w:r>
              <w:t>grant</w:t>
            </w:r>
            <w:r w:rsidR="00932420">
              <w:t xml:space="preserve"> </w:t>
            </w:r>
            <w:r>
              <w:t>applicants</w:t>
            </w:r>
          </w:p>
          <w:p w14:paraId="0652D759" w14:textId="5C5C3EE5" w:rsidR="00A517F3" w:rsidRPr="00A517F3" w:rsidRDefault="00A517F3" w:rsidP="00A517F3">
            <w:pPr>
              <w:pStyle w:val="TableCopy"/>
              <w:rPr>
                <w:i/>
                <w:iCs/>
              </w:rPr>
            </w:pPr>
            <w:r w:rsidRPr="00A517F3">
              <w:rPr>
                <w:i/>
                <w:iCs/>
              </w:rPr>
              <w:t>Lower result largely due to the transition to a new questionnaire format.</w:t>
            </w:r>
          </w:p>
        </w:tc>
        <w:tc>
          <w:tcPr>
            <w:tcW w:w="1134" w:type="dxa"/>
          </w:tcPr>
          <w:p w14:paraId="331C1FDD" w14:textId="45521C3E" w:rsidR="00CA3C5B" w:rsidRDefault="00260033" w:rsidP="00A517F3">
            <w:pPr>
              <w:pStyle w:val="TableCopy"/>
            </w:pPr>
            <w:r>
              <w:t>per</w:t>
            </w:r>
            <w:r w:rsidR="00932420">
              <w:t xml:space="preserve"> </w:t>
            </w:r>
            <w:r>
              <w:t>cent</w:t>
            </w:r>
          </w:p>
        </w:tc>
        <w:tc>
          <w:tcPr>
            <w:tcW w:w="963" w:type="dxa"/>
          </w:tcPr>
          <w:p w14:paraId="58FF3368" w14:textId="77777777" w:rsidR="00CA3C5B" w:rsidRDefault="00260033" w:rsidP="0077328E">
            <w:pPr>
              <w:pStyle w:val="TableCopy"/>
              <w:jc w:val="right"/>
            </w:pPr>
            <w:r>
              <w:t>83</w:t>
            </w:r>
          </w:p>
        </w:tc>
        <w:tc>
          <w:tcPr>
            <w:tcW w:w="953" w:type="dxa"/>
          </w:tcPr>
          <w:p w14:paraId="5163F99E" w14:textId="77777777" w:rsidR="00CA3C5B" w:rsidRDefault="00260033" w:rsidP="0077328E">
            <w:pPr>
              <w:pStyle w:val="TableCopy"/>
              <w:jc w:val="right"/>
            </w:pPr>
            <w:r>
              <w:t>90</w:t>
            </w:r>
          </w:p>
        </w:tc>
        <w:tc>
          <w:tcPr>
            <w:tcW w:w="1428" w:type="dxa"/>
          </w:tcPr>
          <w:p w14:paraId="036BFE44" w14:textId="77777777" w:rsidR="00CA3C5B" w:rsidRDefault="00260033" w:rsidP="0077328E">
            <w:pPr>
              <w:pStyle w:val="TableCopy"/>
              <w:jc w:val="right"/>
            </w:pPr>
            <w:r>
              <w:t>-7.8%</w:t>
            </w:r>
          </w:p>
        </w:tc>
        <w:tc>
          <w:tcPr>
            <w:tcW w:w="784" w:type="dxa"/>
          </w:tcPr>
          <w:p w14:paraId="61061E57" w14:textId="4BC4A887" w:rsidR="00CA3C5B" w:rsidRDefault="0077328E" w:rsidP="0077328E">
            <w:pPr>
              <w:pStyle w:val="TableCopy"/>
              <w:jc w:val="right"/>
            </w:pPr>
            <w:r>
              <w:t>3</w:t>
            </w:r>
          </w:p>
        </w:tc>
      </w:tr>
      <w:tr w:rsidR="00A517F3" w14:paraId="408A36B0" w14:textId="77777777" w:rsidTr="00A517F3">
        <w:trPr>
          <w:cantSplit/>
        </w:trPr>
        <w:tc>
          <w:tcPr>
            <w:tcW w:w="4673" w:type="dxa"/>
          </w:tcPr>
          <w:p w14:paraId="1D4AB4CA" w14:textId="4EBFDF9C" w:rsidR="00A517F3" w:rsidRDefault="00A517F3" w:rsidP="00A517F3">
            <w:pPr>
              <w:pStyle w:val="TableHeading"/>
            </w:pPr>
            <w:r>
              <w:lastRenderedPageBreak/>
              <w:t>Timeliness</w:t>
            </w:r>
          </w:p>
        </w:tc>
        <w:tc>
          <w:tcPr>
            <w:tcW w:w="1134" w:type="dxa"/>
          </w:tcPr>
          <w:p w14:paraId="560661A7" w14:textId="77777777" w:rsidR="00A517F3" w:rsidRDefault="00A517F3" w:rsidP="00A517F3">
            <w:pPr>
              <w:pStyle w:val="TableCopy"/>
            </w:pPr>
          </w:p>
        </w:tc>
        <w:tc>
          <w:tcPr>
            <w:tcW w:w="963" w:type="dxa"/>
          </w:tcPr>
          <w:p w14:paraId="4DDD2D51" w14:textId="77777777" w:rsidR="00A517F3" w:rsidRDefault="00A517F3" w:rsidP="0077328E">
            <w:pPr>
              <w:pStyle w:val="TableCopy"/>
              <w:jc w:val="right"/>
            </w:pPr>
          </w:p>
        </w:tc>
        <w:tc>
          <w:tcPr>
            <w:tcW w:w="953" w:type="dxa"/>
          </w:tcPr>
          <w:p w14:paraId="39205A9D" w14:textId="77777777" w:rsidR="00A517F3" w:rsidRDefault="00A517F3" w:rsidP="0077328E">
            <w:pPr>
              <w:pStyle w:val="TableCopy"/>
              <w:jc w:val="right"/>
            </w:pPr>
          </w:p>
        </w:tc>
        <w:tc>
          <w:tcPr>
            <w:tcW w:w="1428" w:type="dxa"/>
          </w:tcPr>
          <w:p w14:paraId="2940F8E0" w14:textId="77777777" w:rsidR="00A517F3" w:rsidRDefault="00A517F3" w:rsidP="0077328E">
            <w:pPr>
              <w:pStyle w:val="TableCopy"/>
              <w:jc w:val="right"/>
            </w:pPr>
          </w:p>
        </w:tc>
        <w:tc>
          <w:tcPr>
            <w:tcW w:w="784" w:type="dxa"/>
          </w:tcPr>
          <w:p w14:paraId="3C9879EC" w14:textId="77777777" w:rsidR="00A517F3" w:rsidRPr="00A517F3" w:rsidRDefault="00A517F3" w:rsidP="0077328E">
            <w:pPr>
              <w:pStyle w:val="TableCopy"/>
              <w:jc w:val="right"/>
            </w:pPr>
          </w:p>
        </w:tc>
      </w:tr>
      <w:tr w:rsidR="00CA3C5B" w14:paraId="15D87F08" w14:textId="77777777" w:rsidTr="00A517F3">
        <w:trPr>
          <w:cantSplit/>
        </w:trPr>
        <w:tc>
          <w:tcPr>
            <w:tcW w:w="4673" w:type="dxa"/>
          </w:tcPr>
          <w:p w14:paraId="42CCCE34" w14:textId="3947480D" w:rsidR="00CA3C5B" w:rsidRDefault="00260033" w:rsidP="00A517F3">
            <w:pPr>
              <w:pStyle w:val="TableCopy"/>
            </w:pPr>
            <w:r>
              <w:t>Performance</w:t>
            </w:r>
            <w:r w:rsidR="00932420">
              <w:t xml:space="preserve"> </w:t>
            </w:r>
            <w:r>
              <w:t>and</w:t>
            </w:r>
            <w:r w:rsidR="00932420">
              <w:t xml:space="preserve"> </w:t>
            </w:r>
            <w:r>
              <w:t>grant</w:t>
            </w:r>
            <w:r w:rsidR="00932420">
              <w:t xml:space="preserve"> </w:t>
            </w:r>
            <w:r>
              <w:t>agreements</w:t>
            </w:r>
            <w:r w:rsidR="00932420">
              <w:t xml:space="preserve"> </w:t>
            </w:r>
            <w:r>
              <w:t>acquitted</w:t>
            </w:r>
            <w:r w:rsidR="00932420">
              <w:t xml:space="preserve"> </w:t>
            </w:r>
            <w:r>
              <w:t>within</w:t>
            </w:r>
            <w:r w:rsidR="00932420">
              <w:t xml:space="preserve"> </w:t>
            </w:r>
            <w:r>
              <w:t>timeframes</w:t>
            </w:r>
            <w:r w:rsidR="00932420">
              <w:t xml:space="preserve"> </w:t>
            </w:r>
            <w:r>
              <w:t>specified</w:t>
            </w:r>
            <w:r w:rsidR="00932420">
              <w:t xml:space="preserve"> </w:t>
            </w:r>
            <w:r>
              <w:t>in</w:t>
            </w:r>
            <w:r w:rsidR="00932420">
              <w:t xml:space="preserve"> </w:t>
            </w:r>
            <w:r>
              <w:t>the</w:t>
            </w:r>
            <w:r w:rsidR="00932420">
              <w:t xml:space="preserve"> </w:t>
            </w:r>
            <w:r>
              <w:t>funding</w:t>
            </w:r>
            <w:r w:rsidR="00932420">
              <w:t xml:space="preserve"> </w:t>
            </w:r>
            <w:r>
              <w:t>agreement</w:t>
            </w:r>
          </w:p>
        </w:tc>
        <w:tc>
          <w:tcPr>
            <w:tcW w:w="1134" w:type="dxa"/>
          </w:tcPr>
          <w:p w14:paraId="460F8538" w14:textId="6F01B6FD" w:rsidR="00CA3C5B" w:rsidRDefault="00260033" w:rsidP="00A517F3">
            <w:pPr>
              <w:pStyle w:val="TableCopy"/>
            </w:pPr>
            <w:r>
              <w:t>per</w:t>
            </w:r>
            <w:r w:rsidR="00932420">
              <w:t xml:space="preserve"> </w:t>
            </w:r>
            <w:r>
              <w:t>cent</w:t>
            </w:r>
          </w:p>
        </w:tc>
        <w:tc>
          <w:tcPr>
            <w:tcW w:w="963" w:type="dxa"/>
          </w:tcPr>
          <w:p w14:paraId="5C769780" w14:textId="77777777" w:rsidR="00CA3C5B" w:rsidRDefault="00260033" w:rsidP="0077328E">
            <w:pPr>
              <w:pStyle w:val="TableCopy"/>
              <w:jc w:val="right"/>
            </w:pPr>
            <w:r>
              <w:t>87</w:t>
            </w:r>
          </w:p>
        </w:tc>
        <w:tc>
          <w:tcPr>
            <w:tcW w:w="953" w:type="dxa"/>
          </w:tcPr>
          <w:p w14:paraId="4C9EE164" w14:textId="77777777" w:rsidR="00CA3C5B" w:rsidRDefault="00260033" w:rsidP="0077328E">
            <w:pPr>
              <w:pStyle w:val="TableCopy"/>
              <w:jc w:val="right"/>
            </w:pPr>
            <w:r>
              <w:t>83</w:t>
            </w:r>
          </w:p>
        </w:tc>
        <w:tc>
          <w:tcPr>
            <w:tcW w:w="1428" w:type="dxa"/>
          </w:tcPr>
          <w:p w14:paraId="063995A5" w14:textId="77777777" w:rsidR="00CA3C5B" w:rsidRDefault="00260033" w:rsidP="0077328E">
            <w:pPr>
              <w:pStyle w:val="TableCopy"/>
              <w:jc w:val="right"/>
            </w:pPr>
            <w:r>
              <w:t>4.8%</w:t>
            </w:r>
          </w:p>
        </w:tc>
        <w:tc>
          <w:tcPr>
            <w:tcW w:w="784" w:type="dxa"/>
          </w:tcPr>
          <w:p w14:paraId="6A2E8606" w14:textId="12D152C3" w:rsidR="00CA3C5B" w:rsidRDefault="005021D6" w:rsidP="0077328E">
            <w:pPr>
              <w:pStyle w:val="TableCopy"/>
              <w:jc w:val="right"/>
            </w:pPr>
            <w:r>
              <w:t>1</w:t>
            </w:r>
          </w:p>
        </w:tc>
      </w:tr>
      <w:tr w:rsidR="00A517F3" w14:paraId="7245B759" w14:textId="77777777" w:rsidTr="00A517F3">
        <w:trPr>
          <w:cantSplit/>
        </w:trPr>
        <w:tc>
          <w:tcPr>
            <w:tcW w:w="4673" w:type="dxa"/>
          </w:tcPr>
          <w:p w14:paraId="076556EA" w14:textId="3075B35C" w:rsidR="00A517F3" w:rsidRDefault="00A517F3" w:rsidP="00A517F3">
            <w:pPr>
              <w:pStyle w:val="TableHeading"/>
            </w:pPr>
            <w:r>
              <w:t>Cost</w:t>
            </w:r>
          </w:p>
        </w:tc>
        <w:tc>
          <w:tcPr>
            <w:tcW w:w="1134" w:type="dxa"/>
          </w:tcPr>
          <w:p w14:paraId="55C40A0D" w14:textId="77777777" w:rsidR="00A517F3" w:rsidRDefault="00A517F3" w:rsidP="00A517F3">
            <w:pPr>
              <w:pStyle w:val="TableCopy"/>
            </w:pPr>
          </w:p>
        </w:tc>
        <w:tc>
          <w:tcPr>
            <w:tcW w:w="963" w:type="dxa"/>
          </w:tcPr>
          <w:p w14:paraId="5CC273A8" w14:textId="77777777" w:rsidR="00A517F3" w:rsidRDefault="00A517F3" w:rsidP="0077328E">
            <w:pPr>
              <w:pStyle w:val="TableCopy"/>
              <w:jc w:val="right"/>
            </w:pPr>
          </w:p>
        </w:tc>
        <w:tc>
          <w:tcPr>
            <w:tcW w:w="953" w:type="dxa"/>
          </w:tcPr>
          <w:p w14:paraId="2ADBD331" w14:textId="77777777" w:rsidR="00A517F3" w:rsidRDefault="00A517F3" w:rsidP="0077328E">
            <w:pPr>
              <w:pStyle w:val="TableCopy"/>
              <w:jc w:val="right"/>
            </w:pPr>
          </w:p>
        </w:tc>
        <w:tc>
          <w:tcPr>
            <w:tcW w:w="1428" w:type="dxa"/>
          </w:tcPr>
          <w:p w14:paraId="4E41CC80" w14:textId="77777777" w:rsidR="00A517F3" w:rsidRDefault="00A517F3" w:rsidP="0077328E">
            <w:pPr>
              <w:pStyle w:val="TableCopy"/>
              <w:jc w:val="right"/>
            </w:pPr>
          </w:p>
        </w:tc>
        <w:tc>
          <w:tcPr>
            <w:tcW w:w="784" w:type="dxa"/>
          </w:tcPr>
          <w:p w14:paraId="4D4F3233" w14:textId="77777777" w:rsidR="00A517F3" w:rsidRPr="00A517F3" w:rsidRDefault="00A517F3" w:rsidP="0077328E">
            <w:pPr>
              <w:pStyle w:val="TableCopy"/>
              <w:jc w:val="right"/>
            </w:pPr>
          </w:p>
        </w:tc>
      </w:tr>
      <w:tr w:rsidR="00CA3C5B" w:rsidRPr="00A517F3" w14:paraId="00FF34E9" w14:textId="77777777" w:rsidTr="00A517F3">
        <w:trPr>
          <w:cantSplit/>
        </w:trPr>
        <w:tc>
          <w:tcPr>
            <w:tcW w:w="4673" w:type="dxa"/>
          </w:tcPr>
          <w:p w14:paraId="302567BA" w14:textId="567B352C" w:rsidR="00CA3C5B" w:rsidRPr="00A517F3" w:rsidRDefault="00260033" w:rsidP="00A517F3">
            <w:pPr>
              <w:pStyle w:val="TableCopy"/>
              <w:rPr>
                <w:b/>
                <w:bCs/>
              </w:rPr>
            </w:pPr>
            <w:r w:rsidRPr="00A517F3">
              <w:rPr>
                <w:b/>
                <w:bCs/>
              </w:rPr>
              <w:t>Total</w:t>
            </w:r>
            <w:r w:rsidR="00932420" w:rsidRPr="00A517F3">
              <w:rPr>
                <w:b/>
                <w:bCs/>
              </w:rPr>
              <w:t xml:space="preserve"> </w:t>
            </w:r>
            <w:r w:rsidRPr="00A517F3">
              <w:rPr>
                <w:b/>
                <w:bCs/>
              </w:rPr>
              <w:t>output</w:t>
            </w:r>
            <w:r w:rsidR="00932420" w:rsidRPr="00A517F3">
              <w:rPr>
                <w:b/>
                <w:bCs/>
              </w:rPr>
              <w:t xml:space="preserve"> </w:t>
            </w:r>
            <w:r w:rsidRPr="00A517F3">
              <w:rPr>
                <w:b/>
                <w:bCs/>
              </w:rPr>
              <w:t>cost</w:t>
            </w:r>
          </w:p>
        </w:tc>
        <w:tc>
          <w:tcPr>
            <w:tcW w:w="1134" w:type="dxa"/>
          </w:tcPr>
          <w:p w14:paraId="26091C8B" w14:textId="3BF9F929" w:rsidR="00CA3C5B" w:rsidRPr="00A517F3" w:rsidRDefault="00260033" w:rsidP="00A517F3">
            <w:pPr>
              <w:pStyle w:val="TableCopy"/>
              <w:rPr>
                <w:b/>
                <w:bCs/>
              </w:rPr>
            </w:pPr>
            <w:r w:rsidRPr="00A517F3">
              <w:rPr>
                <w:b/>
                <w:bCs/>
              </w:rPr>
              <w:t>$</w:t>
            </w:r>
            <w:r w:rsidR="00932420" w:rsidRPr="00A517F3">
              <w:rPr>
                <w:b/>
                <w:bCs/>
              </w:rPr>
              <w:t xml:space="preserve"> </w:t>
            </w:r>
            <w:r w:rsidRPr="00A517F3">
              <w:rPr>
                <w:b/>
                <w:bCs/>
              </w:rPr>
              <w:t>million</w:t>
            </w:r>
          </w:p>
        </w:tc>
        <w:tc>
          <w:tcPr>
            <w:tcW w:w="963" w:type="dxa"/>
          </w:tcPr>
          <w:p w14:paraId="4698CF65" w14:textId="77777777" w:rsidR="00CA3C5B" w:rsidRPr="00A517F3" w:rsidRDefault="00260033" w:rsidP="0077328E">
            <w:pPr>
              <w:pStyle w:val="TableCopy"/>
              <w:jc w:val="right"/>
              <w:rPr>
                <w:b/>
                <w:bCs/>
              </w:rPr>
            </w:pPr>
            <w:r w:rsidRPr="00A517F3">
              <w:rPr>
                <w:b/>
                <w:bCs/>
              </w:rPr>
              <w:t>66.4</w:t>
            </w:r>
          </w:p>
        </w:tc>
        <w:tc>
          <w:tcPr>
            <w:tcW w:w="953" w:type="dxa"/>
          </w:tcPr>
          <w:p w14:paraId="6F5939CB" w14:textId="77777777" w:rsidR="00CA3C5B" w:rsidRPr="00A517F3" w:rsidRDefault="00260033" w:rsidP="0077328E">
            <w:pPr>
              <w:pStyle w:val="TableCopy"/>
              <w:jc w:val="right"/>
              <w:rPr>
                <w:b/>
                <w:bCs/>
              </w:rPr>
            </w:pPr>
            <w:r w:rsidRPr="00A517F3">
              <w:rPr>
                <w:b/>
                <w:bCs/>
              </w:rPr>
              <w:t>55.3</w:t>
            </w:r>
          </w:p>
        </w:tc>
        <w:tc>
          <w:tcPr>
            <w:tcW w:w="1428" w:type="dxa"/>
          </w:tcPr>
          <w:p w14:paraId="4D0B145C" w14:textId="77777777" w:rsidR="00CA3C5B" w:rsidRPr="00A517F3" w:rsidRDefault="00260033" w:rsidP="0077328E">
            <w:pPr>
              <w:pStyle w:val="TableCopy"/>
              <w:jc w:val="right"/>
              <w:rPr>
                <w:b/>
                <w:bCs/>
              </w:rPr>
            </w:pPr>
            <w:r w:rsidRPr="00A517F3">
              <w:rPr>
                <w:b/>
                <w:bCs/>
              </w:rPr>
              <w:t>20%</w:t>
            </w:r>
          </w:p>
        </w:tc>
        <w:tc>
          <w:tcPr>
            <w:tcW w:w="784" w:type="dxa"/>
          </w:tcPr>
          <w:p w14:paraId="3D18F1C0" w14:textId="66F0C0DF" w:rsidR="00CA3C5B" w:rsidRPr="0077328E" w:rsidRDefault="0077328E" w:rsidP="0077328E">
            <w:pPr>
              <w:pStyle w:val="TableCopy"/>
              <w:jc w:val="right"/>
              <w:rPr>
                <w:b/>
                <w:bCs/>
              </w:rPr>
            </w:pPr>
            <w:r w:rsidRPr="0077328E">
              <w:rPr>
                <w:b/>
                <w:bCs/>
              </w:rPr>
              <w:t>3</w:t>
            </w:r>
          </w:p>
        </w:tc>
      </w:tr>
      <w:tr w:rsidR="00A517F3" w:rsidRPr="00A517F3" w14:paraId="64293946" w14:textId="77777777" w:rsidTr="00A517F3">
        <w:trPr>
          <w:cantSplit/>
        </w:trPr>
        <w:tc>
          <w:tcPr>
            <w:tcW w:w="4673" w:type="dxa"/>
          </w:tcPr>
          <w:p w14:paraId="3B829AED" w14:textId="5F2065AE" w:rsidR="00A517F3" w:rsidRPr="00A517F3" w:rsidRDefault="00A517F3" w:rsidP="00A517F3">
            <w:pPr>
              <w:pStyle w:val="TableCopy"/>
              <w:rPr>
                <w:i/>
                <w:iCs/>
              </w:rPr>
            </w:pPr>
            <w:r w:rsidRPr="00A517F3">
              <w:rPr>
                <w:i/>
                <w:iCs/>
              </w:rPr>
              <w:t xml:space="preserve">The 2022–23 result is higher than the 2022–23 budget mainly due to additional funding received for </w:t>
            </w:r>
            <w:proofErr w:type="gramStart"/>
            <w:r w:rsidRPr="00A517F3">
              <w:rPr>
                <w:i/>
                <w:iCs/>
              </w:rPr>
              <w:t>a number of</w:t>
            </w:r>
            <w:proofErr w:type="gramEnd"/>
            <w:r w:rsidRPr="00A517F3">
              <w:rPr>
                <w:i/>
                <w:iCs/>
              </w:rPr>
              <w:t xml:space="preserve"> initiatives including the Live Music Restart package.</w:t>
            </w:r>
          </w:p>
        </w:tc>
        <w:tc>
          <w:tcPr>
            <w:tcW w:w="1134" w:type="dxa"/>
          </w:tcPr>
          <w:p w14:paraId="1C7E4B12" w14:textId="77777777" w:rsidR="00A517F3" w:rsidRPr="00A517F3" w:rsidRDefault="00A517F3" w:rsidP="00A517F3">
            <w:pPr>
              <w:pStyle w:val="TableCopy"/>
            </w:pPr>
          </w:p>
        </w:tc>
        <w:tc>
          <w:tcPr>
            <w:tcW w:w="963" w:type="dxa"/>
          </w:tcPr>
          <w:p w14:paraId="3412A444" w14:textId="77777777" w:rsidR="00A517F3" w:rsidRPr="00A517F3" w:rsidRDefault="00A517F3" w:rsidP="0077328E">
            <w:pPr>
              <w:pStyle w:val="TableCopy"/>
              <w:jc w:val="right"/>
            </w:pPr>
          </w:p>
        </w:tc>
        <w:tc>
          <w:tcPr>
            <w:tcW w:w="953" w:type="dxa"/>
          </w:tcPr>
          <w:p w14:paraId="4A349D6B" w14:textId="77777777" w:rsidR="00A517F3" w:rsidRPr="00A517F3" w:rsidRDefault="00A517F3" w:rsidP="0077328E">
            <w:pPr>
              <w:pStyle w:val="TableCopy"/>
              <w:jc w:val="right"/>
            </w:pPr>
          </w:p>
        </w:tc>
        <w:tc>
          <w:tcPr>
            <w:tcW w:w="1428" w:type="dxa"/>
          </w:tcPr>
          <w:p w14:paraId="5F87EE1B" w14:textId="77777777" w:rsidR="00A517F3" w:rsidRPr="00A517F3" w:rsidRDefault="00A517F3" w:rsidP="0077328E">
            <w:pPr>
              <w:pStyle w:val="TableCopy"/>
              <w:jc w:val="right"/>
            </w:pPr>
          </w:p>
        </w:tc>
        <w:tc>
          <w:tcPr>
            <w:tcW w:w="784" w:type="dxa"/>
          </w:tcPr>
          <w:p w14:paraId="7CC672A6" w14:textId="77777777" w:rsidR="00A517F3" w:rsidRPr="00A517F3" w:rsidRDefault="00A517F3" w:rsidP="0077328E">
            <w:pPr>
              <w:pStyle w:val="TableCopy"/>
              <w:jc w:val="right"/>
            </w:pPr>
          </w:p>
        </w:tc>
      </w:tr>
    </w:tbl>
    <w:p w14:paraId="3D2ED1AB" w14:textId="77777777" w:rsidR="00A517F3" w:rsidRDefault="00A517F3" w:rsidP="00A517F3">
      <w:pPr>
        <w:pStyle w:val="FootnoteText"/>
        <w:spacing w:before="120"/>
      </w:pPr>
      <w:r>
        <w:t>Note:</w:t>
      </w:r>
    </w:p>
    <w:p w14:paraId="3826B404" w14:textId="03D354A5" w:rsidR="00A517F3" w:rsidRDefault="00A517F3" w:rsidP="00A517F3">
      <w:pPr>
        <w:pStyle w:val="FootnoteText"/>
      </w:pPr>
      <w:r>
        <w:t>1</w:t>
      </w:r>
      <w:r w:rsidRPr="00A517F3">
        <w:t xml:space="preserve"> </w:t>
      </w:r>
      <w:r>
        <w:t>Performance target achieved or exceeded</w:t>
      </w:r>
    </w:p>
    <w:p w14:paraId="763BC29F" w14:textId="3A21AD08" w:rsidR="00A517F3" w:rsidRDefault="00A517F3" w:rsidP="00A517F3">
      <w:pPr>
        <w:pStyle w:val="FootnoteText"/>
      </w:pPr>
      <w:r>
        <w:t>2</w:t>
      </w:r>
      <w:r w:rsidRPr="00A517F3">
        <w:t xml:space="preserve"> </w:t>
      </w:r>
      <w:r>
        <w:t>Performance target not achieved – but within 5% variance</w:t>
      </w:r>
    </w:p>
    <w:p w14:paraId="20656CC3" w14:textId="1904C443" w:rsidR="00CA3C5B" w:rsidRDefault="00A517F3" w:rsidP="00A517F3">
      <w:pPr>
        <w:pStyle w:val="FootnoteText"/>
        <w:spacing w:after="280"/>
      </w:pPr>
      <w:r>
        <w:t>3</w:t>
      </w:r>
      <w:r w:rsidRPr="00A517F3">
        <w:t xml:space="preserve"> </w:t>
      </w:r>
      <w:r>
        <w:t>Performance target not achieved – exceeds 5% variance</w:t>
      </w:r>
    </w:p>
    <w:p w14:paraId="6E0A3307" w14:textId="332E2648" w:rsidR="00CA3C5B" w:rsidRDefault="00260033" w:rsidP="00A517F3">
      <w:r>
        <w:t>Table</w:t>
      </w:r>
      <w:r w:rsidR="00932420">
        <w:t xml:space="preserve"> </w:t>
      </w:r>
      <w:r>
        <w:t>23</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Creative</w:t>
      </w:r>
      <w:r w:rsidR="00932420">
        <w:t xml:space="preserve"> </w:t>
      </w:r>
      <w:r>
        <w:t>Industries</w:t>
      </w:r>
      <w:r w:rsidR="00932420">
        <w:t xml:space="preserve"> </w:t>
      </w:r>
      <w:r>
        <w:t>Portfolio</w:t>
      </w:r>
      <w:r w:rsidR="00932420">
        <w:t xml:space="preserve"> </w:t>
      </w:r>
      <w:r>
        <w:t>Agencies</w:t>
      </w:r>
      <w:r w:rsidR="00932420">
        <w:t xml:space="preserve"> </w:t>
      </w:r>
      <w:r>
        <w:t>output.</w:t>
      </w:r>
      <w:r w:rsidR="00932420">
        <w:t xml:space="preserve"> </w:t>
      </w:r>
      <w:r>
        <w:t>This</w:t>
      </w:r>
      <w:r w:rsidR="00932420">
        <w:t xml:space="preserve"> </w:t>
      </w:r>
      <w:r>
        <w:t>output</w:t>
      </w:r>
      <w:r w:rsidR="00932420">
        <w:t xml:space="preserve"> </w:t>
      </w:r>
      <w:r>
        <w:t>promotes,</w:t>
      </w:r>
      <w:r w:rsidR="00932420">
        <w:t xml:space="preserve"> </w:t>
      </w:r>
      <w:proofErr w:type="gramStart"/>
      <w:r>
        <w:t>presents</w:t>
      </w:r>
      <w:proofErr w:type="gramEnd"/>
      <w:r w:rsidR="00932420">
        <w:t xml:space="preserve"> </w:t>
      </w:r>
      <w:r>
        <w:t>and</w:t>
      </w:r>
      <w:r w:rsidR="00932420">
        <w:t xml:space="preserve"> </w:t>
      </w:r>
      <w:r>
        <w:t>preserves</w:t>
      </w:r>
      <w:r w:rsidR="00932420">
        <w:t xml:space="preserve"> </w:t>
      </w:r>
      <w:r>
        <w:t>our</w:t>
      </w:r>
      <w:r w:rsidR="00932420">
        <w:t xml:space="preserve"> </w:t>
      </w:r>
      <w:r>
        <w:t>heritage</w:t>
      </w:r>
      <w:r w:rsidR="00932420">
        <w:t xml:space="preserve"> </w:t>
      </w:r>
      <w:r>
        <w:t>and</w:t>
      </w:r>
      <w:r w:rsidR="00932420">
        <w:t xml:space="preserve"> </w:t>
      </w:r>
      <w:r>
        <w:t>the</w:t>
      </w:r>
      <w:r w:rsidR="00932420">
        <w:t xml:space="preserve"> </w:t>
      </w:r>
      <w:r>
        <w:t>creative</w:t>
      </w:r>
      <w:r w:rsidR="00932420">
        <w:t xml:space="preserve"> </w:t>
      </w:r>
      <w:r>
        <w:t>industries</w:t>
      </w:r>
      <w:r w:rsidR="00932420">
        <w:t xml:space="preserve"> </w:t>
      </w:r>
      <w:r>
        <w:t>through</w:t>
      </w:r>
      <w:r w:rsidR="00932420">
        <w:t xml:space="preserve"> </w:t>
      </w:r>
      <w:r>
        <w:t>Victoria’s</w:t>
      </w:r>
      <w:r w:rsidR="00932420">
        <w:t xml:space="preserve"> </w:t>
      </w:r>
      <w:r>
        <w:t>creative</w:t>
      </w:r>
      <w:r w:rsidR="00932420">
        <w:t xml:space="preserve"> </w:t>
      </w:r>
      <w:r>
        <w:t>industries</w:t>
      </w:r>
      <w:r w:rsidR="00932420">
        <w:t xml:space="preserve"> </w:t>
      </w:r>
      <w:r>
        <w:t>agencies:</w:t>
      </w:r>
      <w:r w:rsidR="00932420">
        <w:t xml:space="preserve"> </w:t>
      </w:r>
      <w:r>
        <w:t>Arts</w:t>
      </w:r>
      <w:r w:rsidR="00932420">
        <w:t xml:space="preserve"> </w:t>
      </w:r>
      <w:r>
        <w:t>Centre</w:t>
      </w:r>
      <w:r w:rsidR="00932420">
        <w:t xml:space="preserve"> </w:t>
      </w:r>
      <w:r>
        <w:t>Melbourne,</w:t>
      </w:r>
      <w:r w:rsidR="00932420">
        <w:t xml:space="preserve"> </w:t>
      </w:r>
      <w:r>
        <w:t>Australian</w:t>
      </w:r>
      <w:r w:rsidR="00932420">
        <w:t xml:space="preserve"> </w:t>
      </w:r>
      <w:r>
        <w:t>Centre</w:t>
      </w:r>
      <w:r w:rsidR="00932420">
        <w:t xml:space="preserve"> </w:t>
      </w:r>
      <w:r>
        <w:t>for</w:t>
      </w:r>
      <w:r w:rsidR="00932420">
        <w:t xml:space="preserve"> </w:t>
      </w:r>
      <w:r>
        <w:t>the</w:t>
      </w:r>
      <w:r w:rsidR="00932420">
        <w:t xml:space="preserve"> </w:t>
      </w:r>
      <w:r>
        <w:t>Moving</w:t>
      </w:r>
      <w:r w:rsidR="00932420">
        <w:t xml:space="preserve"> </w:t>
      </w:r>
      <w:r>
        <w:t>Image,</w:t>
      </w:r>
      <w:r w:rsidR="00932420">
        <w:t xml:space="preserve"> </w:t>
      </w:r>
      <w:r>
        <w:t>Docklands</w:t>
      </w:r>
      <w:r w:rsidR="00932420">
        <w:t xml:space="preserve"> </w:t>
      </w:r>
      <w:r>
        <w:t>Studios</w:t>
      </w:r>
      <w:r w:rsidR="00932420">
        <w:t xml:space="preserve"> </w:t>
      </w:r>
      <w:r>
        <w:t>Melbourne,</w:t>
      </w:r>
      <w:r w:rsidR="00932420">
        <w:t xml:space="preserve"> </w:t>
      </w:r>
      <w:proofErr w:type="spellStart"/>
      <w:r>
        <w:t>VicScreen</w:t>
      </w:r>
      <w:proofErr w:type="spellEnd"/>
      <w:r>
        <w:t>,</w:t>
      </w:r>
      <w:r w:rsidR="00932420">
        <w:t xml:space="preserve"> </w:t>
      </w:r>
      <w:r>
        <w:t>Geelong</w:t>
      </w:r>
      <w:r w:rsidR="00932420">
        <w:t xml:space="preserve"> </w:t>
      </w:r>
      <w:r>
        <w:t>Arts</w:t>
      </w:r>
      <w:r w:rsidR="00932420">
        <w:t xml:space="preserve"> </w:t>
      </w:r>
      <w:r>
        <w:t>Centre,</w:t>
      </w:r>
      <w:r w:rsidR="00932420">
        <w:t xml:space="preserve"> </w:t>
      </w:r>
      <w:r>
        <w:t>Melbourne</w:t>
      </w:r>
      <w:r w:rsidR="00932420">
        <w:t xml:space="preserve"> </w:t>
      </w:r>
      <w:r>
        <w:t>Recital</w:t>
      </w:r>
      <w:r w:rsidR="00932420">
        <w:t xml:space="preserve"> </w:t>
      </w:r>
      <w:r>
        <w:t>Centre,</w:t>
      </w:r>
      <w:r w:rsidR="00932420">
        <w:t xml:space="preserve"> </w:t>
      </w:r>
      <w:r>
        <w:t>Museums</w:t>
      </w:r>
      <w:r w:rsidR="00932420">
        <w:t xml:space="preserve"> </w:t>
      </w:r>
      <w:r>
        <w:t>Victoria,</w:t>
      </w:r>
      <w:r w:rsidR="00932420">
        <w:t xml:space="preserve"> </w:t>
      </w:r>
      <w:r>
        <w:t>National</w:t>
      </w:r>
      <w:r w:rsidR="00932420">
        <w:t xml:space="preserve"> </w:t>
      </w:r>
      <w:r>
        <w:t>Gallery</w:t>
      </w:r>
      <w:r w:rsidR="00932420">
        <w:t xml:space="preserve"> </w:t>
      </w:r>
      <w:r>
        <w:t>of</w:t>
      </w:r>
      <w:r w:rsidR="00932420">
        <w:t xml:space="preserve"> </w:t>
      </w:r>
      <w:r>
        <w:t>Victoria,</w:t>
      </w:r>
      <w:r w:rsidR="00932420">
        <w:t xml:space="preserve"> </w:t>
      </w:r>
      <w:r>
        <w:t>and</w:t>
      </w:r>
      <w:r w:rsidR="00932420">
        <w:t xml:space="preserve"> </w:t>
      </w:r>
      <w:r>
        <w:t>the</w:t>
      </w:r>
      <w:r w:rsidR="00932420">
        <w:t xml:space="preserve"> </w:t>
      </w:r>
      <w:r>
        <w:t>State</w:t>
      </w:r>
      <w:r w:rsidR="00932420">
        <w:t xml:space="preserve"> </w:t>
      </w:r>
      <w:r>
        <w:t>Library</w:t>
      </w:r>
      <w:r w:rsidR="00932420">
        <w:t xml:space="preserve"> </w:t>
      </w:r>
      <w:r>
        <w:t>Victoria.</w:t>
      </w:r>
    </w:p>
    <w:p w14:paraId="18548A9B" w14:textId="00E69377" w:rsidR="00CA3C5B" w:rsidRDefault="00260033" w:rsidP="0077328E">
      <w:pPr>
        <w:pStyle w:val="TableHeading"/>
      </w:pPr>
      <w:r>
        <w:t>Table</w:t>
      </w:r>
      <w:r w:rsidR="00932420">
        <w:t xml:space="preserve"> </w:t>
      </w:r>
      <w:r>
        <w:t>23:</w:t>
      </w:r>
      <w:r w:rsidR="00932420">
        <w:t xml:space="preserve"> </w:t>
      </w:r>
      <w:r>
        <w:t>Output</w:t>
      </w:r>
      <w:r w:rsidR="00932420">
        <w:t xml:space="preserve"> </w:t>
      </w:r>
      <w:r>
        <w:t>–</w:t>
      </w:r>
      <w:r w:rsidR="00932420">
        <w:t xml:space="preserve"> </w:t>
      </w:r>
      <w:r>
        <w:t>Creative</w:t>
      </w:r>
      <w:r w:rsidR="00932420">
        <w:t xml:space="preserve"> </w:t>
      </w:r>
      <w:r>
        <w:t>Industries</w:t>
      </w:r>
      <w:r w:rsidR="00932420">
        <w:t xml:space="preserve"> </w:t>
      </w:r>
      <w:r>
        <w:t>Portfolio</w:t>
      </w:r>
      <w:r w:rsidR="00932420">
        <w:t xml:space="preserve"> </w:t>
      </w:r>
      <w:r>
        <w:t>Agencies</w:t>
      </w:r>
    </w:p>
    <w:tbl>
      <w:tblPr>
        <w:tblStyle w:val="TableGrid"/>
        <w:tblW w:w="9990" w:type="dxa"/>
        <w:tblLayout w:type="fixed"/>
        <w:tblLook w:val="0020" w:firstRow="1" w:lastRow="0" w:firstColumn="0" w:lastColumn="0" w:noHBand="0" w:noVBand="0"/>
      </w:tblPr>
      <w:tblGrid>
        <w:gridCol w:w="4671"/>
        <w:gridCol w:w="1136"/>
        <w:gridCol w:w="992"/>
        <w:gridCol w:w="993"/>
        <w:gridCol w:w="1428"/>
        <w:gridCol w:w="770"/>
      </w:tblGrid>
      <w:tr w:rsidR="00CA3C5B" w:rsidRPr="0077328E" w14:paraId="7B21688A" w14:textId="77777777" w:rsidTr="00260033">
        <w:trPr>
          <w:cantSplit/>
          <w:tblHeader/>
        </w:trPr>
        <w:tc>
          <w:tcPr>
            <w:tcW w:w="4671" w:type="dxa"/>
          </w:tcPr>
          <w:p w14:paraId="7E5627E8" w14:textId="1AE899F4" w:rsidR="00CA3C5B" w:rsidRPr="0077328E" w:rsidRDefault="00260033" w:rsidP="0077328E">
            <w:pPr>
              <w:pStyle w:val="TableColumnHeading"/>
              <w:rPr>
                <w:sz w:val="21"/>
                <w:szCs w:val="21"/>
              </w:rPr>
            </w:pPr>
            <w:bookmarkStart w:id="49" w:name="ColumnTitle_24"/>
            <w:bookmarkEnd w:id="49"/>
            <w:r w:rsidRPr="0077328E">
              <w:rPr>
                <w:sz w:val="21"/>
                <w:szCs w:val="21"/>
              </w:rPr>
              <w:t>Performance</w:t>
            </w:r>
            <w:r w:rsidR="00932420" w:rsidRPr="0077328E">
              <w:rPr>
                <w:sz w:val="21"/>
                <w:szCs w:val="21"/>
              </w:rPr>
              <w:t xml:space="preserve"> </w:t>
            </w:r>
            <w:r w:rsidRPr="0077328E">
              <w:rPr>
                <w:sz w:val="21"/>
                <w:szCs w:val="21"/>
              </w:rPr>
              <w:t>measures</w:t>
            </w:r>
          </w:p>
        </w:tc>
        <w:tc>
          <w:tcPr>
            <w:tcW w:w="1136" w:type="dxa"/>
          </w:tcPr>
          <w:p w14:paraId="4A45FA0C" w14:textId="349E7E0E" w:rsidR="00CA3C5B" w:rsidRPr="0077328E" w:rsidRDefault="00260033" w:rsidP="0077328E">
            <w:pPr>
              <w:pStyle w:val="TableColumnHeading"/>
              <w:rPr>
                <w:sz w:val="21"/>
                <w:szCs w:val="21"/>
              </w:rPr>
            </w:pPr>
            <w:r w:rsidRPr="0077328E">
              <w:rPr>
                <w:sz w:val="21"/>
                <w:szCs w:val="21"/>
              </w:rPr>
              <w:t>Unit</w:t>
            </w:r>
            <w:r w:rsidR="00932420" w:rsidRPr="0077328E">
              <w:rPr>
                <w:sz w:val="21"/>
                <w:szCs w:val="21"/>
              </w:rPr>
              <w:t xml:space="preserve"> </w:t>
            </w:r>
            <w:r w:rsidRPr="0077328E">
              <w:rPr>
                <w:sz w:val="21"/>
                <w:szCs w:val="21"/>
              </w:rPr>
              <w:t>of</w:t>
            </w:r>
            <w:r w:rsidR="00932420" w:rsidRPr="0077328E">
              <w:rPr>
                <w:sz w:val="21"/>
                <w:szCs w:val="21"/>
              </w:rPr>
              <w:t xml:space="preserve"> </w:t>
            </w:r>
            <w:r w:rsidRPr="0077328E">
              <w:rPr>
                <w:sz w:val="21"/>
                <w:szCs w:val="21"/>
              </w:rPr>
              <w:t>Measure</w:t>
            </w:r>
          </w:p>
        </w:tc>
        <w:tc>
          <w:tcPr>
            <w:tcW w:w="992" w:type="dxa"/>
          </w:tcPr>
          <w:p w14:paraId="7996877B" w14:textId="77149ADA" w:rsidR="00CA3C5B" w:rsidRPr="0077328E" w:rsidRDefault="00260033" w:rsidP="003E4F57">
            <w:pPr>
              <w:pStyle w:val="TableColumnHeading"/>
              <w:jc w:val="right"/>
              <w:rPr>
                <w:sz w:val="21"/>
                <w:szCs w:val="21"/>
              </w:rPr>
            </w:pPr>
            <w:r w:rsidRPr="0077328E">
              <w:rPr>
                <w:sz w:val="21"/>
                <w:szCs w:val="21"/>
              </w:rPr>
              <w:t>2022–23</w:t>
            </w:r>
            <w:r w:rsidR="0077328E">
              <w:rPr>
                <w:sz w:val="21"/>
                <w:szCs w:val="21"/>
              </w:rPr>
              <w:t xml:space="preserve"> </w:t>
            </w:r>
            <w:r w:rsidRPr="0077328E">
              <w:rPr>
                <w:sz w:val="21"/>
                <w:szCs w:val="21"/>
              </w:rPr>
              <w:t>Actual</w:t>
            </w:r>
          </w:p>
        </w:tc>
        <w:tc>
          <w:tcPr>
            <w:tcW w:w="993" w:type="dxa"/>
          </w:tcPr>
          <w:p w14:paraId="1ED873D2" w14:textId="7A18AF43" w:rsidR="00CA3C5B" w:rsidRPr="0077328E" w:rsidRDefault="00260033" w:rsidP="003E4F57">
            <w:pPr>
              <w:pStyle w:val="TableColumnHeading"/>
              <w:jc w:val="right"/>
              <w:rPr>
                <w:sz w:val="21"/>
                <w:szCs w:val="21"/>
              </w:rPr>
            </w:pPr>
            <w:r w:rsidRPr="0077328E">
              <w:rPr>
                <w:sz w:val="21"/>
                <w:szCs w:val="21"/>
              </w:rPr>
              <w:t>2022–23</w:t>
            </w:r>
            <w:r w:rsidR="00932420" w:rsidRPr="0077328E">
              <w:rPr>
                <w:sz w:val="21"/>
                <w:szCs w:val="21"/>
              </w:rPr>
              <w:t xml:space="preserve"> </w:t>
            </w:r>
            <w:r w:rsidRPr="0077328E">
              <w:rPr>
                <w:sz w:val="21"/>
                <w:szCs w:val="21"/>
              </w:rPr>
              <w:t>Target</w:t>
            </w:r>
          </w:p>
        </w:tc>
        <w:tc>
          <w:tcPr>
            <w:tcW w:w="1428" w:type="dxa"/>
          </w:tcPr>
          <w:p w14:paraId="70DFF5C2" w14:textId="2BA0576E" w:rsidR="00CA3C5B" w:rsidRPr="0077328E" w:rsidRDefault="00260033" w:rsidP="003E4F57">
            <w:pPr>
              <w:pStyle w:val="TableColumnHeading"/>
              <w:jc w:val="right"/>
              <w:rPr>
                <w:sz w:val="21"/>
                <w:szCs w:val="21"/>
              </w:rPr>
            </w:pPr>
            <w:r w:rsidRPr="0077328E">
              <w:rPr>
                <w:sz w:val="21"/>
                <w:szCs w:val="21"/>
              </w:rPr>
              <w:t>Performance</w:t>
            </w:r>
            <w:r w:rsidR="00932420" w:rsidRPr="0077328E">
              <w:rPr>
                <w:sz w:val="21"/>
                <w:szCs w:val="21"/>
              </w:rPr>
              <w:t xml:space="preserve"> </w:t>
            </w:r>
            <w:r w:rsidRPr="0077328E">
              <w:rPr>
                <w:sz w:val="21"/>
                <w:szCs w:val="21"/>
              </w:rPr>
              <w:t>variation</w:t>
            </w:r>
            <w:r w:rsidR="00932420" w:rsidRPr="0077328E">
              <w:rPr>
                <w:sz w:val="21"/>
                <w:szCs w:val="21"/>
              </w:rPr>
              <w:t xml:space="preserve"> </w:t>
            </w:r>
            <w:r w:rsidRPr="0077328E">
              <w:rPr>
                <w:sz w:val="21"/>
                <w:szCs w:val="21"/>
              </w:rPr>
              <w:t>(%)</w:t>
            </w:r>
          </w:p>
        </w:tc>
        <w:tc>
          <w:tcPr>
            <w:tcW w:w="770" w:type="dxa"/>
          </w:tcPr>
          <w:p w14:paraId="5AE415B3" w14:textId="77777777" w:rsidR="00CA3C5B" w:rsidRPr="0077328E" w:rsidRDefault="00260033" w:rsidP="003E4F57">
            <w:pPr>
              <w:pStyle w:val="TableColumnHeading"/>
              <w:jc w:val="right"/>
              <w:rPr>
                <w:sz w:val="21"/>
                <w:szCs w:val="21"/>
              </w:rPr>
            </w:pPr>
            <w:r w:rsidRPr="0077328E">
              <w:rPr>
                <w:sz w:val="21"/>
                <w:szCs w:val="21"/>
              </w:rPr>
              <w:t>Result</w:t>
            </w:r>
          </w:p>
        </w:tc>
      </w:tr>
      <w:tr w:rsidR="00EA2FFA" w:rsidRPr="0077328E" w14:paraId="39B393E9" w14:textId="77777777" w:rsidTr="00260033">
        <w:trPr>
          <w:cantSplit/>
        </w:trPr>
        <w:tc>
          <w:tcPr>
            <w:tcW w:w="4671" w:type="dxa"/>
          </w:tcPr>
          <w:p w14:paraId="57673B1B" w14:textId="6A6700CE" w:rsidR="00EA2FFA" w:rsidRPr="0077328E" w:rsidRDefault="00EA2FFA" w:rsidP="00EA2FFA">
            <w:pPr>
              <w:pStyle w:val="TableHeading"/>
            </w:pPr>
            <w:r>
              <w:t>Quantity</w:t>
            </w:r>
          </w:p>
        </w:tc>
        <w:tc>
          <w:tcPr>
            <w:tcW w:w="1136" w:type="dxa"/>
          </w:tcPr>
          <w:p w14:paraId="2E536FB3" w14:textId="77777777" w:rsidR="00EA2FFA" w:rsidRPr="0077328E" w:rsidRDefault="00EA2FFA" w:rsidP="00EA2FFA">
            <w:pPr>
              <w:pStyle w:val="TableCopy"/>
            </w:pPr>
          </w:p>
        </w:tc>
        <w:tc>
          <w:tcPr>
            <w:tcW w:w="992" w:type="dxa"/>
          </w:tcPr>
          <w:p w14:paraId="51F0E74A" w14:textId="77777777" w:rsidR="00EA2FFA" w:rsidRPr="0077328E" w:rsidRDefault="00EA2FFA" w:rsidP="003E4F57">
            <w:pPr>
              <w:pStyle w:val="TableCopy"/>
              <w:jc w:val="right"/>
            </w:pPr>
          </w:p>
        </w:tc>
        <w:tc>
          <w:tcPr>
            <w:tcW w:w="993" w:type="dxa"/>
          </w:tcPr>
          <w:p w14:paraId="21E5E3BE" w14:textId="77777777" w:rsidR="00EA2FFA" w:rsidRPr="0077328E" w:rsidRDefault="00EA2FFA" w:rsidP="003E4F57">
            <w:pPr>
              <w:pStyle w:val="TableCopy"/>
              <w:jc w:val="right"/>
            </w:pPr>
          </w:p>
        </w:tc>
        <w:tc>
          <w:tcPr>
            <w:tcW w:w="1428" w:type="dxa"/>
          </w:tcPr>
          <w:p w14:paraId="0B5EAC0B" w14:textId="77777777" w:rsidR="00EA2FFA" w:rsidRPr="0077328E" w:rsidRDefault="00EA2FFA" w:rsidP="003E4F57">
            <w:pPr>
              <w:pStyle w:val="TableCopy"/>
              <w:jc w:val="right"/>
            </w:pPr>
          </w:p>
        </w:tc>
        <w:tc>
          <w:tcPr>
            <w:tcW w:w="770" w:type="dxa"/>
          </w:tcPr>
          <w:p w14:paraId="49FAE86E" w14:textId="77777777" w:rsidR="00EA2FFA" w:rsidRPr="0077328E" w:rsidRDefault="00EA2FFA" w:rsidP="003E4F57">
            <w:pPr>
              <w:pStyle w:val="TableCopy"/>
              <w:jc w:val="right"/>
            </w:pPr>
          </w:p>
        </w:tc>
      </w:tr>
      <w:tr w:rsidR="00CA3C5B" w14:paraId="3B0FB489" w14:textId="77777777" w:rsidTr="00260033">
        <w:trPr>
          <w:cantSplit/>
        </w:trPr>
        <w:tc>
          <w:tcPr>
            <w:tcW w:w="4671" w:type="dxa"/>
          </w:tcPr>
          <w:p w14:paraId="6A93D2BD" w14:textId="77777777" w:rsidR="00CA3C5B" w:rsidRDefault="00260033" w:rsidP="00EA2FFA">
            <w:pPr>
              <w:pStyle w:val="TableCopy"/>
            </w:pPr>
            <w:r>
              <w:t>Additional</w:t>
            </w:r>
            <w:r w:rsidR="00932420">
              <w:t xml:space="preserve"> </w:t>
            </w:r>
            <w:r>
              <w:t>employment</w:t>
            </w:r>
            <w:r w:rsidR="00932420">
              <w:t xml:space="preserve"> </w:t>
            </w:r>
            <w:r>
              <w:t>from</w:t>
            </w:r>
            <w:r w:rsidR="00932420">
              <w:t xml:space="preserve"> </w:t>
            </w:r>
            <w:r>
              <w:t>production</w:t>
            </w:r>
            <w:r w:rsidR="00932420">
              <w:t xml:space="preserve"> </w:t>
            </w:r>
            <w:r>
              <w:t>supported</w:t>
            </w:r>
            <w:r w:rsidR="00932420">
              <w:t xml:space="preserve"> </w:t>
            </w:r>
            <w:r>
              <w:t>by</w:t>
            </w:r>
            <w:r w:rsidR="00932420">
              <w:t xml:space="preserve"> </w:t>
            </w:r>
            <w:proofErr w:type="spellStart"/>
            <w:r>
              <w:t>VicScreen</w:t>
            </w:r>
            <w:proofErr w:type="spellEnd"/>
          </w:p>
          <w:p w14:paraId="6EC878DC" w14:textId="0B6DA44A" w:rsidR="00EA2FFA" w:rsidRPr="00EA2FFA" w:rsidRDefault="00EA2FFA" w:rsidP="00EA2FFA">
            <w:pPr>
              <w:pStyle w:val="TableCopy"/>
              <w:rPr>
                <w:i/>
                <w:iCs/>
              </w:rPr>
            </w:pPr>
            <w:r w:rsidRPr="00EA2FFA">
              <w:rPr>
                <w:i/>
                <w:iCs/>
              </w:rPr>
              <w:t>Higher result due to the number of high value productions, features and series secured.</w:t>
            </w:r>
          </w:p>
        </w:tc>
        <w:tc>
          <w:tcPr>
            <w:tcW w:w="1136" w:type="dxa"/>
          </w:tcPr>
          <w:p w14:paraId="1BD18616" w14:textId="77777777" w:rsidR="00CA3C5B" w:rsidRDefault="00260033" w:rsidP="00EA2FFA">
            <w:pPr>
              <w:pStyle w:val="TableCopy"/>
            </w:pPr>
            <w:r>
              <w:t>number</w:t>
            </w:r>
          </w:p>
        </w:tc>
        <w:tc>
          <w:tcPr>
            <w:tcW w:w="992" w:type="dxa"/>
          </w:tcPr>
          <w:p w14:paraId="5011BEB3" w14:textId="77777777" w:rsidR="00CA3C5B" w:rsidRDefault="00260033" w:rsidP="003E4F57">
            <w:pPr>
              <w:pStyle w:val="TableCopy"/>
              <w:jc w:val="right"/>
            </w:pPr>
            <w:r>
              <w:t>11,071</w:t>
            </w:r>
          </w:p>
        </w:tc>
        <w:tc>
          <w:tcPr>
            <w:tcW w:w="993" w:type="dxa"/>
          </w:tcPr>
          <w:p w14:paraId="53CDC885" w14:textId="77777777" w:rsidR="00CA3C5B" w:rsidRDefault="00260033" w:rsidP="003E4F57">
            <w:pPr>
              <w:pStyle w:val="TableCopy"/>
              <w:jc w:val="right"/>
            </w:pPr>
            <w:r>
              <w:t>10,400</w:t>
            </w:r>
          </w:p>
        </w:tc>
        <w:tc>
          <w:tcPr>
            <w:tcW w:w="1428" w:type="dxa"/>
          </w:tcPr>
          <w:p w14:paraId="18927AF3" w14:textId="77777777" w:rsidR="00CA3C5B" w:rsidRDefault="00260033" w:rsidP="003E4F57">
            <w:pPr>
              <w:pStyle w:val="TableCopy"/>
              <w:jc w:val="right"/>
            </w:pPr>
            <w:r>
              <w:t>6.5%</w:t>
            </w:r>
          </w:p>
        </w:tc>
        <w:tc>
          <w:tcPr>
            <w:tcW w:w="770" w:type="dxa"/>
          </w:tcPr>
          <w:p w14:paraId="46836D95" w14:textId="58C011EE" w:rsidR="00CA3C5B" w:rsidRPr="003E4F57" w:rsidRDefault="003E4F57" w:rsidP="003E4F57">
            <w:pPr>
              <w:pStyle w:val="TableCopy"/>
              <w:jc w:val="right"/>
            </w:pPr>
            <w:r w:rsidRPr="003E4F57">
              <w:t>1</w:t>
            </w:r>
          </w:p>
        </w:tc>
      </w:tr>
      <w:tr w:rsidR="00CA3C5B" w14:paraId="6C6CFE8F" w14:textId="77777777" w:rsidTr="00260033">
        <w:trPr>
          <w:cantSplit/>
        </w:trPr>
        <w:tc>
          <w:tcPr>
            <w:tcW w:w="4671" w:type="dxa"/>
          </w:tcPr>
          <w:p w14:paraId="201A292A" w14:textId="77777777" w:rsidR="00CA3C5B" w:rsidRDefault="00260033" w:rsidP="00EA2FFA">
            <w:pPr>
              <w:pStyle w:val="TableCopy"/>
            </w:pPr>
            <w:r>
              <w:lastRenderedPageBreak/>
              <w:t>Agency</w:t>
            </w:r>
            <w:r w:rsidR="00932420">
              <w:t xml:space="preserve"> </w:t>
            </w:r>
            <w:r>
              <w:t>website</w:t>
            </w:r>
            <w:r w:rsidR="00932420">
              <w:t xml:space="preserve"> </w:t>
            </w:r>
            <w:r>
              <w:t>visitation</w:t>
            </w:r>
          </w:p>
          <w:p w14:paraId="4400CC90" w14:textId="61D7A283" w:rsidR="00EA2FFA" w:rsidRPr="00EA2FFA" w:rsidRDefault="00EA2FFA" w:rsidP="00EA2FFA">
            <w:pPr>
              <w:pStyle w:val="TableCopy"/>
              <w:rPr>
                <w:i/>
                <w:iCs/>
              </w:rPr>
            </w:pPr>
            <w:r w:rsidRPr="00EA2FFA">
              <w:rPr>
                <w:i/>
                <w:iCs/>
              </w:rPr>
              <w:t>Higher result due to digital uplift across the portfolio. The expanded web offering includes improved access to content and ticketing.</w:t>
            </w:r>
          </w:p>
        </w:tc>
        <w:tc>
          <w:tcPr>
            <w:tcW w:w="1136" w:type="dxa"/>
          </w:tcPr>
          <w:p w14:paraId="6DB49264" w14:textId="09C2F692" w:rsidR="00CA3C5B" w:rsidRDefault="00260033" w:rsidP="00EA2FFA">
            <w:pPr>
              <w:pStyle w:val="TableCopy"/>
            </w:pPr>
            <w:r>
              <w:t>number</w:t>
            </w:r>
            <w:r w:rsidR="00932420">
              <w:t xml:space="preserve"> </w:t>
            </w:r>
            <w:r>
              <w:t>(000)</w:t>
            </w:r>
          </w:p>
        </w:tc>
        <w:tc>
          <w:tcPr>
            <w:tcW w:w="992" w:type="dxa"/>
          </w:tcPr>
          <w:p w14:paraId="4360FD9D" w14:textId="77777777" w:rsidR="00CA3C5B" w:rsidRDefault="00260033" w:rsidP="003E4F57">
            <w:pPr>
              <w:pStyle w:val="TableCopy"/>
              <w:jc w:val="right"/>
            </w:pPr>
            <w:r>
              <w:t>30,364</w:t>
            </w:r>
          </w:p>
        </w:tc>
        <w:tc>
          <w:tcPr>
            <w:tcW w:w="993" w:type="dxa"/>
          </w:tcPr>
          <w:p w14:paraId="7AEE5077" w14:textId="77777777" w:rsidR="00CA3C5B" w:rsidRDefault="00260033" w:rsidP="003E4F57">
            <w:pPr>
              <w:pStyle w:val="TableCopy"/>
              <w:jc w:val="right"/>
            </w:pPr>
            <w:r>
              <w:t>21,200</w:t>
            </w:r>
          </w:p>
        </w:tc>
        <w:tc>
          <w:tcPr>
            <w:tcW w:w="1428" w:type="dxa"/>
          </w:tcPr>
          <w:p w14:paraId="2391DCAB" w14:textId="77777777" w:rsidR="00CA3C5B" w:rsidRDefault="00260033" w:rsidP="003E4F57">
            <w:pPr>
              <w:pStyle w:val="TableCopy"/>
              <w:jc w:val="right"/>
            </w:pPr>
            <w:r>
              <w:t>43.2%</w:t>
            </w:r>
          </w:p>
        </w:tc>
        <w:tc>
          <w:tcPr>
            <w:tcW w:w="770" w:type="dxa"/>
          </w:tcPr>
          <w:p w14:paraId="2DCB5447" w14:textId="51968406" w:rsidR="00CA3C5B" w:rsidRDefault="003E4F57" w:rsidP="003E4F57">
            <w:pPr>
              <w:pStyle w:val="TableCopy"/>
              <w:jc w:val="right"/>
            </w:pPr>
            <w:r w:rsidRPr="003E4F57">
              <w:t>1</w:t>
            </w:r>
          </w:p>
        </w:tc>
      </w:tr>
      <w:tr w:rsidR="00CA3C5B" w14:paraId="30E8A81A" w14:textId="77777777" w:rsidTr="00260033">
        <w:trPr>
          <w:cantSplit/>
        </w:trPr>
        <w:tc>
          <w:tcPr>
            <w:tcW w:w="4671" w:type="dxa"/>
          </w:tcPr>
          <w:p w14:paraId="324AB982" w14:textId="77777777" w:rsidR="00CA3C5B" w:rsidRDefault="00260033" w:rsidP="00EA2FFA">
            <w:pPr>
              <w:pStyle w:val="TableCopy"/>
            </w:pPr>
            <w:r>
              <w:t>Attendances</w:t>
            </w:r>
            <w:r w:rsidR="00932420">
              <w:t xml:space="preserve"> </w:t>
            </w:r>
            <w:r>
              <w:t>at</w:t>
            </w:r>
            <w:r w:rsidR="00932420">
              <w:t xml:space="preserve"> </w:t>
            </w:r>
            <w:r>
              <w:t>Arts</w:t>
            </w:r>
            <w:r w:rsidR="00932420">
              <w:t xml:space="preserve"> </w:t>
            </w:r>
            <w:r>
              <w:t>Centre</w:t>
            </w:r>
            <w:r w:rsidR="00932420">
              <w:t xml:space="preserve"> </w:t>
            </w:r>
            <w:r>
              <w:t>Melbourne</w:t>
            </w:r>
          </w:p>
          <w:p w14:paraId="06E4DB53" w14:textId="578806B0" w:rsidR="00EA2FFA" w:rsidRPr="00EA2FFA" w:rsidRDefault="00EA2FFA" w:rsidP="00EA2FFA">
            <w:pPr>
              <w:pStyle w:val="TableCopy"/>
              <w:rPr>
                <w:i/>
                <w:iCs/>
              </w:rPr>
            </w:pPr>
            <w:r w:rsidRPr="00EA2FFA">
              <w:rPr>
                <w:i/>
                <w:iCs/>
              </w:rPr>
              <w:t>Higher result due to an increased number of performances scheduled at Sidney Myer Music Bowl and attendances at outdoor venues.</w:t>
            </w:r>
          </w:p>
        </w:tc>
        <w:tc>
          <w:tcPr>
            <w:tcW w:w="1136" w:type="dxa"/>
          </w:tcPr>
          <w:p w14:paraId="14BEBDB8" w14:textId="6B13003E" w:rsidR="00CA3C5B" w:rsidRDefault="00260033" w:rsidP="00EA2FFA">
            <w:pPr>
              <w:pStyle w:val="TableCopy"/>
            </w:pPr>
            <w:r>
              <w:t>number</w:t>
            </w:r>
            <w:r w:rsidR="00932420">
              <w:t xml:space="preserve"> </w:t>
            </w:r>
            <w:r>
              <w:t>(000)</w:t>
            </w:r>
          </w:p>
        </w:tc>
        <w:tc>
          <w:tcPr>
            <w:tcW w:w="992" w:type="dxa"/>
          </w:tcPr>
          <w:p w14:paraId="74810904" w14:textId="77777777" w:rsidR="00CA3C5B" w:rsidRDefault="00260033" w:rsidP="003E4F57">
            <w:pPr>
              <w:pStyle w:val="TableCopy"/>
              <w:jc w:val="right"/>
            </w:pPr>
            <w:r>
              <w:t>2,612</w:t>
            </w:r>
          </w:p>
        </w:tc>
        <w:tc>
          <w:tcPr>
            <w:tcW w:w="993" w:type="dxa"/>
          </w:tcPr>
          <w:p w14:paraId="1543E21B" w14:textId="77777777" w:rsidR="00CA3C5B" w:rsidRDefault="00260033" w:rsidP="003E4F57">
            <w:pPr>
              <w:pStyle w:val="TableCopy"/>
              <w:jc w:val="right"/>
            </w:pPr>
            <w:r>
              <w:t>2,200</w:t>
            </w:r>
          </w:p>
        </w:tc>
        <w:tc>
          <w:tcPr>
            <w:tcW w:w="1428" w:type="dxa"/>
          </w:tcPr>
          <w:p w14:paraId="6845DED4" w14:textId="77777777" w:rsidR="00CA3C5B" w:rsidRDefault="00260033" w:rsidP="003E4F57">
            <w:pPr>
              <w:pStyle w:val="TableCopy"/>
              <w:jc w:val="right"/>
            </w:pPr>
            <w:r>
              <w:t>18.7%</w:t>
            </w:r>
          </w:p>
        </w:tc>
        <w:tc>
          <w:tcPr>
            <w:tcW w:w="770" w:type="dxa"/>
          </w:tcPr>
          <w:p w14:paraId="5B824D9F" w14:textId="248CD139" w:rsidR="00CA3C5B" w:rsidRDefault="003E4F57" w:rsidP="003E4F57">
            <w:pPr>
              <w:pStyle w:val="TableCopy"/>
              <w:jc w:val="right"/>
            </w:pPr>
            <w:r w:rsidRPr="003E4F57">
              <w:t>1</w:t>
            </w:r>
          </w:p>
        </w:tc>
      </w:tr>
      <w:tr w:rsidR="00CA3C5B" w14:paraId="54338145" w14:textId="77777777" w:rsidTr="00260033">
        <w:trPr>
          <w:cantSplit/>
        </w:trPr>
        <w:tc>
          <w:tcPr>
            <w:tcW w:w="4671" w:type="dxa"/>
          </w:tcPr>
          <w:p w14:paraId="38C8206B" w14:textId="77777777" w:rsidR="00CA3C5B" w:rsidRDefault="00260033" w:rsidP="00EA2FFA">
            <w:pPr>
              <w:pStyle w:val="TableCopy"/>
            </w:pPr>
            <w:r>
              <w:t>Attendances</w:t>
            </w:r>
            <w:r w:rsidR="00932420">
              <w:t xml:space="preserve"> </w:t>
            </w:r>
            <w:r>
              <w:t>at</w:t>
            </w:r>
            <w:r w:rsidR="00932420">
              <w:t xml:space="preserve"> </w:t>
            </w:r>
            <w:r>
              <w:t>Australian</w:t>
            </w:r>
            <w:r w:rsidR="00932420">
              <w:t xml:space="preserve"> </w:t>
            </w:r>
            <w:r>
              <w:t>Centre</w:t>
            </w:r>
            <w:r w:rsidR="00932420">
              <w:t xml:space="preserve"> </w:t>
            </w:r>
            <w:r>
              <w:t>for</w:t>
            </w:r>
            <w:r w:rsidR="00932420">
              <w:t xml:space="preserve"> </w:t>
            </w:r>
            <w:r>
              <w:t>the</w:t>
            </w:r>
            <w:r w:rsidR="00932420">
              <w:t xml:space="preserve"> </w:t>
            </w:r>
            <w:r>
              <w:t>Moving</w:t>
            </w:r>
            <w:r w:rsidR="00932420">
              <w:t xml:space="preserve"> </w:t>
            </w:r>
            <w:r>
              <w:t>Image</w:t>
            </w:r>
          </w:p>
          <w:p w14:paraId="57C510AA" w14:textId="209C2B2C" w:rsidR="00EA2FFA" w:rsidRPr="00EA2FFA" w:rsidRDefault="00EA2FFA" w:rsidP="00EA2FFA">
            <w:pPr>
              <w:pStyle w:val="TableCopy"/>
              <w:rPr>
                <w:i/>
                <w:iCs/>
              </w:rPr>
            </w:pPr>
            <w:r w:rsidRPr="00EA2FFA">
              <w:rPr>
                <w:i/>
                <w:iCs/>
              </w:rPr>
              <w:t>Higher result due to attendances at ACMI exceeding expectations.</w:t>
            </w:r>
          </w:p>
        </w:tc>
        <w:tc>
          <w:tcPr>
            <w:tcW w:w="1136" w:type="dxa"/>
          </w:tcPr>
          <w:p w14:paraId="3E1D1BCE" w14:textId="6B8CA331" w:rsidR="00CA3C5B" w:rsidRDefault="00260033" w:rsidP="00EA2FFA">
            <w:pPr>
              <w:pStyle w:val="TableCopy"/>
            </w:pPr>
            <w:r>
              <w:t>number</w:t>
            </w:r>
            <w:r w:rsidR="00932420">
              <w:t xml:space="preserve"> </w:t>
            </w:r>
            <w:r>
              <w:t>(000)</w:t>
            </w:r>
          </w:p>
        </w:tc>
        <w:tc>
          <w:tcPr>
            <w:tcW w:w="992" w:type="dxa"/>
          </w:tcPr>
          <w:p w14:paraId="7DC083B3" w14:textId="77777777" w:rsidR="00CA3C5B" w:rsidRDefault="00260033" w:rsidP="003E4F57">
            <w:pPr>
              <w:pStyle w:val="TableCopy"/>
              <w:jc w:val="right"/>
            </w:pPr>
            <w:r>
              <w:t>1,108</w:t>
            </w:r>
          </w:p>
        </w:tc>
        <w:tc>
          <w:tcPr>
            <w:tcW w:w="993" w:type="dxa"/>
          </w:tcPr>
          <w:p w14:paraId="5D89705F" w14:textId="77777777" w:rsidR="00CA3C5B" w:rsidRDefault="00260033" w:rsidP="003E4F57">
            <w:pPr>
              <w:pStyle w:val="TableCopy"/>
              <w:jc w:val="right"/>
            </w:pPr>
            <w:r>
              <w:t>1,051</w:t>
            </w:r>
          </w:p>
        </w:tc>
        <w:tc>
          <w:tcPr>
            <w:tcW w:w="1428" w:type="dxa"/>
          </w:tcPr>
          <w:p w14:paraId="7CA8E092" w14:textId="77777777" w:rsidR="00CA3C5B" w:rsidRDefault="00260033" w:rsidP="003E4F57">
            <w:pPr>
              <w:pStyle w:val="TableCopy"/>
              <w:jc w:val="right"/>
            </w:pPr>
            <w:r>
              <w:t>5.4%</w:t>
            </w:r>
          </w:p>
        </w:tc>
        <w:tc>
          <w:tcPr>
            <w:tcW w:w="770" w:type="dxa"/>
          </w:tcPr>
          <w:p w14:paraId="75BC4F1A" w14:textId="3368FE64" w:rsidR="00CA3C5B" w:rsidRDefault="003E4F57" w:rsidP="003E4F57">
            <w:pPr>
              <w:pStyle w:val="TableCopy"/>
              <w:jc w:val="right"/>
            </w:pPr>
            <w:r w:rsidRPr="003E4F57">
              <w:t>1</w:t>
            </w:r>
          </w:p>
        </w:tc>
      </w:tr>
      <w:tr w:rsidR="00CA3C5B" w14:paraId="54101F33" w14:textId="77777777" w:rsidTr="00260033">
        <w:trPr>
          <w:cantSplit/>
        </w:trPr>
        <w:tc>
          <w:tcPr>
            <w:tcW w:w="4671" w:type="dxa"/>
          </w:tcPr>
          <w:p w14:paraId="18364C2A" w14:textId="77777777" w:rsidR="00CA3C5B" w:rsidRDefault="00260033" w:rsidP="00EA2FFA">
            <w:pPr>
              <w:pStyle w:val="TableCopy"/>
            </w:pPr>
            <w:r>
              <w:t>Attendances</w:t>
            </w:r>
            <w:r w:rsidR="00932420">
              <w:t xml:space="preserve"> </w:t>
            </w:r>
            <w:r>
              <w:t>at</w:t>
            </w:r>
            <w:r w:rsidR="00932420">
              <w:t xml:space="preserve"> </w:t>
            </w:r>
            <w:r>
              <w:t>Geelong</w:t>
            </w:r>
            <w:r w:rsidR="00932420">
              <w:t xml:space="preserve"> </w:t>
            </w:r>
            <w:r>
              <w:t>Arts</w:t>
            </w:r>
            <w:r w:rsidR="00932420">
              <w:t xml:space="preserve"> </w:t>
            </w:r>
            <w:r>
              <w:t>Centre</w:t>
            </w:r>
          </w:p>
          <w:p w14:paraId="4C879178" w14:textId="59F896AF" w:rsidR="00EA2FFA" w:rsidRPr="00EA2FFA" w:rsidRDefault="00EA2FFA" w:rsidP="00EA2FFA">
            <w:pPr>
              <w:pStyle w:val="TableCopy"/>
              <w:rPr>
                <w:i/>
                <w:iCs/>
              </w:rPr>
            </w:pPr>
            <w:r w:rsidRPr="00EA2FFA">
              <w:rPr>
                <w:i/>
                <w:iCs/>
              </w:rPr>
              <w:t>Higher result due to successful programming and events.</w:t>
            </w:r>
          </w:p>
        </w:tc>
        <w:tc>
          <w:tcPr>
            <w:tcW w:w="1136" w:type="dxa"/>
          </w:tcPr>
          <w:p w14:paraId="07E48D4D" w14:textId="143A8EA4" w:rsidR="00CA3C5B" w:rsidRDefault="00260033" w:rsidP="00EA2FFA">
            <w:pPr>
              <w:pStyle w:val="TableCopy"/>
            </w:pPr>
            <w:r>
              <w:t>number</w:t>
            </w:r>
            <w:r w:rsidR="00932420">
              <w:t xml:space="preserve"> </w:t>
            </w:r>
            <w:r>
              <w:t>(000)</w:t>
            </w:r>
          </w:p>
        </w:tc>
        <w:tc>
          <w:tcPr>
            <w:tcW w:w="992" w:type="dxa"/>
          </w:tcPr>
          <w:p w14:paraId="660D7B3E" w14:textId="77777777" w:rsidR="00CA3C5B" w:rsidRDefault="00260033" w:rsidP="003E4F57">
            <w:pPr>
              <w:pStyle w:val="TableCopy"/>
              <w:jc w:val="right"/>
            </w:pPr>
            <w:r>
              <w:t>142</w:t>
            </w:r>
          </w:p>
        </w:tc>
        <w:tc>
          <w:tcPr>
            <w:tcW w:w="993" w:type="dxa"/>
          </w:tcPr>
          <w:p w14:paraId="2E3DE32C" w14:textId="77777777" w:rsidR="00CA3C5B" w:rsidRDefault="00260033" w:rsidP="003E4F57">
            <w:pPr>
              <w:pStyle w:val="TableCopy"/>
              <w:jc w:val="right"/>
            </w:pPr>
            <w:r>
              <w:t>100</w:t>
            </w:r>
          </w:p>
        </w:tc>
        <w:tc>
          <w:tcPr>
            <w:tcW w:w="1428" w:type="dxa"/>
          </w:tcPr>
          <w:p w14:paraId="1740ED2C" w14:textId="77777777" w:rsidR="00CA3C5B" w:rsidRDefault="00260033" w:rsidP="003E4F57">
            <w:pPr>
              <w:pStyle w:val="TableCopy"/>
              <w:jc w:val="right"/>
            </w:pPr>
            <w:r>
              <w:t>42.0%</w:t>
            </w:r>
          </w:p>
        </w:tc>
        <w:tc>
          <w:tcPr>
            <w:tcW w:w="770" w:type="dxa"/>
          </w:tcPr>
          <w:p w14:paraId="30D770D3" w14:textId="76A1E98B" w:rsidR="00CA3C5B" w:rsidRDefault="003E4F57" w:rsidP="003E4F57">
            <w:pPr>
              <w:pStyle w:val="TableCopy"/>
              <w:jc w:val="right"/>
            </w:pPr>
            <w:r w:rsidRPr="003E4F57">
              <w:t>1</w:t>
            </w:r>
          </w:p>
        </w:tc>
      </w:tr>
      <w:tr w:rsidR="00CA3C5B" w14:paraId="1FA7C66C" w14:textId="77777777" w:rsidTr="00260033">
        <w:trPr>
          <w:cantSplit/>
        </w:trPr>
        <w:tc>
          <w:tcPr>
            <w:tcW w:w="4671" w:type="dxa"/>
          </w:tcPr>
          <w:p w14:paraId="1E4E318B" w14:textId="77777777" w:rsidR="00CA3C5B" w:rsidRDefault="00260033" w:rsidP="00EA2FFA">
            <w:pPr>
              <w:pStyle w:val="TableCopy"/>
            </w:pPr>
            <w:r>
              <w:t>Attendances</w:t>
            </w:r>
            <w:r w:rsidR="00932420">
              <w:t xml:space="preserve"> </w:t>
            </w:r>
            <w:r>
              <w:t>at</w:t>
            </w:r>
            <w:r w:rsidR="00932420">
              <w:t xml:space="preserve"> </w:t>
            </w:r>
            <w:r>
              <w:t>Melbourne</w:t>
            </w:r>
            <w:r w:rsidR="00932420">
              <w:t xml:space="preserve"> </w:t>
            </w:r>
            <w:r>
              <w:t>Recital</w:t>
            </w:r>
            <w:r w:rsidR="00932420">
              <w:t xml:space="preserve"> </w:t>
            </w:r>
            <w:r>
              <w:t>Centre</w:t>
            </w:r>
          </w:p>
          <w:p w14:paraId="49039CEB" w14:textId="5E3DBC36" w:rsidR="00EA2FFA" w:rsidRPr="00EA2FFA" w:rsidRDefault="00EA2FFA" w:rsidP="00EA2FFA">
            <w:pPr>
              <w:pStyle w:val="TableCopy"/>
              <w:rPr>
                <w:i/>
                <w:iCs/>
              </w:rPr>
            </w:pPr>
            <w:r w:rsidRPr="00EA2FFA">
              <w:rPr>
                <w:i/>
                <w:iCs/>
              </w:rPr>
              <w:t>Lower result reflects changed audience behaviours observed across the industry.</w:t>
            </w:r>
          </w:p>
        </w:tc>
        <w:tc>
          <w:tcPr>
            <w:tcW w:w="1136" w:type="dxa"/>
          </w:tcPr>
          <w:p w14:paraId="2AA7BDD0" w14:textId="22C5AC6F" w:rsidR="00CA3C5B" w:rsidRDefault="00260033" w:rsidP="00EA2FFA">
            <w:pPr>
              <w:pStyle w:val="TableCopy"/>
            </w:pPr>
            <w:r>
              <w:t>number</w:t>
            </w:r>
            <w:r w:rsidR="00932420">
              <w:t xml:space="preserve"> </w:t>
            </w:r>
            <w:r>
              <w:t>(000)</w:t>
            </w:r>
          </w:p>
        </w:tc>
        <w:tc>
          <w:tcPr>
            <w:tcW w:w="992" w:type="dxa"/>
          </w:tcPr>
          <w:p w14:paraId="00299142" w14:textId="77777777" w:rsidR="00CA3C5B" w:rsidRDefault="00260033" w:rsidP="003E4F57">
            <w:pPr>
              <w:pStyle w:val="TableCopy"/>
              <w:jc w:val="right"/>
            </w:pPr>
            <w:r>
              <w:t>165</w:t>
            </w:r>
          </w:p>
        </w:tc>
        <w:tc>
          <w:tcPr>
            <w:tcW w:w="993" w:type="dxa"/>
          </w:tcPr>
          <w:p w14:paraId="55B64966" w14:textId="77777777" w:rsidR="00CA3C5B" w:rsidRDefault="00260033" w:rsidP="003E4F57">
            <w:pPr>
              <w:pStyle w:val="TableCopy"/>
              <w:jc w:val="right"/>
            </w:pPr>
            <w:r>
              <w:t>230</w:t>
            </w:r>
          </w:p>
        </w:tc>
        <w:tc>
          <w:tcPr>
            <w:tcW w:w="1428" w:type="dxa"/>
          </w:tcPr>
          <w:p w14:paraId="4D2A9F47" w14:textId="77777777" w:rsidR="00CA3C5B" w:rsidRDefault="00260033" w:rsidP="003E4F57">
            <w:pPr>
              <w:pStyle w:val="TableCopy"/>
              <w:jc w:val="right"/>
            </w:pPr>
            <w:r>
              <w:t>-28.3%</w:t>
            </w:r>
          </w:p>
        </w:tc>
        <w:tc>
          <w:tcPr>
            <w:tcW w:w="770" w:type="dxa"/>
          </w:tcPr>
          <w:p w14:paraId="772D4B1E" w14:textId="2AE0E751" w:rsidR="00CA3C5B" w:rsidRDefault="003E4F57" w:rsidP="003E4F57">
            <w:pPr>
              <w:pStyle w:val="TableCopy"/>
              <w:jc w:val="right"/>
            </w:pPr>
            <w:r>
              <w:t>3</w:t>
            </w:r>
          </w:p>
        </w:tc>
      </w:tr>
      <w:tr w:rsidR="00CA3C5B" w14:paraId="542D4804" w14:textId="77777777" w:rsidTr="00260033">
        <w:trPr>
          <w:cantSplit/>
        </w:trPr>
        <w:tc>
          <w:tcPr>
            <w:tcW w:w="4671" w:type="dxa"/>
          </w:tcPr>
          <w:p w14:paraId="360D1B38" w14:textId="77777777" w:rsidR="00CA3C5B" w:rsidRDefault="00260033" w:rsidP="00EA2FFA">
            <w:pPr>
              <w:pStyle w:val="TableCopy"/>
            </w:pPr>
            <w:r>
              <w:t>Attendances</w:t>
            </w:r>
            <w:r w:rsidR="00932420">
              <w:t xml:space="preserve"> </w:t>
            </w:r>
            <w:r>
              <w:t>at</w:t>
            </w:r>
            <w:r w:rsidR="00932420">
              <w:t xml:space="preserve"> </w:t>
            </w:r>
            <w:r>
              <w:t>Museums</w:t>
            </w:r>
            <w:r w:rsidR="00932420">
              <w:t xml:space="preserve"> </w:t>
            </w:r>
            <w:r>
              <w:t>Victoria</w:t>
            </w:r>
          </w:p>
          <w:p w14:paraId="3309DC66" w14:textId="48926285" w:rsidR="00EA2FFA" w:rsidRPr="00EA2FFA" w:rsidRDefault="00EA2FFA" w:rsidP="00EA2FFA">
            <w:pPr>
              <w:pStyle w:val="TableCopy"/>
              <w:rPr>
                <w:i/>
                <w:iCs/>
              </w:rPr>
            </w:pPr>
            <w:r w:rsidRPr="00EA2FFA">
              <w:rPr>
                <w:i/>
                <w:iCs/>
              </w:rPr>
              <w:t>Higher result due to strong attendance at new attractions and exhibitions.</w:t>
            </w:r>
          </w:p>
        </w:tc>
        <w:tc>
          <w:tcPr>
            <w:tcW w:w="1136" w:type="dxa"/>
          </w:tcPr>
          <w:p w14:paraId="1C59114B" w14:textId="60CA6A7D" w:rsidR="00CA3C5B" w:rsidRDefault="00260033" w:rsidP="00EA2FFA">
            <w:pPr>
              <w:pStyle w:val="TableCopy"/>
            </w:pPr>
            <w:r>
              <w:t>number</w:t>
            </w:r>
            <w:r w:rsidR="00932420">
              <w:t xml:space="preserve"> </w:t>
            </w:r>
            <w:r>
              <w:t>(000)</w:t>
            </w:r>
          </w:p>
        </w:tc>
        <w:tc>
          <w:tcPr>
            <w:tcW w:w="992" w:type="dxa"/>
          </w:tcPr>
          <w:p w14:paraId="1FF934BA" w14:textId="77777777" w:rsidR="00CA3C5B" w:rsidRDefault="00260033" w:rsidP="003E4F57">
            <w:pPr>
              <w:pStyle w:val="TableCopy"/>
              <w:jc w:val="right"/>
            </w:pPr>
            <w:r>
              <w:t>2,240</w:t>
            </w:r>
          </w:p>
        </w:tc>
        <w:tc>
          <w:tcPr>
            <w:tcW w:w="993" w:type="dxa"/>
          </w:tcPr>
          <w:p w14:paraId="36688C2D" w14:textId="77777777" w:rsidR="00CA3C5B" w:rsidRDefault="00260033" w:rsidP="003E4F57">
            <w:pPr>
              <w:pStyle w:val="TableCopy"/>
              <w:jc w:val="right"/>
            </w:pPr>
            <w:r>
              <w:t>2,000</w:t>
            </w:r>
          </w:p>
        </w:tc>
        <w:tc>
          <w:tcPr>
            <w:tcW w:w="1428" w:type="dxa"/>
          </w:tcPr>
          <w:p w14:paraId="63D6748F" w14:textId="77777777" w:rsidR="00CA3C5B" w:rsidRDefault="00260033" w:rsidP="003E4F57">
            <w:pPr>
              <w:pStyle w:val="TableCopy"/>
              <w:jc w:val="right"/>
            </w:pPr>
            <w:r>
              <w:t>12.0%</w:t>
            </w:r>
          </w:p>
        </w:tc>
        <w:tc>
          <w:tcPr>
            <w:tcW w:w="770" w:type="dxa"/>
          </w:tcPr>
          <w:p w14:paraId="35428677" w14:textId="7FE0C76D" w:rsidR="00CA3C5B" w:rsidRDefault="003E4F57" w:rsidP="003E4F57">
            <w:pPr>
              <w:pStyle w:val="TableCopy"/>
              <w:jc w:val="right"/>
            </w:pPr>
            <w:r w:rsidRPr="003E4F57">
              <w:t>1</w:t>
            </w:r>
          </w:p>
        </w:tc>
      </w:tr>
      <w:tr w:rsidR="00CA3C5B" w14:paraId="2A8A04E0" w14:textId="77777777" w:rsidTr="00260033">
        <w:trPr>
          <w:cantSplit/>
        </w:trPr>
        <w:tc>
          <w:tcPr>
            <w:tcW w:w="4671" w:type="dxa"/>
          </w:tcPr>
          <w:p w14:paraId="6A677FAA" w14:textId="77777777" w:rsidR="00CA3C5B" w:rsidRDefault="00260033" w:rsidP="00EA2FFA">
            <w:pPr>
              <w:pStyle w:val="TableCopy"/>
            </w:pPr>
            <w:r>
              <w:t>Attendances</w:t>
            </w:r>
            <w:r w:rsidR="00932420">
              <w:t xml:space="preserve"> </w:t>
            </w:r>
            <w:r>
              <w:t>at</w:t>
            </w:r>
            <w:r w:rsidR="00932420">
              <w:t xml:space="preserve"> </w:t>
            </w:r>
            <w:r>
              <w:t>National</w:t>
            </w:r>
            <w:r w:rsidR="00932420">
              <w:t xml:space="preserve"> </w:t>
            </w:r>
            <w:r>
              <w:t>Gallery</w:t>
            </w:r>
            <w:r w:rsidR="00932420">
              <w:t xml:space="preserve"> </w:t>
            </w:r>
            <w:r>
              <w:t>of</w:t>
            </w:r>
            <w:r w:rsidR="00932420">
              <w:t xml:space="preserve"> </w:t>
            </w:r>
            <w:r>
              <w:t>Victoria</w:t>
            </w:r>
          </w:p>
          <w:p w14:paraId="5AD813F9" w14:textId="3CACEF8E" w:rsidR="00EA2FFA" w:rsidRPr="00EA2FFA" w:rsidRDefault="00EA2FFA" w:rsidP="00EA2FFA">
            <w:pPr>
              <w:pStyle w:val="TableCopy"/>
              <w:rPr>
                <w:i/>
                <w:iCs/>
              </w:rPr>
            </w:pPr>
            <w:r w:rsidRPr="00EA2FFA">
              <w:rPr>
                <w:i/>
                <w:iCs/>
              </w:rPr>
              <w:t>Higher result due to successful major exhibitions including Melbourne Now.</w:t>
            </w:r>
          </w:p>
        </w:tc>
        <w:tc>
          <w:tcPr>
            <w:tcW w:w="1136" w:type="dxa"/>
          </w:tcPr>
          <w:p w14:paraId="2E8321B5" w14:textId="02507550" w:rsidR="00CA3C5B" w:rsidRDefault="00260033" w:rsidP="00EA2FFA">
            <w:pPr>
              <w:pStyle w:val="TableCopy"/>
            </w:pPr>
            <w:r>
              <w:t>number</w:t>
            </w:r>
            <w:r w:rsidR="00932420">
              <w:t xml:space="preserve"> </w:t>
            </w:r>
            <w:r>
              <w:t>(000)</w:t>
            </w:r>
          </w:p>
        </w:tc>
        <w:tc>
          <w:tcPr>
            <w:tcW w:w="992" w:type="dxa"/>
          </w:tcPr>
          <w:p w14:paraId="77B0E5F5" w14:textId="77777777" w:rsidR="00CA3C5B" w:rsidRDefault="00260033" w:rsidP="003E4F57">
            <w:pPr>
              <w:pStyle w:val="TableCopy"/>
              <w:jc w:val="right"/>
            </w:pPr>
            <w:r>
              <w:t>2,461</w:t>
            </w:r>
          </w:p>
        </w:tc>
        <w:tc>
          <w:tcPr>
            <w:tcW w:w="993" w:type="dxa"/>
          </w:tcPr>
          <w:p w14:paraId="5872D39A" w14:textId="77777777" w:rsidR="00CA3C5B" w:rsidRDefault="00260033" w:rsidP="003E4F57">
            <w:pPr>
              <w:pStyle w:val="TableCopy"/>
              <w:jc w:val="right"/>
            </w:pPr>
            <w:r>
              <w:t>2,235</w:t>
            </w:r>
          </w:p>
        </w:tc>
        <w:tc>
          <w:tcPr>
            <w:tcW w:w="1428" w:type="dxa"/>
          </w:tcPr>
          <w:p w14:paraId="482C8E7D" w14:textId="77777777" w:rsidR="00CA3C5B" w:rsidRDefault="00260033" w:rsidP="003E4F57">
            <w:pPr>
              <w:pStyle w:val="TableCopy"/>
              <w:jc w:val="right"/>
            </w:pPr>
            <w:r>
              <w:t>10.1%</w:t>
            </w:r>
          </w:p>
        </w:tc>
        <w:tc>
          <w:tcPr>
            <w:tcW w:w="770" w:type="dxa"/>
          </w:tcPr>
          <w:p w14:paraId="70633F8D" w14:textId="20B962BD" w:rsidR="00CA3C5B" w:rsidRDefault="003E4F57" w:rsidP="003E4F57">
            <w:pPr>
              <w:pStyle w:val="TableCopy"/>
              <w:jc w:val="right"/>
            </w:pPr>
            <w:r w:rsidRPr="003E4F57">
              <w:t>1</w:t>
            </w:r>
          </w:p>
        </w:tc>
      </w:tr>
      <w:tr w:rsidR="00CA3C5B" w14:paraId="20885ED9" w14:textId="77777777" w:rsidTr="00260033">
        <w:trPr>
          <w:cantSplit/>
        </w:trPr>
        <w:tc>
          <w:tcPr>
            <w:tcW w:w="4671" w:type="dxa"/>
          </w:tcPr>
          <w:p w14:paraId="22E0BDF9" w14:textId="77777777" w:rsidR="00CA3C5B" w:rsidRDefault="00260033" w:rsidP="00EA2FFA">
            <w:pPr>
              <w:pStyle w:val="TableCopy"/>
            </w:pPr>
            <w:r>
              <w:t>Attendances</w:t>
            </w:r>
            <w:r w:rsidR="00932420">
              <w:t xml:space="preserve"> </w:t>
            </w:r>
            <w:r>
              <w:t>at</w:t>
            </w:r>
            <w:r w:rsidR="00932420">
              <w:t xml:space="preserve"> </w:t>
            </w:r>
            <w:r>
              <w:t>State</w:t>
            </w:r>
            <w:r w:rsidR="00932420">
              <w:t xml:space="preserve"> </w:t>
            </w:r>
            <w:r>
              <w:t>Library</w:t>
            </w:r>
            <w:r w:rsidR="00932420">
              <w:t xml:space="preserve"> </w:t>
            </w:r>
            <w:r>
              <w:t>Victoria</w:t>
            </w:r>
          </w:p>
          <w:p w14:paraId="423BC4D6" w14:textId="6D0F289F" w:rsidR="00EA2FFA" w:rsidRPr="00EA2FFA" w:rsidRDefault="00EA2FFA" w:rsidP="00EA2FFA">
            <w:pPr>
              <w:pStyle w:val="TableCopy"/>
              <w:rPr>
                <w:i/>
                <w:iCs/>
              </w:rPr>
            </w:pPr>
            <w:r w:rsidRPr="00EA2FFA">
              <w:rPr>
                <w:i/>
                <w:iCs/>
              </w:rPr>
              <w:t>Lower result due to continuing recovery from impacts of COVID-19 in the first half of 2022–23. This result still represents record visitation for State Library Victoria.</w:t>
            </w:r>
          </w:p>
        </w:tc>
        <w:tc>
          <w:tcPr>
            <w:tcW w:w="1136" w:type="dxa"/>
          </w:tcPr>
          <w:p w14:paraId="09FB231B" w14:textId="34B076FE" w:rsidR="00CA3C5B" w:rsidRDefault="00260033" w:rsidP="00EA2FFA">
            <w:pPr>
              <w:pStyle w:val="TableCopy"/>
            </w:pPr>
            <w:r>
              <w:t>number</w:t>
            </w:r>
            <w:r w:rsidR="00932420">
              <w:t xml:space="preserve"> </w:t>
            </w:r>
            <w:r>
              <w:t>(000)</w:t>
            </w:r>
          </w:p>
        </w:tc>
        <w:tc>
          <w:tcPr>
            <w:tcW w:w="992" w:type="dxa"/>
          </w:tcPr>
          <w:p w14:paraId="027E82BA" w14:textId="77777777" w:rsidR="00CA3C5B" w:rsidRDefault="00260033" w:rsidP="003E4F57">
            <w:pPr>
              <w:pStyle w:val="TableCopy"/>
              <w:jc w:val="right"/>
            </w:pPr>
            <w:r>
              <w:t>2,113</w:t>
            </w:r>
          </w:p>
        </w:tc>
        <w:tc>
          <w:tcPr>
            <w:tcW w:w="993" w:type="dxa"/>
          </w:tcPr>
          <w:p w14:paraId="4A69CAB9" w14:textId="77777777" w:rsidR="00CA3C5B" w:rsidRDefault="00260033" w:rsidP="003E4F57">
            <w:pPr>
              <w:pStyle w:val="TableCopy"/>
              <w:jc w:val="right"/>
            </w:pPr>
            <w:r>
              <w:t>2,250</w:t>
            </w:r>
          </w:p>
        </w:tc>
        <w:tc>
          <w:tcPr>
            <w:tcW w:w="1428" w:type="dxa"/>
          </w:tcPr>
          <w:p w14:paraId="5792FB0B" w14:textId="77777777" w:rsidR="00CA3C5B" w:rsidRDefault="00260033" w:rsidP="003E4F57">
            <w:pPr>
              <w:pStyle w:val="TableCopy"/>
              <w:jc w:val="right"/>
            </w:pPr>
            <w:r>
              <w:t>-6.1%</w:t>
            </w:r>
          </w:p>
        </w:tc>
        <w:tc>
          <w:tcPr>
            <w:tcW w:w="770" w:type="dxa"/>
          </w:tcPr>
          <w:p w14:paraId="3CB5ABB0" w14:textId="03EB2B54" w:rsidR="00CA3C5B" w:rsidRDefault="003E4F57" w:rsidP="003E4F57">
            <w:pPr>
              <w:pStyle w:val="TableCopy"/>
              <w:jc w:val="right"/>
            </w:pPr>
            <w:r>
              <w:t>3</w:t>
            </w:r>
          </w:p>
        </w:tc>
      </w:tr>
      <w:tr w:rsidR="00CA3C5B" w14:paraId="12C0885B" w14:textId="77777777" w:rsidTr="00260033">
        <w:trPr>
          <w:cantSplit/>
        </w:trPr>
        <w:tc>
          <w:tcPr>
            <w:tcW w:w="4671" w:type="dxa"/>
          </w:tcPr>
          <w:p w14:paraId="7E52C16C" w14:textId="77777777" w:rsidR="00CA3C5B" w:rsidRDefault="00260033" w:rsidP="00EA2FFA">
            <w:pPr>
              <w:pStyle w:val="TableCopy"/>
            </w:pPr>
            <w:r>
              <w:lastRenderedPageBreak/>
              <w:t>Direct</w:t>
            </w:r>
            <w:r w:rsidR="00932420">
              <w:t xml:space="preserve"> </w:t>
            </w:r>
            <w:r>
              <w:t>Full-Time</w:t>
            </w:r>
            <w:r w:rsidR="00932420">
              <w:t xml:space="preserve"> </w:t>
            </w:r>
            <w:r>
              <w:t>Equivalent</w:t>
            </w:r>
            <w:r w:rsidR="00932420">
              <w:t xml:space="preserve"> </w:t>
            </w:r>
            <w:r>
              <w:t>(FTE)</w:t>
            </w:r>
            <w:r w:rsidR="00932420">
              <w:t xml:space="preserve"> </w:t>
            </w:r>
            <w:r>
              <w:t>roles</w:t>
            </w:r>
            <w:r w:rsidR="00932420">
              <w:t xml:space="preserve"> </w:t>
            </w:r>
            <w:r>
              <w:t>from</w:t>
            </w:r>
            <w:r w:rsidR="00932420">
              <w:t xml:space="preserve"> </w:t>
            </w:r>
            <w:r>
              <w:t>production</w:t>
            </w:r>
            <w:r w:rsidR="00932420">
              <w:t xml:space="preserve"> </w:t>
            </w:r>
            <w:r>
              <w:t>supported</w:t>
            </w:r>
            <w:r w:rsidR="00932420">
              <w:t xml:space="preserve"> </w:t>
            </w:r>
            <w:r>
              <w:t>by</w:t>
            </w:r>
            <w:r w:rsidR="00932420">
              <w:t xml:space="preserve"> </w:t>
            </w:r>
            <w:r>
              <w:t>Vic</w:t>
            </w:r>
            <w:r w:rsidR="00932420">
              <w:t xml:space="preserve"> </w:t>
            </w:r>
            <w:r>
              <w:t>Screen</w:t>
            </w:r>
          </w:p>
          <w:p w14:paraId="095CCFEA" w14:textId="3140E16A" w:rsidR="00EA2FFA" w:rsidRPr="00EA2FFA" w:rsidRDefault="00EA2FFA" w:rsidP="00EA2FFA">
            <w:pPr>
              <w:pStyle w:val="TableCopy"/>
              <w:rPr>
                <w:i/>
                <w:iCs/>
              </w:rPr>
            </w:pPr>
            <w:r w:rsidRPr="00EA2FFA">
              <w:rPr>
                <w:i/>
                <w:iCs/>
              </w:rPr>
              <w:t>Higher result due to the number of high value productions, features and series secured.</w:t>
            </w:r>
          </w:p>
        </w:tc>
        <w:tc>
          <w:tcPr>
            <w:tcW w:w="1136" w:type="dxa"/>
          </w:tcPr>
          <w:p w14:paraId="48A0FF0D" w14:textId="77777777" w:rsidR="00CA3C5B" w:rsidRDefault="00260033" w:rsidP="00EA2FFA">
            <w:pPr>
              <w:pStyle w:val="TableCopy"/>
            </w:pPr>
            <w:r>
              <w:t>number</w:t>
            </w:r>
          </w:p>
        </w:tc>
        <w:tc>
          <w:tcPr>
            <w:tcW w:w="992" w:type="dxa"/>
          </w:tcPr>
          <w:p w14:paraId="636574A8" w14:textId="77777777" w:rsidR="00CA3C5B" w:rsidRDefault="00260033" w:rsidP="003E4F57">
            <w:pPr>
              <w:pStyle w:val="TableCopy"/>
              <w:jc w:val="right"/>
            </w:pPr>
            <w:r>
              <w:t>3,231</w:t>
            </w:r>
          </w:p>
        </w:tc>
        <w:tc>
          <w:tcPr>
            <w:tcW w:w="993" w:type="dxa"/>
          </w:tcPr>
          <w:p w14:paraId="46393031" w14:textId="77777777" w:rsidR="00CA3C5B" w:rsidRDefault="00260033" w:rsidP="003E4F57">
            <w:pPr>
              <w:pStyle w:val="TableCopy"/>
              <w:jc w:val="right"/>
            </w:pPr>
            <w:r>
              <w:t>2,335</w:t>
            </w:r>
          </w:p>
        </w:tc>
        <w:tc>
          <w:tcPr>
            <w:tcW w:w="1428" w:type="dxa"/>
          </w:tcPr>
          <w:p w14:paraId="1AFA9581" w14:textId="77777777" w:rsidR="00CA3C5B" w:rsidRDefault="00260033" w:rsidP="003E4F57">
            <w:pPr>
              <w:pStyle w:val="TableCopy"/>
              <w:jc w:val="right"/>
            </w:pPr>
            <w:r>
              <w:t>38.4%</w:t>
            </w:r>
          </w:p>
        </w:tc>
        <w:tc>
          <w:tcPr>
            <w:tcW w:w="770" w:type="dxa"/>
          </w:tcPr>
          <w:p w14:paraId="1A463734" w14:textId="408B04EF" w:rsidR="00CA3C5B" w:rsidRDefault="003E4F57" w:rsidP="003E4F57">
            <w:pPr>
              <w:pStyle w:val="TableCopy"/>
              <w:jc w:val="right"/>
            </w:pPr>
            <w:r w:rsidRPr="003E4F57">
              <w:t>1</w:t>
            </w:r>
          </w:p>
        </w:tc>
      </w:tr>
      <w:tr w:rsidR="00CA3C5B" w14:paraId="250CBA98" w14:textId="77777777" w:rsidTr="00260033">
        <w:trPr>
          <w:cantSplit/>
        </w:trPr>
        <w:tc>
          <w:tcPr>
            <w:tcW w:w="4671" w:type="dxa"/>
          </w:tcPr>
          <w:p w14:paraId="16D9B311" w14:textId="0CA38721" w:rsidR="00CA3C5B" w:rsidRDefault="00260033" w:rsidP="00EA2FFA">
            <w:pPr>
              <w:pStyle w:val="TableCopy"/>
            </w:pPr>
            <w:r>
              <w:t>Members</w:t>
            </w:r>
            <w:r w:rsidR="00932420">
              <w:t xml:space="preserve"> </w:t>
            </w:r>
            <w:r>
              <w:t>and</w:t>
            </w:r>
            <w:r w:rsidR="00932420">
              <w:t xml:space="preserve"> </w:t>
            </w:r>
            <w:r>
              <w:t>friends</w:t>
            </w:r>
            <w:r w:rsidR="00932420">
              <w:t xml:space="preserve"> </w:t>
            </w:r>
            <w:r>
              <w:t>of</w:t>
            </w:r>
            <w:r w:rsidR="00932420">
              <w:t xml:space="preserve"> </w:t>
            </w:r>
            <w:r>
              <w:t>agencies</w:t>
            </w:r>
          </w:p>
        </w:tc>
        <w:tc>
          <w:tcPr>
            <w:tcW w:w="1136" w:type="dxa"/>
          </w:tcPr>
          <w:p w14:paraId="38B7581C" w14:textId="77777777" w:rsidR="00CA3C5B" w:rsidRDefault="00260033" w:rsidP="00EA2FFA">
            <w:pPr>
              <w:pStyle w:val="TableCopy"/>
            </w:pPr>
            <w:r>
              <w:t>number</w:t>
            </w:r>
          </w:p>
        </w:tc>
        <w:tc>
          <w:tcPr>
            <w:tcW w:w="992" w:type="dxa"/>
          </w:tcPr>
          <w:p w14:paraId="6CBC0834" w14:textId="77777777" w:rsidR="00CA3C5B" w:rsidRDefault="00260033" w:rsidP="003E4F57">
            <w:pPr>
              <w:pStyle w:val="TableCopy"/>
              <w:jc w:val="right"/>
            </w:pPr>
            <w:r>
              <w:t>55,239</w:t>
            </w:r>
          </w:p>
        </w:tc>
        <w:tc>
          <w:tcPr>
            <w:tcW w:w="993" w:type="dxa"/>
          </w:tcPr>
          <w:p w14:paraId="0493B186" w14:textId="77777777" w:rsidR="00CA3C5B" w:rsidRDefault="00260033" w:rsidP="003E4F57">
            <w:pPr>
              <w:pStyle w:val="TableCopy"/>
              <w:jc w:val="right"/>
            </w:pPr>
            <w:r>
              <w:t>57,000</w:t>
            </w:r>
          </w:p>
        </w:tc>
        <w:tc>
          <w:tcPr>
            <w:tcW w:w="1428" w:type="dxa"/>
          </w:tcPr>
          <w:p w14:paraId="310E1442" w14:textId="77777777" w:rsidR="00CA3C5B" w:rsidRDefault="00260033" w:rsidP="003E4F57">
            <w:pPr>
              <w:pStyle w:val="TableCopy"/>
              <w:jc w:val="right"/>
            </w:pPr>
            <w:r>
              <w:t>-3.1%</w:t>
            </w:r>
          </w:p>
        </w:tc>
        <w:tc>
          <w:tcPr>
            <w:tcW w:w="770" w:type="dxa"/>
          </w:tcPr>
          <w:p w14:paraId="042BF2C2" w14:textId="7E346B6B" w:rsidR="00CA3C5B" w:rsidRDefault="003E4F57" w:rsidP="003E4F57">
            <w:pPr>
              <w:pStyle w:val="TableCopy"/>
              <w:jc w:val="right"/>
            </w:pPr>
            <w:r>
              <w:t>2</w:t>
            </w:r>
          </w:p>
        </w:tc>
      </w:tr>
      <w:tr w:rsidR="00CA3C5B" w14:paraId="6DAF0287" w14:textId="77777777" w:rsidTr="00260033">
        <w:trPr>
          <w:cantSplit/>
        </w:trPr>
        <w:tc>
          <w:tcPr>
            <w:tcW w:w="4671" w:type="dxa"/>
          </w:tcPr>
          <w:p w14:paraId="6D0348FD" w14:textId="77777777" w:rsidR="00CA3C5B" w:rsidRDefault="00260033" w:rsidP="00EA2FFA">
            <w:pPr>
              <w:pStyle w:val="TableCopy"/>
            </w:pPr>
            <w:r>
              <w:t>Students</w:t>
            </w:r>
            <w:r w:rsidR="00932420">
              <w:t xml:space="preserve"> </w:t>
            </w:r>
            <w:r>
              <w:t>participating</w:t>
            </w:r>
            <w:r w:rsidR="00932420">
              <w:t xml:space="preserve"> </w:t>
            </w:r>
            <w:r>
              <w:t>in</w:t>
            </w:r>
            <w:r w:rsidR="00932420">
              <w:t xml:space="preserve"> </w:t>
            </w:r>
            <w:r>
              <w:t>agency</w:t>
            </w:r>
            <w:r w:rsidR="00932420">
              <w:t xml:space="preserve"> </w:t>
            </w:r>
            <w:r>
              <w:t>education</w:t>
            </w:r>
            <w:r w:rsidR="00932420">
              <w:t xml:space="preserve"> </w:t>
            </w:r>
            <w:r>
              <w:t>programs</w:t>
            </w:r>
          </w:p>
          <w:p w14:paraId="745F22F2" w14:textId="090B7D82" w:rsidR="00663CE3" w:rsidRPr="00663CE3" w:rsidRDefault="00663CE3" w:rsidP="00EA2FFA">
            <w:pPr>
              <w:pStyle w:val="TableCopy"/>
              <w:rPr>
                <w:i/>
                <w:iCs/>
              </w:rPr>
            </w:pPr>
            <w:r w:rsidRPr="00663CE3">
              <w:rPr>
                <w:i/>
                <w:iCs/>
              </w:rPr>
              <w:t>Higher result reflecting increased confidence in schools resuming onsite excursions and increased access to online events.</w:t>
            </w:r>
          </w:p>
        </w:tc>
        <w:tc>
          <w:tcPr>
            <w:tcW w:w="1136" w:type="dxa"/>
          </w:tcPr>
          <w:p w14:paraId="00CC93EE" w14:textId="77777777" w:rsidR="00CA3C5B" w:rsidRDefault="00260033" w:rsidP="00EA2FFA">
            <w:pPr>
              <w:pStyle w:val="TableCopy"/>
            </w:pPr>
            <w:r>
              <w:t>number</w:t>
            </w:r>
          </w:p>
        </w:tc>
        <w:tc>
          <w:tcPr>
            <w:tcW w:w="992" w:type="dxa"/>
          </w:tcPr>
          <w:p w14:paraId="4353C83C" w14:textId="77777777" w:rsidR="00CA3C5B" w:rsidRDefault="00260033" w:rsidP="003E4F57">
            <w:pPr>
              <w:pStyle w:val="TableCopy"/>
              <w:jc w:val="right"/>
            </w:pPr>
            <w:r>
              <w:t>613,614</w:t>
            </w:r>
          </w:p>
        </w:tc>
        <w:tc>
          <w:tcPr>
            <w:tcW w:w="993" w:type="dxa"/>
          </w:tcPr>
          <w:p w14:paraId="0035772D" w14:textId="77777777" w:rsidR="00CA3C5B" w:rsidRDefault="00260033" w:rsidP="003E4F57">
            <w:pPr>
              <w:pStyle w:val="TableCopy"/>
              <w:jc w:val="right"/>
            </w:pPr>
            <w:r>
              <w:t>550,000</w:t>
            </w:r>
          </w:p>
        </w:tc>
        <w:tc>
          <w:tcPr>
            <w:tcW w:w="1428" w:type="dxa"/>
          </w:tcPr>
          <w:p w14:paraId="1E299BF8" w14:textId="77777777" w:rsidR="00CA3C5B" w:rsidRDefault="00260033" w:rsidP="003E4F57">
            <w:pPr>
              <w:pStyle w:val="TableCopy"/>
              <w:jc w:val="right"/>
            </w:pPr>
            <w:r>
              <w:t>11.6%</w:t>
            </w:r>
          </w:p>
        </w:tc>
        <w:tc>
          <w:tcPr>
            <w:tcW w:w="770" w:type="dxa"/>
          </w:tcPr>
          <w:p w14:paraId="3D51296D" w14:textId="7F8F0F6A" w:rsidR="00CA3C5B" w:rsidRDefault="003E4F57" w:rsidP="003E4F57">
            <w:pPr>
              <w:pStyle w:val="TableCopy"/>
              <w:jc w:val="right"/>
            </w:pPr>
            <w:r w:rsidRPr="003E4F57">
              <w:t>1</w:t>
            </w:r>
          </w:p>
        </w:tc>
      </w:tr>
      <w:tr w:rsidR="00CA3C5B" w14:paraId="217E56D2" w14:textId="77777777" w:rsidTr="00260033">
        <w:trPr>
          <w:cantSplit/>
        </w:trPr>
        <w:tc>
          <w:tcPr>
            <w:tcW w:w="4671" w:type="dxa"/>
          </w:tcPr>
          <w:p w14:paraId="6060114C" w14:textId="77777777" w:rsidR="00CA3C5B" w:rsidRDefault="00260033" w:rsidP="00EA2FFA">
            <w:pPr>
              <w:pStyle w:val="TableCopy"/>
            </w:pPr>
            <w:r>
              <w:t>Value</w:t>
            </w:r>
            <w:r w:rsidR="00932420">
              <w:t xml:space="preserve"> </w:t>
            </w:r>
            <w:r>
              <w:t>of</w:t>
            </w:r>
            <w:r w:rsidR="00932420">
              <w:t xml:space="preserve"> </w:t>
            </w:r>
            <w:r>
              <w:t>film,</w:t>
            </w:r>
            <w:r w:rsidR="00932420">
              <w:t xml:space="preserve"> </w:t>
            </w:r>
            <w:r>
              <w:t>television</w:t>
            </w:r>
            <w:r w:rsidR="00932420">
              <w:t xml:space="preserve"> </w:t>
            </w:r>
            <w:r>
              <w:t>and</w:t>
            </w:r>
            <w:r w:rsidR="00932420">
              <w:t xml:space="preserve"> </w:t>
            </w:r>
            <w:r>
              <w:t>digital</w:t>
            </w:r>
            <w:r w:rsidR="00932420">
              <w:t xml:space="preserve"> </w:t>
            </w:r>
            <w:r>
              <w:t>media</w:t>
            </w:r>
            <w:r w:rsidR="00932420">
              <w:t xml:space="preserve"> </w:t>
            </w:r>
            <w:r>
              <w:t>production</w:t>
            </w:r>
            <w:r w:rsidR="00932420">
              <w:t xml:space="preserve"> </w:t>
            </w:r>
            <w:r>
              <w:t>supported</w:t>
            </w:r>
            <w:r w:rsidR="00932420">
              <w:t xml:space="preserve"> </w:t>
            </w:r>
            <w:r>
              <w:t>by</w:t>
            </w:r>
            <w:r w:rsidR="00932420">
              <w:t xml:space="preserve"> </w:t>
            </w:r>
            <w:r>
              <w:t>Vic</w:t>
            </w:r>
            <w:r w:rsidR="00932420">
              <w:t xml:space="preserve"> </w:t>
            </w:r>
            <w:r>
              <w:t>Screen</w:t>
            </w:r>
          </w:p>
          <w:p w14:paraId="46A42146" w14:textId="3FEE9AEC" w:rsidR="00663CE3" w:rsidRPr="00663CE3" w:rsidRDefault="00663CE3" w:rsidP="00EA2FFA">
            <w:pPr>
              <w:pStyle w:val="TableCopy"/>
              <w:rPr>
                <w:i/>
                <w:iCs/>
              </w:rPr>
            </w:pPr>
            <w:r w:rsidRPr="00663CE3">
              <w:rPr>
                <w:i/>
                <w:iCs/>
              </w:rPr>
              <w:t>Higher result due to the number of high value productions, features and series secured.</w:t>
            </w:r>
          </w:p>
        </w:tc>
        <w:tc>
          <w:tcPr>
            <w:tcW w:w="1136" w:type="dxa"/>
          </w:tcPr>
          <w:p w14:paraId="219D46B5" w14:textId="62E73374" w:rsidR="00CA3C5B" w:rsidRDefault="00260033" w:rsidP="00EA2FFA">
            <w:pPr>
              <w:pStyle w:val="TableCopy"/>
            </w:pPr>
            <w:r>
              <w:t>$</w:t>
            </w:r>
            <w:r w:rsidR="00932420">
              <w:t xml:space="preserve"> </w:t>
            </w:r>
            <w:r>
              <w:t>million</w:t>
            </w:r>
          </w:p>
        </w:tc>
        <w:tc>
          <w:tcPr>
            <w:tcW w:w="992" w:type="dxa"/>
          </w:tcPr>
          <w:p w14:paraId="29AE6426" w14:textId="77777777" w:rsidR="00CA3C5B" w:rsidRDefault="00260033" w:rsidP="003E4F57">
            <w:pPr>
              <w:pStyle w:val="TableCopy"/>
              <w:jc w:val="right"/>
            </w:pPr>
            <w:r>
              <w:t>421</w:t>
            </w:r>
          </w:p>
        </w:tc>
        <w:tc>
          <w:tcPr>
            <w:tcW w:w="993" w:type="dxa"/>
          </w:tcPr>
          <w:p w14:paraId="2244C9D7" w14:textId="77777777" w:rsidR="00CA3C5B" w:rsidRDefault="00260033" w:rsidP="003E4F57">
            <w:pPr>
              <w:pStyle w:val="TableCopy"/>
              <w:jc w:val="right"/>
            </w:pPr>
            <w:r>
              <w:t>350</w:t>
            </w:r>
          </w:p>
        </w:tc>
        <w:tc>
          <w:tcPr>
            <w:tcW w:w="1428" w:type="dxa"/>
          </w:tcPr>
          <w:p w14:paraId="4400143F" w14:textId="77777777" w:rsidR="00CA3C5B" w:rsidRDefault="00260033" w:rsidP="003E4F57">
            <w:pPr>
              <w:pStyle w:val="TableCopy"/>
              <w:jc w:val="right"/>
            </w:pPr>
            <w:r>
              <w:t>20.3%</w:t>
            </w:r>
          </w:p>
        </w:tc>
        <w:tc>
          <w:tcPr>
            <w:tcW w:w="770" w:type="dxa"/>
          </w:tcPr>
          <w:p w14:paraId="5215983E" w14:textId="3205B68E" w:rsidR="00CA3C5B" w:rsidRDefault="003E4F57" w:rsidP="003E4F57">
            <w:pPr>
              <w:pStyle w:val="TableCopy"/>
              <w:jc w:val="right"/>
            </w:pPr>
            <w:r w:rsidRPr="003E4F57">
              <w:t>1</w:t>
            </w:r>
          </w:p>
        </w:tc>
      </w:tr>
      <w:tr w:rsidR="00CA3C5B" w14:paraId="24DE8AFC" w14:textId="77777777" w:rsidTr="00260033">
        <w:trPr>
          <w:cantSplit/>
        </w:trPr>
        <w:tc>
          <w:tcPr>
            <w:tcW w:w="4671" w:type="dxa"/>
          </w:tcPr>
          <w:p w14:paraId="104A31A7" w14:textId="77777777" w:rsidR="00CA3C5B" w:rsidRDefault="00260033" w:rsidP="00EA2FFA">
            <w:pPr>
              <w:pStyle w:val="TableCopy"/>
            </w:pPr>
            <w:r>
              <w:t>Volunteer</w:t>
            </w:r>
            <w:r w:rsidR="00932420">
              <w:t xml:space="preserve"> </w:t>
            </w:r>
            <w:r>
              <w:t>hours</w:t>
            </w:r>
          </w:p>
          <w:p w14:paraId="3E65826A" w14:textId="2AC263FD" w:rsidR="00663CE3" w:rsidRPr="00663CE3" w:rsidRDefault="00663CE3" w:rsidP="00EA2FFA">
            <w:pPr>
              <w:pStyle w:val="TableCopy"/>
              <w:rPr>
                <w:i/>
                <w:iCs/>
              </w:rPr>
            </w:pPr>
            <w:r w:rsidRPr="00663CE3">
              <w:rPr>
                <w:i/>
                <w:iCs/>
              </w:rPr>
              <w:t>Lower result due to program delivery changes and slow recovery of volunteer work following COVID-19 closures.</w:t>
            </w:r>
          </w:p>
        </w:tc>
        <w:tc>
          <w:tcPr>
            <w:tcW w:w="1136" w:type="dxa"/>
          </w:tcPr>
          <w:p w14:paraId="5748E051" w14:textId="77777777" w:rsidR="00CA3C5B" w:rsidRDefault="00260033" w:rsidP="00EA2FFA">
            <w:pPr>
              <w:pStyle w:val="TableCopy"/>
            </w:pPr>
            <w:r>
              <w:t>number</w:t>
            </w:r>
          </w:p>
        </w:tc>
        <w:tc>
          <w:tcPr>
            <w:tcW w:w="992" w:type="dxa"/>
          </w:tcPr>
          <w:p w14:paraId="21D26C07" w14:textId="77777777" w:rsidR="00CA3C5B" w:rsidRDefault="00260033" w:rsidP="003E4F57">
            <w:pPr>
              <w:pStyle w:val="TableCopy"/>
              <w:jc w:val="right"/>
            </w:pPr>
            <w:r>
              <w:t>54,286</w:t>
            </w:r>
          </w:p>
        </w:tc>
        <w:tc>
          <w:tcPr>
            <w:tcW w:w="993" w:type="dxa"/>
          </w:tcPr>
          <w:p w14:paraId="208711E6" w14:textId="77777777" w:rsidR="00CA3C5B" w:rsidRDefault="00260033" w:rsidP="003E4F57">
            <w:pPr>
              <w:pStyle w:val="TableCopy"/>
              <w:jc w:val="right"/>
            </w:pPr>
            <w:r>
              <w:t>98,900</w:t>
            </w:r>
          </w:p>
        </w:tc>
        <w:tc>
          <w:tcPr>
            <w:tcW w:w="1428" w:type="dxa"/>
          </w:tcPr>
          <w:p w14:paraId="78C677B9" w14:textId="77777777" w:rsidR="00CA3C5B" w:rsidRDefault="00260033" w:rsidP="003E4F57">
            <w:pPr>
              <w:pStyle w:val="TableCopy"/>
              <w:jc w:val="right"/>
            </w:pPr>
            <w:r>
              <w:t>-45.1%</w:t>
            </w:r>
          </w:p>
        </w:tc>
        <w:tc>
          <w:tcPr>
            <w:tcW w:w="770" w:type="dxa"/>
          </w:tcPr>
          <w:p w14:paraId="70EBE5DF" w14:textId="7B5CECCA" w:rsidR="00CA3C5B" w:rsidRDefault="003E4F57" w:rsidP="003E4F57">
            <w:pPr>
              <w:pStyle w:val="TableCopy"/>
              <w:jc w:val="right"/>
            </w:pPr>
            <w:r>
              <w:t>3</w:t>
            </w:r>
          </w:p>
        </w:tc>
      </w:tr>
      <w:tr w:rsidR="00663CE3" w14:paraId="64DDE584" w14:textId="77777777" w:rsidTr="00260033">
        <w:trPr>
          <w:cantSplit/>
        </w:trPr>
        <w:tc>
          <w:tcPr>
            <w:tcW w:w="4671" w:type="dxa"/>
          </w:tcPr>
          <w:p w14:paraId="1C12DC98" w14:textId="50A4F58D" w:rsidR="00663CE3" w:rsidRDefault="00663CE3" w:rsidP="00663CE3">
            <w:pPr>
              <w:pStyle w:val="TableHeading"/>
            </w:pPr>
            <w:r>
              <w:t>Quality</w:t>
            </w:r>
          </w:p>
        </w:tc>
        <w:tc>
          <w:tcPr>
            <w:tcW w:w="1136" w:type="dxa"/>
          </w:tcPr>
          <w:p w14:paraId="1AA56952" w14:textId="77777777" w:rsidR="00663CE3" w:rsidRDefault="00663CE3" w:rsidP="00EA2FFA">
            <w:pPr>
              <w:pStyle w:val="TableCopy"/>
            </w:pPr>
          </w:p>
        </w:tc>
        <w:tc>
          <w:tcPr>
            <w:tcW w:w="992" w:type="dxa"/>
          </w:tcPr>
          <w:p w14:paraId="56C627CF" w14:textId="77777777" w:rsidR="00663CE3" w:rsidRDefault="00663CE3" w:rsidP="003E4F57">
            <w:pPr>
              <w:pStyle w:val="TableCopy"/>
              <w:jc w:val="right"/>
            </w:pPr>
          </w:p>
        </w:tc>
        <w:tc>
          <w:tcPr>
            <w:tcW w:w="993" w:type="dxa"/>
          </w:tcPr>
          <w:p w14:paraId="0AF212CF" w14:textId="77777777" w:rsidR="00663CE3" w:rsidRDefault="00663CE3" w:rsidP="003E4F57">
            <w:pPr>
              <w:pStyle w:val="TableCopy"/>
              <w:jc w:val="right"/>
            </w:pPr>
          </w:p>
        </w:tc>
        <w:tc>
          <w:tcPr>
            <w:tcW w:w="1428" w:type="dxa"/>
          </w:tcPr>
          <w:p w14:paraId="03C8442D" w14:textId="77777777" w:rsidR="00663CE3" w:rsidRDefault="00663CE3" w:rsidP="003E4F57">
            <w:pPr>
              <w:pStyle w:val="TableCopy"/>
              <w:jc w:val="right"/>
            </w:pPr>
          </w:p>
        </w:tc>
        <w:tc>
          <w:tcPr>
            <w:tcW w:w="770" w:type="dxa"/>
          </w:tcPr>
          <w:p w14:paraId="34EC35EF" w14:textId="77777777" w:rsidR="00663CE3" w:rsidRPr="00663CE3" w:rsidRDefault="00663CE3" w:rsidP="003E4F57">
            <w:pPr>
              <w:pStyle w:val="TableCopy"/>
              <w:jc w:val="right"/>
            </w:pPr>
          </w:p>
        </w:tc>
      </w:tr>
      <w:tr w:rsidR="00CA3C5B" w14:paraId="2FDCD656" w14:textId="77777777" w:rsidTr="00260033">
        <w:trPr>
          <w:cantSplit/>
        </w:trPr>
        <w:tc>
          <w:tcPr>
            <w:tcW w:w="4671" w:type="dxa"/>
          </w:tcPr>
          <w:p w14:paraId="194DB2D0" w14:textId="43C7A0F4" w:rsidR="00CA3C5B" w:rsidRDefault="00260033" w:rsidP="00663CE3">
            <w:pPr>
              <w:pStyle w:val="TableCopy"/>
            </w:pPr>
            <w:r>
              <w:t>Agency</w:t>
            </w:r>
            <w:r w:rsidR="00932420">
              <w:t xml:space="preserve"> </w:t>
            </w:r>
            <w:r>
              <w:t>collections</w:t>
            </w:r>
            <w:r w:rsidR="00932420">
              <w:t xml:space="preserve"> </w:t>
            </w:r>
            <w:r>
              <w:t>storage</w:t>
            </w:r>
            <w:r w:rsidR="00932420">
              <w:t xml:space="preserve"> </w:t>
            </w:r>
            <w:r>
              <w:t>meeting</w:t>
            </w:r>
            <w:r w:rsidR="00932420">
              <w:t xml:space="preserve"> </w:t>
            </w:r>
            <w:r>
              <w:t>industry</w:t>
            </w:r>
            <w:r w:rsidR="00932420">
              <w:t xml:space="preserve"> </w:t>
            </w:r>
            <w:r>
              <w:t>standard</w:t>
            </w:r>
          </w:p>
        </w:tc>
        <w:tc>
          <w:tcPr>
            <w:tcW w:w="1136" w:type="dxa"/>
          </w:tcPr>
          <w:p w14:paraId="54D198FF" w14:textId="49FC0A3E" w:rsidR="00CA3C5B" w:rsidRDefault="00260033" w:rsidP="00663CE3">
            <w:pPr>
              <w:pStyle w:val="TableCopy"/>
            </w:pPr>
            <w:r>
              <w:t>per</w:t>
            </w:r>
            <w:r w:rsidR="00932420">
              <w:t xml:space="preserve"> </w:t>
            </w:r>
            <w:r>
              <w:t>cent</w:t>
            </w:r>
          </w:p>
        </w:tc>
        <w:tc>
          <w:tcPr>
            <w:tcW w:w="992" w:type="dxa"/>
          </w:tcPr>
          <w:p w14:paraId="07E75AC3" w14:textId="77777777" w:rsidR="00CA3C5B" w:rsidRDefault="00260033" w:rsidP="003E4F57">
            <w:pPr>
              <w:pStyle w:val="TableCopy"/>
              <w:jc w:val="right"/>
            </w:pPr>
            <w:r>
              <w:t>85</w:t>
            </w:r>
          </w:p>
        </w:tc>
        <w:tc>
          <w:tcPr>
            <w:tcW w:w="993" w:type="dxa"/>
          </w:tcPr>
          <w:p w14:paraId="5191A270" w14:textId="77777777" w:rsidR="00CA3C5B" w:rsidRDefault="00260033" w:rsidP="003E4F57">
            <w:pPr>
              <w:pStyle w:val="TableCopy"/>
              <w:jc w:val="right"/>
            </w:pPr>
            <w:r>
              <w:t>86</w:t>
            </w:r>
          </w:p>
        </w:tc>
        <w:tc>
          <w:tcPr>
            <w:tcW w:w="1428" w:type="dxa"/>
          </w:tcPr>
          <w:p w14:paraId="5B1173FC" w14:textId="77777777" w:rsidR="00CA3C5B" w:rsidRDefault="00260033" w:rsidP="003E4F57">
            <w:pPr>
              <w:pStyle w:val="TableCopy"/>
              <w:jc w:val="right"/>
            </w:pPr>
            <w:r>
              <w:t>-1.2%</w:t>
            </w:r>
          </w:p>
        </w:tc>
        <w:tc>
          <w:tcPr>
            <w:tcW w:w="770" w:type="dxa"/>
          </w:tcPr>
          <w:p w14:paraId="479B6775" w14:textId="501F9643" w:rsidR="00CA3C5B" w:rsidRDefault="003E4F57" w:rsidP="003E4F57">
            <w:pPr>
              <w:pStyle w:val="TableCopy"/>
              <w:jc w:val="right"/>
            </w:pPr>
            <w:r>
              <w:t>2</w:t>
            </w:r>
          </w:p>
        </w:tc>
      </w:tr>
      <w:tr w:rsidR="00CA3C5B" w14:paraId="5DC43C65" w14:textId="77777777" w:rsidTr="00260033">
        <w:trPr>
          <w:cantSplit/>
        </w:trPr>
        <w:tc>
          <w:tcPr>
            <w:tcW w:w="4671" w:type="dxa"/>
          </w:tcPr>
          <w:p w14:paraId="46176B1F" w14:textId="7917D2D2" w:rsidR="00CA3C5B" w:rsidRDefault="00260033" w:rsidP="00663CE3">
            <w:pPr>
              <w:pStyle w:val="TableCopy"/>
            </w:pPr>
            <w:r>
              <w:t>Visitors</w:t>
            </w:r>
            <w:r w:rsidR="00932420">
              <w:t xml:space="preserve"> </w:t>
            </w:r>
            <w:r>
              <w:t>satisfied</w:t>
            </w:r>
            <w:r w:rsidR="00932420">
              <w:t xml:space="preserve"> </w:t>
            </w:r>
            <w:r>
              <w:t>with</w:t>
            </w:r>
            <w:r w:rsidR="00932420">
              <w:t xml:space="preserve"> </w:t>
            </w:r>
            <w:r>
              <w:t>visit:</w:t>
            </w:r>
            <w:r w:rsidR="00932420">
              <w:t xml:space="preserve"> </w:t>
            </w:r>
            <w:r>
              <w:t>Arts</w:t>
            </w:r>
            <w:r w:rsidR="00932420">
              <w:t xml:space="preserve"> </w:t>
            </w:r>
            <w:r>
              <w:t>Centre</w:t>
            </w:r>
            <w:r w:rsidR="00932420">
              <w:t xml:space="preserve"> </w:t>
            </w:r>
            <w:r>
              <w:t>Melbourne</w:t>
            </w:r>
          </w:p>
        </w:tc>
        <w:tc>
          <w:tcPr>
            <w:tcW w:w="1136" w:type="dxa"/>
          </w:tcPr>
          <w:p w14:paraId="0B7561DA" w14:textId="6D64BB9E" w:rsidR="00CA3C5B" w:rsidRDefault="00260033" w:rsidP="00663CE3">
            <w:pPr>
              <w:pStyle w:val="TableCopy"/>
            </w:pPr>
            <w:r>
              <w:t>per</w:t>
            </w:r>
            <w:r w:rsidR="00932420">
              <w:t xml:space="preserve"> </w:t>
            </w:r>
            <w:r>
              <w:t>cent</w:t>
            </w:r>
          </w:p>
        </w:tc>
        <w:tc>
          <w:tcPr>
            <w:tcW w:w="992" w:type="dxa"/>
          </w:tcPr>
          <w:p w14:paraId="313796A7" w14:textId="77777777" w:rsidR="00CA3C5B" w:rsidRDefault="00260033" w:rsidP="003E4F57">
            <w:pPr>
              <w:pStyle w:val="TableCopy"/>
              <w:jc w:val="right"/>
            </w:pPr>
            <w:r>
              <w:t>91</w:t>
            </w:r>
          </w:p>
        </w:tc>
        <w:tc>
          <w:tcPr>
            <w:tcW w:w="993" w:type="dxa"/>
          </w:tcPr>
          <w:p w14:paraId="3C9B4FD2" w14:textId="77777777" w:rsidR="00CA3C5B" w:rsidRDefault="00260033" w:rsidP="003E4F57">
            <w:pPr>
              <w:pStyle w:val="TableCopy"/>
              <w:jc w:val="right"/>
            </w:pPr>
            <w:r>
              <w:t>90</w:t>
            </w:r>
          </w:p>
        </w:tc>
        <w:tc>
          <w:tcPr>
            <w:tcW w:w="1428" w:type="dxa"/>
          </w:tcPr>
          <w:p w14:paraId="2D520C3F" w14:textId="77777777" w:rsidR="00CA3C5B" w:rsidRDefault="00260033" w:rsidP="003E4F57">
            <w:pPr>
              <w:pStyle w:val="TableCopy"/>
              <w:jc w:val="right"/>
            </w:pPr>
            <w:r>
              <w:t>1.1%</w:t>
            </w:r>
          </w:p>
        </w:tc>
        <w:tc>
          <w:tcPr>
            <w:tcW w:w="770" w:type="dxa"/>
          </w:tcPr>
          <w:p w14:paraId="3FACA860" w14:textId="4EFB2D81" w:rsidR="00CA3C5B" w:rsidRDefault="003E4F57" w:rsidP="003E4F57">
            <w:pPr>
              <w:pStyle w:val="TableCopy"/>
              <w:jc w:val="right"/>
            </w:pPr>
            <w:r w:rsidRPr="003E4F57">
              <w:t>1</w:t>
            </w:r>
          </w:p>
        </w:tc>
      </w:tr>
      <w:tr w:rsidR="00CA3C5B" w14:paraId="3AF24EF4" w14:textId="77777777" w:rsidTr="00260033">
        <w:trPr>
          <w:cantSplit/>
        </w:trPr>
        <w:tc>
          <w:tcPr>
            <w:tcW w:w="4671" w:type="dxa"/>
          </w:tcPr>
          <w:p w14:paraId="4C4DE082" w14:textId="64856221" w:rsidR="00CA3C5B" w:rsidRDefault="00260033" w:rsidP="00663CE3">
            <w:pPr>
              <w:pStyle w:val="TableCopy"/>
            </w:pPr>
            <w:r>
              <w:t>Visitors</w:t>
            </w:r>
            <w:r w:rsidR="00932420">
              <w:t xml:space="preserve"> </w:t>
            </w:r>
            <w:r>
              <w:t>satisfied</w:t>
            </w:r>
            <w:r w:rsidR="00932420">
              <w:t xml:space="preserve"> </w:t>
            </w:r>
            <w:r>
              <w:t>with</w:t>
            </w:r>
            <w:r w:rsidR="00932420">
              <w:t xml:space="preserve"> </w:t>
            </w:r>
            <w:r>
              <w:t>visit:</w:t>
            </w:r>
            <w:r w:rsidR="00932420">
              <w:t xml:space="preserve"> </w:t>
            </w:r>
            <w:r>
              <w:t>Australian</w:t>
            </w:r>
            <w:r w:rsidR="00932420">
              <w:t xml:space="preserve"> </w:t>
            </w:r>
            <w:r>
              <w:t>Centre</w:t>
            </w:r>
            <w:r w:rsidR="00932420">
              <w:t xml:space="preserve"> </w:t>
            </w:r>
            <w:r>
              <w:t>for</w:t>
            </w:r>
            <w:r w:rsidR="00932420">
              <w:t xml:space="preserve"> </w:t>
            </w:r>
            <w:r>
              <w:t>the</w:t>
            </w:r>
            <w:r w:rsidR="00932420">
              <w:t xml:space="preserve"> </w:t>
            </w:r>
            <w:r>
              <w:t>Moving</w:t>
            </w:r>
            <w:r w:rsidR="00932420">
              <w:t xml:space="preserve"> </w:t>
            </w:r>
            <w:r>
              <w:t>Image</w:t>
            </w:r>
          </w:p>
        </w:tc>
        <w:tc>
          <w:tcPr>
            <w:tcW w:w="1136" w:type="dxa"/>
          </w:tcPr>
          <w:p w14:paraId="62AAB1B1" w14:textId="1B37CC67" w:rsidR="00CA3C5B" w:rsidRDefault="00260033" w:rsidP="00663CE3">
            <w:pPr>
              <w:pStyle w:val="TableCopy"/>
            </w:pPr>
            <w:r>
              <w:t>per</w:t>
            </w:r>
            <w:r w:rsidR="00932420">
              <w:t xml:space="preserve"> </w:t>
            </w:r>
            <w:r>
              <w:t>cent</w:t>
            </w:r>
          </w:p>
        </w:tc>
        <w:tc>
          <w:tcPr>
            <w:tcW w:w="992" w:type="dxa"/>
          </w:tcPr>
          <w:p w14:paraId="496FC4AB" w14:textId="77777777" w:rsidR="00CA3C5B" w:rsidRDefault="00260033" w:rsidP="003E4F57">
            <w:pPr>
              <w:pStyle w:val="TableCopy"/>
              <w:jc w:val="right"/>
            </w:pPr>
            <w:r>
              <w:t>97</w:t>
            </w:r>
          </w:p>
        </w:tc>
        <w:tc>
          <w:tcPr>
            <w:tcW w:w="993" w:type="dxa"/>
          </w:tcPr>
          <w:p w14:paraId="5FD8A724" w14:textId="77777777" w:rsidR="00CA3C5B" w:rsidRDefault="00260033" w:rsidP="003E4F57">
            <w:pPr>
              <w:pStyle w:val="TableCopy"/>
              <w:jc w:val="right"/>
            </w:pPr>
            <w:r>
              <w:t>95</w:t>
            </w:r>
          </w:p>
        </w:tc>
        <w:tc>
          <w:tcPr>
            <w:tcW w:w="1428" w:type="dxa"/>
          </w:tcPr>
          <w:p w14:paraId="1590F3D0" w14:textId="77777777" w:rsidR="00CA3C5B" w:rsidRDefault="00260033" w:rsidP="003E4F57">
            <w:pPr>
              <w:pStyle w:val="TableCopy"/>
              <w:jc w:val="right"/>
            </w:pPr>
            <w:r>
              <w:t>2.1%</w:t>
            </w:r>
          </w:p>
        </w:tc>
        <w:tc>
          <w:tcPr>
            <w:tcW w:w="770" w:type="dxa"/>
          </w:tcPr>
          <w:p w14:paraId="74E61CF8" w14:textId="413BCBA9" w:rsidR="00CA3C5B" w:rsidRDefault="003E4F57" w:rsidP="003E4F57">
            <w:pPr>
              <w:pStyle w:val="TableCopy"/>
              <w:jc w:val="right"/>
            </w:pPr>
            <w:r w:rsidRPr="003E4F57">
              <w:t>1</w:t>
            </w:r>
          </w:p>
        </w:tc>
      </w:tr>
      <w:tr w:rsidR="00CA3C5B" w14:paraId="09874356" w14:textId="77777777" w:rsidTr="00260033">
        <w:trPr>
          <w:cantSplit/>
        </w:trPr>
        <w:tc>
          <w:tcPr>
            <w:tcW w:w="4671" w:type="dxa"/>
          </w:tcPr>
          <w:p w14:paraId="7CCBC007" w14:textId="6293D41D" w:rsidR="00CA3C5B" w:rsidRDefault="00260033" w:rsidP="00663CE3">
            <w:pPr>
              <w:pStyle w:val="TableCopy"/>
            </w:pPr>
            <w:r>
              <w:t>Visitors</w:t>
            </w:r>
            <w:r w:rsidR="00932420">
              <w:t xml:space="preserve"> </w:t>
            </w:r>
            <w:r>
              <w:t>satisfied</w:t>
            </w:r>
            <w:r w:rsidR="00932420">
              <w:t xml:space="preserve"> </w:t>
            </w:r>
            <w:r>
              <w:t>with</w:t>
            </w:r>
            <w:r w:rsidR="00932420">
              <w:t xml:space="preserve"> </w:t>
            </w:r>
            <w:r>
              <w:t>visit:</w:t>
            </w:r>
            <w:r w:rsidR="00932420">
              <w:t xml:space="preserve"> </w:t>
            </w:r>
            <w:r>
              <w:t>Geelong</w:t>
            </w:r>
            <w:r w:rsidR="00932420">
              <w:t xml:space="preserve"> </w:t>
            </w:r>
            <w:r>
              <w:t>Arts</w:t>
            </w:r>
            <w:r w:rsidR="00932420">
              <w:t xml:space="preserve"> </w:t>
            </w:r>
            <w:r>
              <w:t>Centre</w:t>
            </w:r>
          </w:p>
        </w:tc>
        <w:tc>
          <w:tcPr>
            <w:tcW w:w="1136" w:type="dxa"/>
          </w:tcPr>
          <w:p w14:paraId="2F92C122" w14:textId="35BD3721" w:rsidR="00CA3C5B" w:rsidRDefault="00260033" w:rsidP="00663CE3">
            <w:pPr>
              <w:pStyle w:val="TableCopy"/>
            </w:pPr>
            <w:r>
              <w:t>per</w:t>
            </w:r>
            <w:r w:rsidR="00932420">
              <w:t xml:space="preserve"> </w:t>
            </w:r>
            <w:r>
              <w:t>cent</w:t>
            </w:r>
          </w:p>
        </w:tc>
        <w:tc>
          <w:tcPr>
            <w:tcW w:w="992" w:type="dxa"/>
          </w:tcPr>
          <w:p w14:paraId="2C08011B" w14:textId="77777777" w:rsidR="00CA3C5B" w:rsidRDefault="00260033" w:rsidP="003E4F57">
            <w:pPr>
              <w:pStyle w:val="TableCopy"/>
              <w:jc w:val="right"/>
            </w:pPr>
            <w:r>
              <w:t>95</w:t>
            </w:r>
          </w:p>
        </w:tc>
        <w:tc>
          <w:tcPr>
            <w:tcW w:w="993" w:type="dxa"/>
          </w:tcPr>
          <w:p w14:paraId="4A1F34C9" w14:textId="77777777" w:rsidR="00CA3C5B" w:rsidRDefault="00260033" w:rsidP="003E4F57">
            <w:pPr>
              <w:pStyle w:val="TableCopy"/>
              <w:jc w:val="right"/>
            </w:pPr>
            <w:r>
              <w:t>98</w:t>
            </w:r>
          </w:p>
        </w:tc>
        <w:tc>
          <w:tcPr>
            <w:tcW w:w="1428" w:type="dxa"/>
          </w:tcPr>
          <w:p w14:paraId="2A38E3E7" w14:textId="77777777" w:rsidR="00CA3C5B" w:rsidRDefault="00260033" w:rsidP="003E4F57">
            <w:pPr>
              <w:pStyle w:val="TableCopy"/>
              <w:jc w:val="right"/>
            </w:pPr>
            <w:r>
              <w:t>-3.1%</w:t>
            </w:r>
          </w:p>
        </w:tc>
        <w:tc>
          <w:tcPr>
            <w:tcW w:w="770" w:type="dxa"/>
          </w:tcPr>
          <w:p w14:paraId="638BE96F" w14:textId="7A82A62B" w:rsidR="00CA3C5B" w:rsidRDefault="003E4F57" w:rsidP="003E4F57">
            <w:pPr>
              <w:pStyle w:val="TableCopy"/>
              <w:jc w:val="right"/>
            </w:pPr>
            <w:r>
              <w:t>2</w:t>
            </w:r>
          </w:p>
        </w:tc>
      </w:tr>
      <w:tr w:rsidR="00CA3C5B" w14:paraId="582DE0C9" w14:textId="77777777" w:rsidTr="00260033">
        <w:trPr>
          <w:cantSplit/>
        </w:trPr>
        <w:tc>
          <w:tcPr>
            <w:tcW w:w="4671" w:type="dxa"/>
          </w:tcPr>
          <w:p w14:paraId="252EDEF6" w14:textId="1018EF20" w:rsidR="00CA3C5B" w:rsidRDefault="00260033" w:rsidP="00663CE3">
            <w:pPr>
              <w:pStyle w:val="TableCopy"/>
            </w:pPr>
            <w:r>
              <w:t>Visitors</w:t>
            </w:r>
            <w:r w:rsidR="00932420">
              <w:t xml:space="preserve"> </w:t>
            </w:r>
            <w:r>
              <w:t>satisfied</w:t>
            </w:r>
            <w:r w:rsidR="00932420">
              <w:t xml:space="preserve"> </w:t>
            </w:r>
            <w:r>
              <w:t>with</w:t>
            </w:r>
            <w:r w:rsidR="00932420">
              <w:t xml:space="preserve"> </w:t>
            </w:r>
            <w:r>
              <w:t>visit:</w:t>
            </w:r>
            <w:r w:rsidR="00932420">
              <w:t xml:space="preserve"> </w:t>
            </w:r>
            <w:r>
              <w:t>Melbourne</w:t>
            </w:r>
            <w:r w:rsidR="00932420">
              <w:t xml:space="preserve"> </w:t>
            </w:r>
            <w:r>
              <w:t>Recital</w:t>
            </w:r>
            <w:r w:rsidR="00932420">
              <w:t xml:space="preserve"> </w:t>
            </w:r>
            <w:r>
              <w:t>Centre</w:t>
            </w:r>
          </w:p>
        </w:tc>
        <w:tc>
          <w:tcPr>
            <w:tcW w:w="1136" w:type="dxa"/>
          </w:tcPr>
          <w:p w14:paraId="122C36FF" w14:textId="6782F326" w:rsidR="00CA3C5B" w:rsidRDefault="00260033" w:rsidP="00663CE3">
            <w:pPr>
              <w:pStyle w:val="TableCopy"/>
            </w:pPr>
            <w:r>
              <w:t>per</w:t>
            </w:r>
            <w:r w:rsidR="00932420">
              <w:t xml:space="preserve"> </w:t>
            </w:r>
            <w:r>
              <w:t>cent</w:t>
            </w:r>
          </w:p>
        </w:tc>
        <w:tc>
          <w:tcPr>
            <w:tcW w:w="992" w:type="dxa"/>
          </w:tcPr>
          <w:p w14:paraId="45468DE2" w14:textId="77777777" w:rsidR="00CA3C5B" w:rsidRDefault="00260033" w:rsidP="003E4F57">
            <w:pPr>
              <w:pStyle w:val="TableCopy"/>
              <w:jc w:val="right"/>
            </w:pPr>
            <w:r>
              <w:t>98</w:t>
            </w:r>
          </w:p>
        </w:tc>
        <w:tc>
          <w:tcPr>
            <w:tcW w:w="993" w:type="dxa"/>
          </w:tcPr>
          <w:p w14:paraId="3EBDE840" w14:textId="77777777" w:rsidR="00CA3C5B" w:rsidRDefault="00260033" w:rsidP="003E4F57">
            <w:pPr>
              <w:pStyle w:val="TableCopy"/>
              <w:jc w:val="right"/>
            </w:pPr>
            <w:r>
              <w:t>95</w:t>
            </w:r>
          </w:p>
        </w:tc>
        <w:tc>
          <w:tcPr>
            <w:tcW w:w="1428" w:type="dxa"/>
          </w:tcPr>
          <w:p w14:paraId="1683AE3A" w14:textId="77777777" w:rsidR="00CA3C5B" w:rsidRDefault="00260033" w:rsidP="003E4F57">
            <w:pPr>
              <w:pStyle w:val="TableCopy"/>
              <w:jc w:val="right"/>
            </w:pPr>
            <w:r>
              <w:t>3.2%</w:t>
            </w:r>
          </w:p>
        </w:tc>
        <w:tc>
          <w:tcPr>
            <w:tcW w:w="770" w:type="dxa"/>
          </w:tcPr>
          <w:p w14:paraId="54BFABC7" w14:textId="74093040" w:rsidR="00CA3C5B" w:rsidRDefault="003E4F57" w:rsidP="003E4F57">
            <w:pPr>
              <w:pStyle w:val="TableCopy"/>
              <w:jc w:val="right"/>
            </w:pPr>
            <w:r w:rsidRPr="003E4F57">
              <w:t>1</w:t>
            </w:r>
          </w:p>
        </w:tc>
      </w:tr>
      <w:tr w:rsidR="00CA3C5B" w14:paraId="04553AB7" w14:textId="77777777" w:rsidTr="00260033">
        <w:trPr>
          <w:cantSplit/>
        </w:trPr>
        <w:tc>
          <w:tcPr>
            <w:tcW w:w="4671" w:type="dxa"/>
          </w:tcPr>
          <w:p w14:paraId="731563A5" w14:textId="22610D88" w:rsidR="00CA3C5B" w:rsidRDefault="00260033" w:rsidP="00663CE3">
            <w:pPr>
              <w:pStyle w:val="TableCopy"/>
            </w:pPr>
            <w:r>
              <w:lastRenderedPageBreak/>
              <w:t>Visitors</w:t>
            </w:r>
            <w:r w:rsidR="00932420">
              <w:t xml:space="preserve"> </w:t>
            </w:r>
            <w:r>
              <w:t>satisfied</w:t>
            </w:r>
            <w:r w:rsidR="00932420">
              <w:t xml:space="preserve"> </w:t>
            </w:r>
            <w:r>
              <w:t>with</w:t>
            </w:r>
            <w:r w:rsidR="00932420">
              <w:t xml:space="preserve"> </w:t>
            </w:r>
            <w:r>
              <w:t>visit:</w:t>
            </w:r>
            <w:r w:rsidR="00932420">
              <w:t xml:space="preserve"> </w:t>
            </w:r>
            <w:r>
              <w:t>Museums</w:t>
            </w:r>
            <w:r w:rsidR="00932420">
              <w:t xml:space="preserve"> </w:t>
            </w:r>
            <w:r>
              <w:t>Victoria</w:t>
            </w:r>
          </w:p>
        </w:tc>
        <w:tc>
          <w:tcPr>
            <w:tcW w:w="1136" w:type="dxa"/>
          </w:tcPr>
          <w:p w14:paraId="169CAEF9" w14:textId="37D47ED1" w:rsidR="00CA3C5B" w:rsidRDefault="00260033" w:rsidP="00663CE3">
            <w:pPr>
              <w:pStyle w:val="TableCopy"/>
            </w:pPr>
            <w:r>
              <w:t>per</w:t>
            </w:r>
            <w:r w:rsidR="00932420">
              <w:t xml:space="preserve"> </w:t>
            </w:r>
            <w:r>
              <w:t>cent</w:t>
            </w:r>
          </w:p>
        </w:tc>
        <w:tc>
          <w:tcPr>
            <w:tcW w:w="992" w:type="dxa"/>
          </w:tcPr>
          <w:p w14:paraId="13F14E04" w14:textId="77777777" w:rsidR="00CA3C5B" w:rsidRDefault="00260033" w:rsidP="003E4F57">
            <w:pPr>
              <w:pStyle w:val="TableCopy"/>
              <w:jc w:val="right"/>
            </w:pPr>
            <w:r>
              <w:t>93</w:t>
            </w:r>
          </w:p>
        </w:tc>
        <w:tc>
          <w:tcPr>
            <w:tcW w:w="993" w:type="dxa"/>
          </w:tcPr>
          <w:p w14:paraId="2B4AB4D7" w14:textId="77777777" w:rsidR="00CA3C5B" w:rsidRDefault="00260033" w:rsidP="003E4F57">
            <w:pPr>
              <w:pStyle w:val="TableCopy"/>
              <w:jc w:val="right"/>
            </w:pPr>
            <w:r>
              <w:t>96</w:t>
            </w:r>
          </w:p>
        </w:tc>
        <w:tc>
          <w:tcPr>
            <w:tcW w:w="1428" w:type="dxa"/>
          </w:tcPr>
          <w:p w14:paraId="6C085739" w14:textId="77777777" w:rsidR="00CA3C5B" w:rsidRDefault="00260033" w:rsidP="003E4F57">
            <w:pPr>
              <w:pStyle w:val="TableCopy"/>
              <w:jc w:val="right"/>
            </w:pPr>
            <w:r>
              <w:t>-3.1%</w:t>
            </w:r>
          </w:p>
        </w:tc>
        <w:tc>
          <w:tcPr>
            <w:tcW w:w="770" w:type="dxa"/>
          </w:tcPr>
          <w:p w14:paraId="17070B9D" w14:textId="53DE5AF4" w:rsidR="00CA3C5B" w:rsidRDefault="003E4F57" w:rsidP="003E4F57">
            <w:pPr>
              <w:pStyle w:val="TableCopy"/>
              <w:jc w:val="right"/>
            </w:pPr>
            <w:r>
              <w:t>2</w:t>
            </w:r>
          </w:p>
        </w:tc>
      </w:tr>
      <w:tr w:rsidR="00CA3C5B" w14:paraId="6F2820EB" w14:textId="77777777" w:rsidTr="00260033">
        <w:trPr>
          <w:cantSplit/>
        </w:trPr>
        <w:tc>
          <w:tcPr>
            <w:tcW w:w="4671" w:type="dxa"/>
          </w:tcPr>
          <w:p w14:paraId="54BA2631" w14:textId="61F7D0BA" w:rsidR="00CA3C5B" w:rsidRDefault="00260033" w:rsidP="00663CE3">
            <w:pPr>
              <w:pStyle w:val="TableCopy"/>
            </w:pPr>
            <w:r>
              <w:t>Visitors</w:t>
            </w:r>
            <w:r w:rsidR="00932420">
              <w:t xml:space="preserve"> </w:t>
            </w:r>
            <w:r>
              <w:t>satisfied</w:t>
            </w:r>
            <w:r w:rsidR="00932420">
              <w:t xml:space="preserve"> </w:t>
            </w:r>
            <w:r>
              <w:t>with</w:t>
            </w:r>
            <w:r w:rsidR="00932420">
              <w:t xml:space="preserve"> </w:t>
            </w:r>
            <w:r>
              <w:t>visit:</w:t>
            </w:r>
            <w:r w:rsidR="00932420">
              <w:t xml:space="preserve"> </w:t>
            </w:r>
            <w:r>
              <w:t>National</w:t>
            </w:r>
            <w:r w:rsidR="00932420">
              <w:t xml:space="preserve"> </w:t>
            </w:r>
            <w:r>
              <w:t>Gallery</w:t>
            </w:r>
            <w:r w:rsidR="00932420">
              <w:t xml:space="preserve"> </w:t>
            </w:r>
            <w:r>
              <w:t>of</w:t>
            </w:r>
            <w:r w:rsidR="00932420">
              <w:t xml:space="preserve"> </w:t>
            </w:r>
            <w:r>
              <w:t>Victoria</w:t>
            </w:r>
          </w:p>
        </w:tc>
        <w:tc>
          <w:tcPr>
            <w:tcW w:w="1136" w:type="dxa"/>
          </w:tcPr>
          <w:p w14:paraId="045809FC" w14:textId="1834A824" w:rsidR="00CA3C5B" w:rsidRDefault="00260033" w:rsidP="00663CE3">
            <w:pPr>
              <w:pStyle w:val="TableCopy"/>
            </w:pPr>
            <w:r>
              <w:t>per</w:t>
            </w:r>
            <w:r w:rsidR="00932420">
              <w:t xml:space="preserve"> </w:t>
            </w:r>
            <w:r>
              <w:t>cent</w:t>
            </w:r>
          </w:p>
        </w:tc>
        <w:tc>
          <w:tcPr>
            <w:tcW w:w="992" w:type="dxa"/>
          </w:tcPr>
          <w:p w14:paraId="4083B667" w14:textId="77777777" w:rsidR="00CA3C5B" w:rsidRDefault="00260033" w:rsidP="003E4F57">
            <w:pPr>
              <w:pStyle w:val="TableCopy"/>
              <w:jc w:val="right"/>
            </w:pPr>
            <w:r>
              <w:t>97</w:t>
            </w:r>
          </w:p>
        </w:tc>
        <w:tc>
          <w:tcPr>
            <w:tcW w:w="993" w:type="dxa"/>
          </w:tcPr>
          <w:p w14:paraId="17F96D8E" w14:textId="77777777" w:rsidR="00CA3C5B" w:rsidRDefault="00260033" w:rsidP="003E4F57">
            <w:pPr>
              <w:pStyle w:val="TableCopy"/>
              <w:jc w:val="right"/>
            </w:pPr>
            <w:r>
              <w:t>95</w:t>
            </w:r>
          </w:p>
        </w:tc>
        <w:tc>
          <w:tcPr>
            <w:tcW w:w="1428" w:type="dxa"/>
          </w:tcPr>
          <w:p w14:paraId="56EC95C9" w14:textId="77777777" w:rsidR="00CA3C5B" w:rsidRDefault="00260033" w:rsidP="003E4F57">
            <w:pPr>
              <w:pStyle w:val="TableCopy"/>
              <w:jc w:val="right"/>
            </w:pPr>
            <w:r>
              <w:t>2.1%</w:t>
            </w:r>
          </w:p>
        </w:tc>
        <w:tc>
          <w:tcPr>
            <w:tcW w:w="770" w:type="dxa"/>
          </w:tcPr>
          <w:p w14:paraId="4D3B1882" w14:textId="002D2146" w:rsidR="00CA3C5B" w:rsidRDefault="003E4F57" w:rsidP="003E4F57">
            <w:pPr>
              <w:pStyle w:val="TableCopy"/>
              <w:jc w:val="right"/>
            </w:pPr>
            <w:r w:rsidRPr="003E4F57">
              <w:t>1</w:t>
            </w:r>
          </w:p>
        </w:tc>
      </w:tr>
      <w:tr w:rsidR="00CA3C5B" w14:paraId="180299B3" w14:textId="77777777" w:rsidTr="00260033">
        <w:trPr>
          <w:cantSplit/>
        </w:trPr>
        <w:tc>
          <w:tcPr>
            <w:tcW w:w="4671" w:type="dxa"/>
          </w:tcPr>
          <w:p w14:paraId="7183D493" w14:textId="50722CBB" w:rsidR="00CA3C5B" w:rsidRDefault="00260033" w:rsidP="00663CE3">
            <w:pPr>
              <w:pStyle w:val="TableCopy"/>
            </w:pPr>
            <w:r>
              <w:t>Visitors</w:t>
            </w:r>
            <w:r w:rsidR="00932420">
              <w:t xml:space="preserve"> </w:t>
            </w:r>
            <w:r>
              <w:t>satisfied</w:t>
            </w:r>
            <w:r w:rsidR="00932420">
              <w:t xml:space="preserve"> </w:t>
            </w:r>
            <w:r>
              <w:t>with</w:t>
            </w:r>
            <w:r w:rsidR="00932420">
              <w:t xml:space="preserve"> </w:t>
            </w:r>
            <w:r>
              <w:t>visit:</w:t>
            </w:r>
            <w:r w:rsidR="00932420">
              <w:t xml:space="preserve"> </w:t>
            </w:r>
            <w:r>
              <w:t>State</w:t>
            </w:r>
            <w:r w:rsidR="00932420">
              <w:t xml:space="preserve"> </w:t>
            </w:r>
            <w:r>
              <w:t>Library</w:t>
            </w:r>
            <w:r w:rsidR="00932420">
              <w:t xml:space="preserve"> </w:t>
            </w:r>
            <w:r>
              <w:t>Victoria</w:t>
            </w:r>
          </w:p>
        </w:tc>
        <w:tc>
          <w:tcPr>
            <w:tcW w:w="1136" w:type="dxa"/>
          </w:tcPr>
          <w:p w14:paraId="697EF952" w14:textId="52664ACA" w:rsidR="00CA3C5B" w:rsidRDefault="00260033" w:rsidP="00663CE3">
            <w:pPr>
              <w:pStyle w:val="TableCopy"/>
            </w:pPr>
            <w:r>
              <w:t>per</w:t>
            </w:r>
            <w:r w:rsidR="00932420">
              <w:t xml:space="preserve"> </w:t>
            </w:r>
            <w:r>
              <w:t>cent</w:t>
            </w:r>
          </w:p>
        </w:tc>
        <w:tc>
          <w:tcPr>
            <w:tcW w:w="992" w:type="dxa"/>
          </w:tcPr>
          <w:p w14:paraId="472FAA9C" w14:textId="77777777" w:rsidR="00CA3C5B" w:rsidRDefault="00260033" w:rsidP="003E4F57">
            <w:pPr>
              <w:pStyle w:val="TableCopy"/>
              <w:jc w:val="right"/>
            </w:pPr>
            <w:r>
              <w:t>91</w:t>
            </w:r>
          </w:p>
        </w:tc>
        <w:tc>
          <w:tcPr>
            <w:tcW w:w="993" w:type="dxa"/>
          </w:tcPr>
          <w:p w14:paraId="0AB10B20" w14:textId="77777777" w:rsidR="00CA3C5B" w:rsidRDefault="00260033" w:rsidP="003E4F57">
            <w:pPr>
              <w:pStyle w:val="TableCopy"/>
              <w:jc w:val="right"/>
            </w:pPr>
            <w:r>
              <w:t>90</w:t>
            </w:r>
          </w:p>
        </w:tc>
        <w:tc>
          <w:tcPr>
            <w:tcW w:w="1428" w:type="dxa"/>
          </w:tcPr>
          <w:p w14:paraId="4504860B" w14:textId="77777777" w:rsidR="00CA3C5B" w:rsidRDefault="00260033" w:rsidP="003E4F57">
            <w:pPr>
              <w:pStyle w:val="TableCopy"/>
              <w:jc w:val="right"/>
            </w:pPr>
            <w:r>
              <w:t>1.1%</w:t>
            </w:r>
          </w:p>
        </w:tc>
        <w:tc>
          <w:tcPr>
            <w:tcW w:w="770" w:type="dxa"/>
          </w:tcPr>
          <w:p w14:paraId="59972F68" w14:textId="77B30D03" w:rsidR="00CA3C5B" w:rsidRDefault="003E4F57" w:rsidP="003E4F57">
            <w:pPr>
              <w:pStyle w:val="TableCopy"/>
              <w:jc w:val="right"/>
            </w:pPr>
            <w:r w:rsidRPr="003E4F57">
              <w:t>1</w:t>
            </w:r>
          </w:p>
        </w:tc>
      </w:tr>
      <w:tr w:rsidR="00663CE3" w14:paraId="40CEC04B" w14:textId="77777777" w:rsidTr="00260033">
        <w:trPr>
          <w:cantSplit/>
        </w:trPr>
        <w:tc>
          <w:tcPr>
            <w:tcW w:w="4671" w:type="dxa"/>
          </w:tcPr>
          <w:p w14:paraId="65CE90D6" w14:textId="08B0046A" w:rsidR="00663CE3" w:rsidRDefault="00663CE3" w:rsidP="00663CE3">
            <w:pPr>
              <w:pStyle w:val="TableHeading"/>
            </w:pPr>
            <w:r>
              <w:t>Cost</w:t>
            </w:r>
          </w:p>
        </w:tc>
        <w:tc>
          <w:tcPr>
            <w:tcW w:w="1136" w:type="dxa"/>
          </w:tcPr>
          <w:p w14:paraId="409755BB" w14:textId="77777777" w:rsidR="00663CE3" w:rsidRDefault="00663CE3" w:rsidP="00663CE3">
            <w:pPr>
              <w:pStyle w:val="TableCopy"/>
            </w:pPr>
          </w:p>
        </w:tc>
        <w:tc>
          <w:tcPr>
            <w:tcW w:w="992" w:type="dxa"/>
          </w:tcPr>
          <w:p w14:paraId="08C0C7AB" w14:textId="77777777" w:rsidR="00663CE3" w:rsidRDefault="00663CE3" w:rsidP="003E4F57">
            <w:pPr>
              <w:pStyle w:val="TableCopy"/>
              <w:jc w:val="right"/>
            </w:pPr>
          </w:p>
        </w:tc>
        <w:tc>
          <w:tcPr>
            <w:tcW w:w="993" w:type="dxa"/>
          </w:tcPr>
          <w:p w14:paraId="66B8B1B4" w14:textId="77777777" w:rsidR="00663CE3" w:rsidRDefault="00663CE3" w:rsidP="003E4F57">
            <w:pPr>
              <w:pStyle w:val="TableCopy"/>
              <w:jc w:val="right"/>
            </w:pPr>
          </w:p>
        </w:tc>
        <w:tc>
          <w:tcPr>
            <w:tcW w:w="1428" w:type="dxa"/>
          </w:tcPr>
          <w:p w14:paraId="56862446" w14:textId="77777777" w:rsidR="00663CE3" w:rsidRDefault="00663CE3" w:rsidP="003E4F57">
            <w:pPr>
              <w:pStyle w:val="TableCopy"/>
              <w:jc w:val="right"/>
            </w:pPr>
          </w:p>
        </w:tc>
        <w:tc>
          <w:tcPr>
            <w:tcW w:w="770" w:type="dxa"/>
          </w:tcPr>
          <w:p w14:paraId="732A821E" w14:textId="77777777" w:rsidR="00663CE3" w:rsidRPr="00663CE3" w:rsidRDefault="00663CE3" w:rsidP="003E4F57">
            <w:pPr>
              <w:pStyle w:val="TableCopy"/>
              <w:jc w:val="right"/>
            </w:pPr>
          </w:p>
        </w:tc>
      </w:tr>
      <w:tr w:rsidR="00CA3C5B" w:rsidRPr="00663CE3" w14:paraId="046D86BE" w14:textId="77777777" w:rsidTr="00260033">
        <w:trPr>
          <w:cantSplit/>
        </w:trPr>
        <w:tc>
          <w:tcPr>
            <w:tcW w:w="4671" w:type="dxa"/>
          </w:tcPr>
          <w:p w14:paraId="59237F28" w14:textId="559A7C00" w:rsidR="00CA3C5B" w:rsidRPr="00663CE3" w:rsidRDefault="00260033" w:rsidP="00663CE3">
            <w:pPr>
              <w:pStyle w:val="TableCopy"/>
              <w:rPr>
                <w:b/>
                <w:bCs/>
              </w:rPr>
            </w:pPr>
            <w:r w:rsidRPr="00663CE3">
              <w:rPr>
                <w:b/>
                <w:bCs/>
              </w:rPr>
              <w:t>Total</w:t>
            </w:r>
            <w:r w:rsidR="00932420" w:rsidRPr="00663CE3">
              <w:rPr>
                <w:b/>
                <w:bCs/>
              </w:rPr>
              <w:t xml:space="preserve"> </w:t>
            </w:r>
            <w:r w:rsidRPr="00663CE3">
              <w:rPr>
                <w:b/>
                <w:bCs/>
              </w:rPr>
              <w:t>output</w:t>
            </w:r>
            <w:r w:rsidR="00932420" w:rsidRPr="00663CE3">
              <w:rPr>
                <w:b/>
                <w:bCs/>
              </w:rPr>
              <w:t xml:space="preserve"> </w:t>
            </w:r>
            <w:r w:rsidRPr="00663CE3">
              <w:rPr>
                <w:b/>
                <w:bCs/>
              </w:rPr>
              <w:t>cost</w:t>
            </w:r>
          </w:p>
        </w:tc>
        <w:tc>
          <w:tcPr>
            <w:tcW w:w="1136" w:type="dxa"/>
          </w:tcPr>
          <w:p w14:paraId="41D20928" w14:textId="1E21C393" w:rsidR="00CA3C5B" w:rsidRPr="00663CE3" w:rsidRDefault="00260033" w:rsidP="00663CE3">
            <w:pPr>
              <w:pStyle w:val="TableCopy"/>
              <w:rPr>
                <w:b/>
                <w:bCs/>
              </w:rPr>
            </w:pPr>
            <w:r w:rsidRPr="00663CE3">
              <w:rPr>
                <w:b/>
                <w:bCs/>
              </w:rPr>
              <w:t>$</w:t>
            </w:r>
            <w:r w:rsidR="00932420" w:rsidRPr="00663CE3">
              <w:rPr>
                <w:b/>
                <w:bCs/>
              </w:rPr>
              <w:t xml:space="preserve"> </w:t>
            </w:r>
            <w:r w:rsidRPr="00663CE3">
              <w:rPr>
                <w:b/>
                <w:bCs/>
              </w:rPr>
              <w:t>million</w:t>
            </w:r>
          </w:p>
        </w:tc>
        <w:tc>
          <w:tcPr>
            <w:tcW w:w="992" w:type="dxa"/>
          </w:tcPr>
          <w:p w14:paraId="31B62564" w14:textId="77777777" w:rsidR="00CA3C5B" w:rsidRPr="00663CE3" w:rsidRDefault="00260033" w:rsidP="003E4F57">
            <w:pPr>
              <w:pStyle w:val="TableCopy"/>
              <w:jc w:val="right"/>
              <w:rPr>
                <w:b/>
                <w:bCs/>
              </w:rPr>
            </w:pPr>
            <w:r w:rsidRPr="00663CE3">
              <w:rPr>
                <w:b/>
                <w:bCs/>
              </w:rPr>
              <w:t>498.0</w:t>
            </w:r>
          </w:p>
        </w:tc>
        <w:tc>
          <w:tcPr>
            <w:tcW w:w="993" w:type="dxa"/>
          </w:tcPr>
          <w:p w14:paraId="33C52959" w14:textId="77777777" w:rsidR="00CA3C5B" w:rsidRPr="00663CE3" w:rsidRDefault="00260033" w:rsidP="003E4F57">
            <w:pPr>
              <w:pStyle w:val="TableCopy"/>
              <w:jc w:val="right"/>
              <w:rPr>
                <w:b/>
                <w:bCs/>
              </w:rPr>
            </w:pPr>
            <w:r w:rsidRPr="00663CE3">
              <w:rPr>
                <w:b/>
                <w:bCs/>
              </w:rPr>
              <w:t>427.3</w:t>
            </w:r>
          </w:p>
        </w:tc>
        <w:tc>
          <w:tcPr>
            <w:tcW w:w="1428" w:type="dxa"/>
          </w:tcPr>
          <w:p w14:paraId="2DD001C4" w14:textId="77777777" w:rsidR="00CA3C5B" w:rsidRPr="00663CE3" w:rsidRDefault="00260033" w:rsidP="003E4F57">
            <w:pPr>
              <w:pStyle w:val="TableCopy"/>
              <w:jc w:val="right"/>
              <w:rPr>
                <w:b/>
                <w:bCs/>
              </w:rPr>
            </w:pPr>
            <w:r w:rsidRPr="00663CE3">
              <w:rPr>
                <w:b/>
                <w:bCs/>
              </w:rPr>
              <w:t>16.5%</w:t>
            </w:r>
          </w:p>
        </w:tc>
        <w:tc>
          <w:tcPr>
            <w:tcW w:w="770" w:type="dxa"/>
          </w:tcPr>
          <w:p w14:paraId="1FE08C27" w14:textId="6C90542C" w:rsidR="00CA3C5B" w:rsidRPr="003E4F57" w:rsidRDefault="003E4F57" w:rsidP="003E4F57">
            <w:pPr>
              <w:pStyle w:val="TableCopy"/>
              <w:jc w:val="right"/>
              <w:rPr>
                <w:b/>
                <w:bCs/>
              </w:rPr>
            </w:pPr>
            <w:r w:rsidRPr="003E4F57">
              <w:rPr>
                <w:b/>
                <w:bCs/>
              </w:rPr>
              <w:t>3</w:t>
            </w:r>
          </w:p>
        </w:tc>
      </w:tr>
      <w:tr w:rsidR="00663CE3" w:rsidRPr="00663CE3" w14:paraId="4417692C" w14:textId="77777777" w:rsidTr="00260033">
        <w:trPr>
          <w:cantSplit/>
        </w:trPr>
        <w:tc>
          <w:tcPr>
            <w:tcW w:w="4671" w:type="dxa"/>
          </w:tcPr>
          <w:p w14:paraId="3C22C324" w14:textId="250ECA1B" w:rsidR="00663CE3" w:rsidRPr="00663CE3" w:rsidRDefault="00663CE3" w:rsidP="00663CE3">
            <w:pPr>
              <w:pStyle w:val="TableCopy"/>
              <w:rPr>
                <w:i/>
                <w:iCs/>
              </w:rPr>
            </w:pPr>
            <w:r w:rsidRPr="00663CE3">
              <w:rPr>
                <w:i/>
                <w:iCs/>
              </w:rPr>
              <w:t>The 2022–23 result is higher than the 2022–23 budget due to additional funding for Creative Industries Portfolio agencies.</w:t>
            </w:r>
          </w:p>
        </w:tc>
        <w:tc>
          <w:tcPr>
            <w:tcW w:w="1136" w:type="dxa"/>
          </w:tcPr>
          <w:p w14:paraId="1CA5018A" w14:textId="77777777" w:rsidR="00663CE3" w:rsidRPr="00663CE3" w:rsidRDefault="00663CE3" w:rsidP="00663CE3">
            <w:pPr>
              <w:pStyle w:val="TableCopy"/>
            </w:pPr>
          </w:p>
        </w:tc>
        <w:tc>
          <w:tcPr>
            <w:tcW w:w="992" w:type="dxa"/>
          </w:tcPr>
          <w:p w14:paraId="0138CD39" w14:textId="77777777" w:rsidR="00663CE3" w:rsidRPr="00663CE3" w:rsidRDefault="00663CE3" w:rsidP="003E4F57">
            <w:pPr>
              <w:pStyle w:val="TableCopy"/>
              <w:jc w:val="right"/>
            </w:pPr>
          </w:p>
        </w:tc>
        <w:tc>
          <w:tcPr>
            <w:tcW w:w="993" w:type="dxa"/>
          </w:tcPr>
          <w:p w14:paraId="7B25BF1F" w14:textId="77777777" w:rsidR="00663CE3" w:rsidRPr="00663CE3" w:rsidRDefault="00663CE3" w:rsidP="003E4F57">
            <w:pPr>
              <w:pStyle w:val="TableCopy"/>
              <w:jc w:val="right"/>
            </w:pPr>
          </w:p>
        </w:tc>
        <w:tc>
          <w:tcPr>
            <w:tcW w:w="1428" w:type="dxa"/>
          </w:tcPr>
          <w:p w14:paraId="72220A09" w14:textId="77777777" w:rsidR="00663CE3" w:rsidRPr="00663CE3" w:rsidRDefault="00663CE3" w:rsidP="003E4F57">
            <w:pPr>
              <w:pStyle w:val="TableCopy"/>
              <w:jc w:val="right"/>
            </w:pPr>
          </w:p>
        </w:tc>
        <w:tc>
          <w:tcPr>
            <w:tcW w:w="770" w:type="dxa"/>
          </w:tcPr>
          <w:p w14:paraId="1EE7F7BA" w14:textId="77777777" w:rsidR="00663CE3" w:rsidRPr="00663CE3" w:rsidRDefault="00663CE3" w:rsidP="003E4F57">
            <w:pPr>
              <w:pStyle w:val="TableCopy"/>
              <w:jc w:val="right"/>
            </w:pPr>
          </w:p>
        </w:tc>
      </w:tr>
    </w:tbl>
    <w:p w14:paraId="3C21B403" w14:textId="77777777" w:rsidR="00663CE3" w:rsidRDefault="00663CE3" w:rsidP="00663CE3">
      <w:pPr>
        <w:pStyle w:val="FootnoteText"/>
        <w:spacing w:before="120"/>
      </w:pPr>
      <w:r>
        <w:t>Note:</w:t>
      </w:r>
    </w:p>
    <w:p w14:paraId="7403AE27" w14:textId="77777777" w:rsidR="00663CE3" w:rsidRDefault="00663CE3" w:rsidP="00663CE3">
      <w:pPr>
        <w:pStyle w:val="FootnoteText"/>
      </w:pPr>
      <w:r>
        <w:t>1</w:t>
      </w:r>
      <w:r w:rsidRPr="00A517F3">
        <w:t xml:space="preserve"> </w:t>
      </w:r>
      <w:r>
        <w:t>Performance target achieved or exceeded</w:t>
      </w:r>
    </w:p>
    <w:p w14:paraId="4C3D10EB" w14:textId="77777777" w:rsidR="00663CE3" w:rsidRDefault="00663CE3" w:rsidP="00663CE3">
      <w:pPr>
        <w:pStyle w:val="FootnoteText"/>
      </w:pPr>
      <w:r>
        <w:t>2</w:t>
      </w:r>
      <w:r w:rsidRPr="00A517F3">
        <w:t xml:space="preserve"> </w:t>
      </w:r>
      <w:r>
        <w:t>Performance target not achieved – but within 5% variance</w:t>
      </w:r>
    </w:p>
    <w:p w14:paraId="5DBEDFDC" w14:textId="77777777" w:rsidR="00663CE3" w:rsidRDefault="00663CE3" w:rsidP="00663CE3">
      <w:pPr>
        <w:pStyle w:val="FootnoteText"/>
        <w:spacing w:after="280"/>
      </w:pPr>
      <w:r>
        <w:t>3</w:t>
      </w:r>
      <w:r w:rsidRPr="00A517F3">
        <w:t xml:space="preserve"> </w:t>
      </w:r>
      <w:r>
        <w:t>Performance target not achieved – exceeds 5% variance</w:t>
      </w:r>
    </w:p>
    <w:p w14:paraId="5A14B775" w14:textId="7F29AF7D" w:rsidR="00CA3C5B" w:rsidRDefault="00260033" w:rsidP="00663CE3">
      <w:r>
        <w:t>Table</w:t>
      </w:r>
      <w:r w:rsidR="00932420">
        <w:t xml:space="preserve"> </w:t>
      </w:r>
      <w:r>
        <w:t>24</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Cultural</w:t>
      </w:r>
      <w:r w:rsidR="00932420">
        <w:t xml:space="preserve"> </w:t>
      </w:r>
      <w:r>
        <w:t>Infrastructure</w:t>
      </w:r>
      <w:r w:rsidR="00932420">
        <w:t xml:space="preserve"> </w:t>
      </w:r>
      <w:r>
        <w:t>and</w:t>
      </w:r>
      <w:r w:rsidR="00932420">
        <w:t xml:space="preserve"> </w:t>
      </w:r>
      <w:r>
        <w:t>Facilities</w:t>
      </w:r>
      <w:r w:rsidR="00932420">
        <w:t xml:space="preserve"> </w:t>
      </w:r>
      <w:r>
        <w:t>output.</w:t>
      </w:r>
      <w:r w:rsidR="00932420">
        <w:t xml:space="preserve"> </w:t>
      </w:r>
      <w:r>
        <w:t>This</w:t>
      </w:r>
      <w:r w:rsidR="00932420">
        <w:t xml:space="preserve"> </w:t>
      </w:r>
      <w:r>
        <w:t>output</w:t>
      </w:r>
      <w:r w:rsidR="00932420">
        <w:t xml:space="preserve"> </w:t>
      </w:r>
      <w:r>
        <w:t>supports</w:t>
      </w:r>
      <w:r w:rsidR="00932420">
        <w:t xml:space="preserve"> </w:t>
      </w:r>
      <w:r>
        <w:t>Victorian</w:t>
      </w:r>
      <w:r w:rsidR="00932420">
        <w:t xml:space="preserve"> </w:t>
      </w:r>
      <w:r>
        <w:t>cultural</w:t>
      </w:r>
      <w:r w:rsidR="00932420">
        <w:t xml:space="preserve"> </w:t>
      </w:r>
      <w:r>
        <w:t>venues</w:t>
      </w:r>
      <w:r w:rsidR="00932420">
        <w:t xml:space="preserve"> </w:t>
      </w:r>
      <w:r>
        <w:t>and</w:t>
      </w:r>
      <w:r w:rsidR="00932420">
        <w:t xml:space="preserve"> </w:t>
      </w:r>
      <w:r>
        <w:t>State-owned</w:t>
      </w:r>
      <w:r w:rsidR="00932420">
        <w:t xml:space="preserve"> </w:t>
      </w:r>
      <w:r>
        <w:t>facilities</w:t>
      </w:r>
      <w:r w:rsidR="00932420">
        <w:t xml:space="preserve"> </w:t>
      </w:r>
      <w:r>
        <w:t>through</w:t>
      </w:r>
      <w:r w:rsidR="00932420">
        <w:t xml:space="preserve"> </w:t>
      </w:r>
      <w:r>
        <w:t>strategic</w:t>
      </w:r>
      <w:r w:rsidR="00932420">
        <w:t xml:space="preserve"> </w:t>
      </w:r>
      <w:r>
        <w:t>assessment</w:t>
      </w:r>
      <w:r w:rsidR="00932420">
        <w:t xml:space="preserve"> </w:t>
      </w:r>
      <w:r>
        <w:t>and</w:t>
      </w:r>
      <w:r w:rsidR="00932420">
        <w:t xml:space="preserve"> </w:t>
      </w:r>
      <w:r>
        <w:t>provision</w:t>
      </w:r>
      <w:r w:rsidR="00932420">
        <w:t xml:space="preserve"> </w:t>
      </w:r>
      <w:r>
        <w:t>of</w:t>
      </w:r>
      <w:r w:rsidR="00932420">
        <w:t xml:space="preserve"> </w:t>
      </w:r>
      <w:r>
        <w:t>advice</w:t>
      </w:r>
      <w:r w:rsidR="00932420">
        <w:t xml:space="preserve"> </w:t>
      </w:r>
      <w:r>
        <w:t>on</w:t>
      </w:r>
      <w:r w:rsidR="00932420">
        <w:t xml:space="preserve"> </w:t>
      </w:r>
      <w:r>
        <w:t>portfolio</w:t>
      </w:r>
      <w:r w:rsidR="00932420">
        <w:t xml:space="preserve"> </w:t>
      </w:r>
      <w:r>
        <w:t>infrastructure</w:t>
      </w:r>
      <w:r w:rsidR="00932420">
        <w:t xml:space="preserve"> </w:t>
      </w:r>
      <w:r>
        <w:t>proposals</w:t>
      </w:r>
      <w:r w:rsidR="00932420">
        <w:t xml:space="preserve"> </w:t>
      </w:r>
      <w:r>
        <w:t>and</w:t>
      </w:r>
      <w:r w:rsidR="00932420">
        <w:t xml:space="preserve"> </w:t>
      </w:r>
      <w:r>
        <w:t>projects.</w:t>
      </w:r>
      <w:r w:rsidR="00932420">
        <w:t xml:space="preserve"> </w:t>
      </w:r>
      <w:r>
        <w:t>The</w:t>
      </w:r>
      <w:r w:rsidR="00932420">
        <w:t xml:space="preserve"> </w:t>
      </w:r>
      <w:r>
        <w:t>output</w:t>
      </w:r>
      <w:r w:rsidR="00932420">
        <w:t xml:space="preserve"> </w:t>
      </w:r>
      <w:r>
        <w:t>includes</w:t>
      </w:r>
      <w:r w:rsidR="00932420">
        <w:t xml:space="preserve"> </w:t>
      </w:r>
      <w:r>
        <w:t>consolidation</w:t>
      </w:r>
      <w:r w:rsidR="00932420">
        <w:t xml:space="preserve"> </w:t>
      </w:r>
      <w:r>
        <w:t>of</w:t>
      </w:r>
      <w:r w:rsidR="00932420">
        <w:t xml:space="preserve"> </w:t>
      </w:r>
      <w:r>
        <w:t>portfolio</w:t>
      </w:r>
      <w:r w:rsidR="00932420">
        <w:t xml:space="preserve"> </w:t>
      </w:r>
      <w:r>
        <w:t>asset</w:t>
      </w:r>
      <w:r w:rsidR="00932420">
        <w:t xml:space="preserve"> </w:t>
      </w:r>
      <w:r>
        <w:t>management</w:t>
      </w:r>
      <w:r w:rsidR="00932420">
        <w:t xml:space="preserve"> </w:t>
      </w:r>
      <w:r>
        <w:t>plans</w:t>
      </w:r>
      <w:r w:rsidR="00932420">
        <w:t xml:space="preserve"> </w:t>
      </w:r>
      <w:r>
        <w:t>and</w:t>
      </w:r>
      <w:r w:rsidR="00932420">
        <w:t xml:space="preserve"> </w:t>
      </w:r>
      <w:r>
        <w:t>management</w:t>
      </w:r>
      <w:r w:rsidR="00932420">
        <w:t xml:space="preserve"> </w:t>
      </w:r>
      <w:r>
        <w:t>of</w:t>
      </w:r>
      <w:r w:rsidR="00932420">
        <w:t xml:space="preserve"> </w:t>
      </w:r>
      <w:r>
        <w:t>funding</w:t>
      </w:r>
      <w:r w:rsidR="00932420">
        <w:t xml:space="preserve"> </w:t>
      </w:r>
      <w:r>
        <w:t>programs</w:t>
      </w:r>
      <w:r w:rsidR="00932420">
        <w:t xml:space="preserve"> </w:t>
      </w:r>
      <w:r>
        <w:t>for</w:t>
      </w:r>
      <w:r w:rsidR="00932420">
        <w:t xml:space="preserve"> </w:t>
      </w:r>
      <w:r>
        <w:t>maintenance</w:t>
      </w:r>
      <w:r w:rsidR="00932420">
        <w:t xml:space="preserve"> </w:t>
      </w:r>
      <w:r>
        <w:t>and</w:t>
      </w:r>
      <w:r w:rsidR="00932420">
        <w:t xml:space="preserve"> </w:t>
      </w:r>
      <w:r>
        <w:t>minor</w:t>
      </w:r>
      <w:r w:rsidR="00932420">
        <w:t xml:space="preserve"> </w:t>
      </w:r>
      <w:r>
        <w:t>capital</w:t>
      </w:r>
      <w:r w:rsidR="00932420">
        <w:t xml:space="preserve"> </w:t>
      </w:r>
      <w:r>
        <w:t>works.</w:t>
      </w:r>
    </w:p>
    <w:p w14:paraId="67CEEC07" w14:textId="4475B08F" w:rsidR="00CA3C5B" w:rsidRDefault="00260033" w:rsidP="003E4F57">
      <w:pPr>
        <w:pStyle w:val="TableHeading"/>
      </w:pPr>
      <w:r>
        <w:t>Table</w:t>
      </w:r>
      <w:r w:rsidR="00932420">
        <w:t xml:space="preserve"> </w:t>
      </w:r>
      <w:r>
        <w:t>24:</w:t>
      </w:r>
      <w:r w:rsidR="00932420">
        <w:t xml:space="preserve"> </w:t>
      </w:r>
      <w:r>
        <w:t>Output</w:t>
      </w:r>
      <w:r w:rsidR="00932420">
        <w:t xml:space="preserve"> </w:t>
      </w:r>
      <w:r>
        <w:t>–</w:t>
      </w:r>
      <w:r w:rsidR="00932420">
        <w:t xml:space="preserve"> </w:t>
      </w:r>
      <w:r>
        <w:t>Cultural</w:t>
      </w:r>
      <w:r w:rsidR="00932420">
        <w:t xml:space="preserve"> </w:t>
      </w:r>
      <w:r>
        <w:t>Infrastructure</w:t>
      </w:r>
      <w:r w:rsidR="00932420">
        <w:t xml:space="preserve"> </w:t>
      </w:r>
      <w:r>
        <w:t>and</w:t>
      </w:r>
      <w:r w:rsidR="00932420">
        <w:t xml:space="preserve"> </w:t>
      </w:r>
      <w:r>
        <w:t>Facilities</w:t>
      </w:r>
    </w:p>
    <w:tbl>
      <w:tblPr>
        <w:tblStyle w:val="TableGrid"/>
        <w:tblW w:w="9776" w:type="dxa"/>
        <w:tblLayout w:type="fixed"/>
        <w:tblLook w:val="0020" w:firstRow="1" w:lastRow="0" w:firstColumn="0" w:lastColumn="0" w:noHBand="0" w:noVBand="0"/>
      </w:tblPr>
      <w:tblGrid>
        <w:gridCol w:w="4465"/>
        <w:gridCol w:w="1200"/>
        <w:gridCol w:w="963"/>
        <w:gridCol w:w="953"/>
        <w:gridCol w:w="1428"/>
        <w:gridCol w:w="767"/>
      </w:tblGrid>
      <w:tr w:rsidR="00CA3C5B" w:rsidRPr="003E4F57" w14:paraId="7036E28D" w14:textId="77777777" w:rsidTr="003E4F57">
        <w:trPr>
          <w:cantSplit/>
          <w:tblHeader/>
        </w:trPr>
        <w:tc>
          <w:tcPr>
            <w:tcW w:w="4465" w:type="dxa"/>
          </w:tcPr>
          <w:p w14:paraId="0841B14C" w14:textId="017FE68C" w:rsidR="00CA3C5B" w:rsidRPr="003E4F57" w:rsidRDefault="00260033" w:rsidP="003E4F57">
            <w:pPr>
              <w:pStyle w:val="TableColumnHeading"/>
              <w:rPr>
                <w:sz w:val="21"/>
                <w:szCs w:val="21"/>
              </w:rPr>
            </w:pPr>
            <w:bookmarkStart w:id="50" w:name="ColumnTitle_25"/>
            <w:bookmarkEnd w:id="50"/>
            <w:r w:rsidRPr="003E4F57">
              <w:rPr>
                <w:sz w:val="21"/>
                <w:szCs w:val="21"/>
              </w:rPr>
              <w:t>Performance</w:t>
            </w:r>
            <w:r w:rsidR="00932420" w:rsidRPr="003E4F57">
              <w:rPr>
                <w:sz w:val="21"/>
                <w:szCs w:val="21"/>
              </w:rPr>
              <w:t xml:space="preserve"> </w:t>
            </w:r>
            <w:r w:rsidRPr="003E4F57">
              <w:rPr>
                <w:sz w:val="21"/>
                <w:szCs w:val="21"/>
              </w:rPr>
              <w:t>measures</w:t>
            </w:r>
          </w:p>
        </w:tc>
        <w:tc>
          <w:tcPr>
            <w:tcW w:w="1200" w:type="dxa"/>
          </w:tcPr>
          <w:p w14:paraId="5B3B6189" w14:textId="2D2DC20A" w:rsidR="00CA3C5B" w:rsidRPr="003E4F57" w:rsidRDefault="00260033" w:rsidP="003E4F57">
            <w:pPr>
              <w:pStyle w:val="TableColumnHeading"/>
              <w:rPr>
                <w:sz w:val="21"/>
                <w:szCs w:val="21"/>
              </w:rPr>
            </w:pPr>
            <w:r w:rsidRPr="003E4F57">
              <w:rPr>
                <w:sz w:val="21"/>
                <w:szCs w:val="21"/>
              </w:rPr>
              <w:t>Unit</w:t>
            </w:r>
            <w:r w:rsidR="00932420" w:rsidRPr="003E4F57">
              <w:rPr>
                <w:sz w:val="21"/>
                <w:szCs w:val="21"/>
              </w:rPr>
              <w:t xml:space="preserve"> </w:t>
            </w:r>
            <w:r w:rsidRPr="003E4F57">
              <w:rPr>
                <w:sz w:val="21"/>
                <w:szCs w:val="21"/>
              </w:rPr>
              <w:t>of</w:t>
            </w:r>
            <w:r w:rsidR="00932420" w:rsidRPr="003E4F57">
              <w:rPr>
                <w:sz w:val="21"/>
                <w:szCs w:val="21"/>
              </w:rPr>
              <w:t xml:space="preserve"> </w:t>
            </w:r>
            <w:r w:rsidRPr="003E4F57">
              <w:rPr>
                <w:sz w:val="21"/>
                <w:szCs w:val="21"/>
              </w:rPr>
              <w:t>Measure</w:t>
            </w:r>
          </w:p>
        </w:tc>
        <w:tc>
          <w:tcPr>
            <w:tcW w:w="963" w:type="dxa"/>
          </w:tcPr>
          <w:p w14:paraId="1019B610" w14:textId="1B79C54A" w:rsidR="00CA3C5B" w:rsidRPr="003E4F57" w:rsidRDefault="00260033" w:rsidP="009968E5">
            <w:pPr>
              <w:pStyle w:val="TableColumnHeading"/>
              <w:jc w:val="right"/>
              <w:rPr>
                <w:sz w:val="21"/>
                <w:szCs w:val="21"/>
              </w:rPr>
            </w:pPr>
            <w:r w:rsidRPr="003E4F57">
              <w:rPr>
                <w:sz w:val="21"/>
                <w:szCs w:val="21"/>
              </w:rPr>
              <w:t>2022–23</w:t>
            </w:r>
            <w:r w:rsidR="003E4F57">
              <w:rPr>
                <w:sz w:val="21"/>
                <w:szCs w:val="21"/>
              </w:rPr>
              <w:t xml:space="preserve"> </w:t>
            </w:r>
            <w:r w:rsidRPr="003E4F57">
              <w:rPr>
                <w:sz w:val="21"/>
                <w:szCs w:val="21"/>
              </w:rPr>
              <w:t>Actual</w:t>
            </w:r>
          </w:p>
        </w:tc>
        <w:tc>
          <w:tcPr>
            <w:tcW w:w="953" w:type="dxa"/>
          </w:tcPr>
          <w:p w14:paraId="456A4FDD" w14:textId="0C868F2B" w:rsidR="00CA3C5B" w:rsidRPr="003E4F57" w:rsidRDefault="00260033" w:rsidP="009968E5">
            <w:pPr>
              <w:pStyle w:val="TableColumnHeading"/>
              <w:jc w:val="right"/>
              <w:rPr>
                <w:sz w:val="21"/>
                <w:szCs w:val="21"/>
              </w:rPr>
            </w:pPr>
            <w:r w:rsidRPr="003E4F57">
              <w:rPr>
                <w:sz w:val="21"/>
                <w:szCs w:val="21"/>
              </w:rPr>
              <w:t>2022–23</w:t>
            </w:r>
            <w:r w:rsidR="00932420" w:rsidRPr="003E4F57">
              <w:rPr>
                <w:sz w:val="21"/>
                <w:szCs w:val="21"/>
              </w:rPr>
              <w:t xml:space="preserve"> </w:t>
            </w:r>
            <w:r w:rsidRPr="003E4F57">
              <w:rPr>
                <w:sz w:val="21"/>
                <w:szCs w:val="21"/>
              </w:rPr>
              <w:t>Target</w:t>
            </w:r>
          </w:p>
        </w:tc>
        <w:tc>
          <w:tcPr>
            <w:tcW w:w="1428" w:type="dxa"/>
          </w:tcPr>
          <w:p w14:paraId="1A86B923" w14:textId="37309ADB" w:rsidR="00CA3C5B" w:rsidRPr="003E4F57" w:rsidRDefault="00260033" w:rsidP="009968E5">
            <w:pPr>
              <w:pStyle w:val="TableColumnHeading"/>
              <w:jc w:val="right"/>
              <w:rPr>
                <w:sz w:val="21"/>
                <w:szCs w:val="21"/>
              </w:rPr>
            </w:pPr>
            <w:r w:rsidRPr="003E4F57">
              <w:rPr>
                <w:sz w:val="21"/>
                <w:szCs w:val="21"/>
              </w:rPr>
              <w:t>Performance</w:t>
            </w:r>
            <w:r w:rsidR="00932420" w:rsidRPr="003E4F57">
              <w:rPr>
                <w:sz w:val="21"/>
                <w:szCs w:val="21"/>
              </w:rPr>
              <w:t xml:space="preserve"> </w:t>
            </w:r>
            <w:r w:rsidRPr="003E4F57">
              <w:rPr>
                <w:sz w:val="21"/>
                <w:szCs w:val="21"/>
              </w:rPr>
              <w:t>variation</w:t>
            </w:r>
            <w:r w:rsidR="00932420" w:rsidRPr="003E4F57">
              <w:rPr>
                <w:sz w:val="21"/>
                <w:szCs w:val="21"/>
              </w:rPr>
              <w:t xml:space="preserve"> </w:t>
            </w:r>
            <w:r w:rsidRPr="003E4F57">
              <w:rPr>
                <w:sz w:val="21"/>
                <w:szCs w:val="21"/>
              </w:rPr>
              <w:t>(%)</w:t>
            </w:r>
          </w:p>
        </w:tc>
        <w:tc>
          <w:tcPr>
            <w:tcW w:w="767" w:type="dxa"/>
          </w:tcPr>
          <w:p w14:paraId="3D79441D" w14:textId="77777777" w:rsidR="00CA3C5B" w:rsidRPr="003E4F57" w:rsidRDefault="00260033" w:rsidP="009968E5">
            <w:pPr>
              <w:pStyle w:val="TableColumnHeading"/>
              <w:jc w:val="right"/>
              <w:rPr>
                <w:sz w:val="21"/>
                <w:szCs w:val="21"/>
              </w:rPr>
            </w:pPr>
            <w:r w:rsidRPr="003E4F57">
              <w:rPr>
                <w:sz w:val="21"/>
                <w:szCs w:val="21"/>
              </w:rPr>
              <w:t>Result</w:t>
            </w:r>
          </w:p>
        </w:tc>
      </w:tr>
      <w:tr w:rsidR="003E4F57" w:rsidRPr="003E4F57" w14:paraId="335892E6" w14:textId="77777777" w:rsidTr="003E4F57">
        <w:trPr>
          <w:cantSplit/>
        </w:trPr>
        <w:tc>
          <w:tcPr>
            <w:tcW w:w="4465" w:type="dxa"/>
          </w:tcPr>
          <w:p w14:paraId="1B97AAD7" w14:textId="27AE9150" w:rsidR="003E4F57" w:rsidRPr="003E4F57" w:rsidRDefault="003E4F57" w:rsidP="003E4F57">
            <w:pPr>
              <w:pStyle w:val="TableHeading"/>
            </w:pPr>
            <w:r>
              <w:t>Quantity</w:t>
            </w:r>
          </w:p>
        </w:tc>
        <w:tc>
          <w:tcPr>
            <w:tcW w:w="1200" w:type="dxa"/>
          </w:tcPr>
          <w:p w14:paraId="2481CB41" w14:textId="77777777" w:rsidR="003E4F57" w:rsidRPr="003E4F57" w:rsidRDefault="003E4F57" w:rsidP="003E4F57">
            <w:pPr>
              <w:pStyle w:val="TableCopy"/>
            </w:pPr>
          </w:p>
        </w:tc>
        <w:tc>
          <w:tcPr>
            <w:tcW w:w="963" w:type="dxa"/>
          </w:tcPr>
          <w:p w14:paraId="225F4B97" w14:textId="77777777" w:rsidR="003E4F57" w:rsidRPr="003E4F57" w:rsidRDefault="003E4F57" w:rsidP="009968E5">
            <w:pPr>
              <w:pStyle w:val="TableCopy"/>
              <w:jc w:val="right"/>
            </w:pPr>
          </w:p>
        </w:tc>
        <w:tc>
          <w:tcPr>
            <w:tcW w:w="953" w:type="dxa"/>
          </w:tcPr>
          <w:p w14:paraId="3CE3A491" w14:textId="77777777" w:rsidR="003E4F57" w:rsidRPr="003E4F57" w:rsidRDefault="003E4F57" w:rsidP="009968E5">
            <w:pPr>
              <w:pStyle w:val="TableCopy"/>
              <w:jc w:val="right"/>
            </w:pPr>
          </w:p>
        </w:tc>
        <w:tc>
          <w:tcPr>
            <w:tcW w:w="1428" w:type="dxa"/>
          </w:tcPr>
          <w:p w14:paraId="042D17CF" w14:textId="77777777" w:rsidR="003E4F57" w:rsidRPr="003E4F57" w:rsidRDefault="003E4F57" w:rsidP="009968E5">
            <w:pPr>
              <w:pStyle w:val="TableCopy"/>
              <w:jc w:val="right"/>
            </w:pPr>
          </w:p>
        </w:tc>
        <w:tc>
          <w:tcPr>
            <w:tcW w:w="767" w:type="dxa"/>
          </w:tcPr>
          <w:p w14:paraId="50F71E77" w14:textId="77777777" w:rsidR="003E4F57" w:rsidRPr="003E4F57" w:rsidRDefault="003E4F57" w:rsidP="009968E5">
            <w:pPr>
              <w:pStyle w:val="TableCopy"/>
              <w:jc w:val="right"/>
            </w:pPr>
          </w:p>
        </w:tc>
      </w:tr>
      <w:tr w:rsidR="00CA3C5B" w14:paraId="462181F8" w14:textId="77777777" w:rsidTr="003E4F57">
        <w:trPr>
          <w:cantSplit/>
        </w:trPr>
        <w:tc>
          <w:tcPr>
            <w:tcW w:w="4465" w:type="dxa"/>
          </w:tcPr>
          <w:p w14:paraId="2429A102" w14:textId="428B334E" w:rsidR="00CA3C5B" w:rsidRDefault="00260033" w:rsidP="003E4F57">
            <w:pPr>
              <w:pStyle w:val="TableCopy"/>
            </w:pPr>
            <w:r>
              <w:t>All</w:t>
            </w:r>
            <w:r w:rsidR="00932420">
              <w:t xml:space="preserve"> </w:t>
            </w:r>
            <w:r>
              <w:t>facility</w:t>
            </w:r>
            <w:r w:rsidR="00932420">
              <w:t xml:space="preserve"> </w:t>
            </w:r>
            <w:r>
              <w:t>safety</w:t>
            </w:r>
            <w:r w:rsidR="00932420">
              <w:t xml:space="preserve"> </w:t>
            </w:r>
            <w:r>
              <w:t>audits</w:t>
            </w:r>
            <w:r w:rsidR="00932420">
              <w:t xml:space="preserve"> </w:t>
            </w:r>
            <w:r>
              <w:t>conducted</w:t>
            </w:r>
          </w:p>
        </w:tc>
        <w:tc>
          <w:tcPr>
            <w:tcW w:w="1200" w:type="dxa"/>
          </w:tcPr>
          <w:p w14:paraId="6C128524" w14:textId="77777777" w:rsidR="00CA3C5B" w:rsidRDefault="00260033" w:rsidP="003E4F57">
            <w:pPr>
              <w:pStyle w:val="TableCopy"/>
            </w:pPr>
            <w:r>
              <w:t>number</w:t>
            </w:r>
          </w:p>
        </w:tc>
        <w:tc>
          <w:tcPr>
            <w:tcW w:w="963" w:type="dxa"/>
          </w:tcPr>
          <w:p w14:paraId="1D8AB7DB" w14:textId="77777777" w:rsidR="00CA3C5B" w:rsidRDefault="00260033" w:rsidP="009968E5">
            <w:pPr>
              <w:pStyle w:val="TableCopy"/>
              <w:jc w:val="right"/>
            </w:pPr>
            <w:r>
              <w:t>16</w:t>
            </w:r>
          </w:p>
        </w:tc>
        <w:tc>
          <w:tcPr>
            <w:tcW w:w="953" w:type="dxa"/>
          </w:tcPr>
          <w:p w14:paraId="6DBC171C" w14:textId="77777777" w:rsidR="00CA3C5B" w:rsidRDefault="00260033" w:rsidP="009968E5">
            <w:pPr>
              <w:pStyle w:val="TableCopy"/>
              <w:jc w:val="right"/>
            </w:pPr>
            <w:r>
              <w:t>16</w:t>
            </w:r>
          </w:p>
        </w:tc>
        <w:tc>
          <w:tcPr>
            <w:tcW w:w="1428" w:type="dxa"/>
          </w:tcPr>
          <w:p w14:paraId="63CF831B" w14:textId="77777777" w:rsidR="00CA3C5B" w:rsidRDefault="00260033" w:rsidP="009968E5">
            <w:pPr>
              <w:pStyle w:val="TableCopy"/>
              <w:jc w:val="right"/>
            </w:pPr>
            <w:r>
              <w:t>0.0%</w:t>
            </w:r>
          </w:p>
        </w:tc>
        <w:tc>
          <w:tcPr>
            <w:tcW w:w="767" w:type="dxa"/>
          </w:tcPr>
          <w:p w14:paraId="2AE59F6A" w14:textId="688B3CE8" w:rsidR="00CA3C5B" w:rsidRDefault="009968E5" w:rsidP="009968E5">
            <w:pPr>
              <w:pStyle w:val="TableCopy"/>
              <w:jc w:val="right"/>
            </w:pPr>
            <w:r w:rsidRPr="003E4F57">
              <w:t>1</w:t>
            </w:r>
          </w:p>
        </w:tc>
      </w:tr>
      <w:tr w:rsidR="00CA3C5B" w14:paraId="13337543" w14:textId="77777777" w:rsidTr="003E4F57">
        <w:trPr>
          <w:cantSplit/>
        </w:trPr>
        <w:tc>
          <w:tcPr>
            <w:tcW w:w="4465" w:type="dxa"/>
          </w:tcPr>
          <w:p w14:paraId="0E83E67B" w14:textId="1B08A35A" w:rsidR="00CA3C5B" w:rsidRDefault="00260033" w:rsidP="003E4F57">
            <w:pPr>
              <w:pStyle w:val="TableCopy"/>
            </w:pPr>
            <w:r>
              <w:t>Infrastructure</w:t>
            </w:r>
            <w:r w:rsidR="00932420">
              <w:t xml:space="preserve"> </w:t>
            </w:r>
            <w:r>
              <w:t>development</w:t>
            </w:r>
            <w:r w:rsidR="00932420">
              <w:t xml:space="preserve"> </w:t>
            </w:r>
            <w:r>
              <w:t>projects</w:t>
            </w:r>
            <w:r w:rsidR="00932420">
              <w:t xml:space="preserve"> </w:t>
            </w:r>
            <w:r>
              <w:t>underway</w:t>
            </w:r>
          </w:p>
        </w:tc>
        <w:tc>
          <w:tcPr>
            <w:tcW w:w="1200" w:type="dxa"/>
          </w:tcPr>
          <w:p w14:paraId="752DB8EC" w14:textId="77777777" w:rsidR="00CA3C5B" w:rsidRDefault="00260033" w:rsidP="003E4F57">
            <w:pPr>
              <w:pStyle w:val="TableCopy"/>
            </w:pPr>
            <w:r>
              <w:t>number</w:t>
            </w:r>
          </w:p>
        </w:tc>
        <w:tc>
          <w:tcPr>
            <w:tcW w:w="963" w:type="dxa"/>
          </w:tcPr>
          <w:p w14:paraId="761C376F" w14:textId="77777777" w:rsidR="00CA3C5B" w:rsidRDefault="00260033" w:rsidP="009968E5">
            <w:pPr>
              <w:pStyle w:val="TableCopy"/>
              <w:jc w:val="right"/>
            </w:pPr>
            <w:r>
              <w:t>13</w:t>
            </w:r>
          </w:p>
        </w:tc>
        <w:tc>
          <w:tcPr>
            <w:tcW w:w="953" w:type="dxa"/>
          </w:tcPr>
          <w:p w14:paraId="33878759" w14:textId="77777777" w:rsidR="00CA3C5B" w:rsidRDefault="00260033" w:rsidP="009968E5">
            <w:pPr>
              <w:pStyle w:val="TableCopy"/>
              <w:jc w:val="right"/>
            </w:pPr>
            <w:r>
              <w:t>13</w:t>
            </w:r>
          </w:p>
        </w:tc>
        <w:tc>
          <w:tcPr>
            <w:tcW w:w="1428" w:type="dxa"/>
          </w:tcPr>
          <w:p w14:paraId="71603C11" w14:textId="77777777" w:rsidR="00CA3C5B" w:rsidRDefault="00260033" w:rsidP="009968E5">
            <w:pPr>
              <w:pStyle w:val="TableCopy"/>
              <w:jc w:val="right"/>
            </w:pPr>
            <w:r>
              <w:t>0.0%</w:t>
            </w:r>
          </w:p>
        </w:tc>
        <w:tc>
          <w:tcPr>
            <w:tcW w:w="767" w:type="dxa"/>
          </w:tcPr>
          <w:p w14:paraId="13ED571B" w14:textId="3660C008" w:rsidR="00CA3C5B" w:rsidRDefault="009968E5" w:rsidP="009968E5">
            <w:pPr>
              <w:pStyle w:val="TableCopy"/>
              <w:jc w:val="right"/>
            </w:pPr>
            <w:r w:rsidRPr="003E4F57">
              <w:t>1</w:t>
            </w:r>
          </w:p>
        </w:tc>
      </w:tr>
      <w:tr w:rsidR="003E4F57" w14:paraId="1E81C832" w14:textId="77777777" w:rsidTr="003E4F57">
        <w:trPr>
          <w:cantSplit/>
        </w:trPr>
        <w:tc>
          <w:tcPr>
            <w:tcW w:w="4465" w:type="dxa"/>
          </w:tcPr>
          <w:p w14:paraId="3B7CEE7D" w14:textId="58E96153" w:rsidR="003E4F57" w:rsidRDefault="003E4F57" w:rsidP="003E4F57">
            <w:pPr>
              <w:pStyle w:val="TableHeading"/>
            </w:pPr>
            <w:r>
              <w:t>Quality</w:t>
            </w:r>
          </w:p>
        </w:tc>
        <w:tc>
          <w:tcPr>
            <w:tcW w:w="1200" w:type="dxa"/>
          </w:tcPr>
          <w:p w14:paraId="42D6075A" w14:textId="77777777" w:rsidR="003E4F57" w:rsidRDefault="003E4F57" w:rsidP="003E4F57">
            <w:pPr>
              <w:pStyle w:val="TableCopy"/>
            </w:pPr>
          </w:p>
        </w:tc>
        <w:tc>
          <w:tcPr>
            <w:tcW w:w="963" w:type="dxa"/>
          </w:tcPr>
          <w:p w14:paraId="27E4EEA6" w14:textId="77777777" w:rsidR="003E4F57" w:rsidRDefault="003E4F57" w:rsidP="009968E5">
            <w:pPr>
              <w:pStyle w:val="TableCopy"/>
              <w:jc w:val="right"/>
            </w:pPr>
          </w:p>
        </w:tc>
        <w:tc>
          <w:tcPr>
            <w:tcW w:w="953" w:type="dxa"/>
          </w:tcPr>
          <w:p w14:paraId="14A41FD0" w14:textId="77777777" w:rsidR="003E4F57" w:rsidRDefault="003E4F57" w:rsidP="009968E5">
            <w:pPr>
              <w:pStyle w:val="TableCopy"/>
              <w:jc w:val="right"/>
            </w:pPr>
          </w:p>
        </w:tc>
        <w:tc>
          <w:tcPr>
            <w:tcW w:w="1428" w:type="dxa"/>
          </w:tcPr>
          <w:p w14:paraId="7765294E" w14:textId="77777777" w:rsidR="003E4F57" w:rsidRDefault="003E4F57" w:rsidP="009968E5">
            <w:pPr>
              <w:pStyle w:val="TableCopy"/>
              <w:jc w:val="right"/>
            </w:pPr>
          </w:p>
        </w:tc>
        <w:tc>
          <w:tcPr>
            <w:tcW w:w="767" w:type="dxa"/>
          </w:tcPr>
          <w:p w14:paraId="7EEE7EC2" w14:textId="77777777" w:rsidR="003E4F57" w:rsidRPr="003E4F57" w:rsidRDefault="003E4F57" w:rsidP="009968E5">
            <w:pPr>
              <w:pStyle w:val="TableCopy"/>
              <w:jc w:val="right"/>
            </w:pPr>
          </w:p>
        </w:tc>
      </w:tr>
      <w:tr w:rsidR="00CA3C5B" w14:paraId="51C74D78" w14:textId="77777777" w:rsidTr="003E4F57">
        <w:trPr>
          <w:cantSplit/>
        </w:trPr>
        <w:tc>
          <w:tcPr>
            <w:tcW w:w="4465" w:type="dxa"/>
          </w:tcPr>
          <w:p w14:paraId="4E32D005" w14:textId="299CA2FB" w:rsidR="00CA3C5B" w:rsidRDefault="00260033" w:rsidP="003E4F57">
            <w:pPr>
              <w:pStyle w:val="TableCopy"/>
            </w:pPr>
            <w:r>
              <w:t>State-owned</w:t>
            </w:r>
            <w:r w:rsidR="00932420">
              <w:t xml:space="preserve"> </w:t>
            </w:r>
            <w:r>
              <w:t>tenanted</w:t>
            </w:r>
            <w:r w:rsidR="00932420">
              <w:t xml:space="preserve"> </w:t>
            </w:r>
            <w:r>
              <w:t>cultural</w:t>
            </w:r>
            <w:r w:rsidR="00932420">
              <w:t xml:space="preserve"> </w:t>
            </w:r>
            <w:r>
              <w:t>facilities</w:t>
            </w:r>
            <w:r w:rsidR="00932420">
              <w:t xml:space="preserve"> </w:t>
            </w:r>
            <w:r>
              <w:t>maintained</w:t>
            </w:r>
            <w:r w:rsidR="00932420">
              <w:t xml:space="preserve"> </w:t>
            </w:r>
            <w:r>
              <w:t>to</w:t>
            </w:r>
            <w:r w:rsidR="00932420">
              <w:t xml:space="preserve"> </w:t>
            </w:r>
            <w:r>
              <w:t>agreed</w:t>
            </w:r>
            <w:r w:rsidR="00932420">
              <w:t xml:space="preserve"> </w:t>
            </w:r>
            <w:r>
              <w:t>service</w:t>
            </w:r>
            <w:r w:rsidR="00932420">
              <w:t xml:space="preserve"> </w:t>
            </w:r>
            <w:r>
              <w:t>standards</w:t>
            </w:r>
          </w:p>
        </w:tc>
        <w:tc>
          <w:tcPr>
            <w:tcW w:w="1200" w:type="dxa"/>
          </w:tcPr>
          <w:p w14:paraId="0E634023" w14:textId="27D022C9" w:rsidR="00CA3C5B" w:rsidRDefault="00260033" w:rsidP="003E4F57">
            <w:pPr>
              <w:pStyle w:val="TableCopy"/>
            </w:pPr>
            <w:r>
              <w:t>per</w:t>
            </w:r>
            <w:r w:rsidR="00932420">
              <w:t xml:space="preserve"> </w:t>
            </w:r>
            <w:r>
              <w:t>cent</w:t>
            </w:r>
          </w:p>
        </w:tc>
        <w:tc>
          <w:tcPr>
            <w:tcW w:w="963" w:type="dxa"/>
          </w:tcPr>
          <w:p w14:paraId="10A03CE9" w14:textId="77777777" w:rsidR="00CA3C5B" w:rsidRDefault="00260033" w:rsidP="009968E5">
            <w:pPr>
              <w:pStyle w:val="TableCopy"/>
              <w:jc w:val="right"/>
            </w:pPr>
            <w:r>
              <w:t>94</w:t>
            </w:r>
          </w:p>
        </w:tc>
        <w:tc>
          <w:tcPr>
            <w:tcW w:w="953" w:type="dxa"/>
          </w:tcPr>
          <w:p w14:paraId="6E4D60FA" w14:textId="77777777" w:rsidR="00CA3C5B" w:rsidRDefault="00260033" w:rsidP="009968E5">
            <w:pPr>
              <w:pStyle w:val="TableCopy"/>
              <w:jc w:val="right"/>
            </w:pPr>
            <w:r>
              <w:t>90</w:t>
            </w:r>
          </w:p>
        </w:tc>
        <w:tc>
          <w:tcPr>
            <w:tcW w:w="1428" w:type="dxa"/>
          </w:tcPr>
          <w:p w14:paraId="298E48B7" w14:textId="77777777" w:rsidR="00CA3C5B" w:rsidRDefault="00260033" w:rsidP="009968E5">
            <w:pPr>
              <w:pStyle w:val="TableCopy"/>
              <w:jc w:val="right"/>
            </w:pPr>
            <w:r>
              <w:t>4.4%</w:t>
            </w:r>
          </w:p>
        </w:tc>
        <w:tc>
          <w:tcPr>
            <w:tcW w:w="767" w:type="dxa"/>
          </w:tcPr>
          <w:p w14:paraId="52884B8D" w14:textId="632A5F6C" w:rsidR="00CA3C5B" w:rsidRDefault="009968E5" w:rsidP="009968E5">
            <w:pPr>
              <w:pStyle w:val="TableCopy"/>
              <w:jc w:val="right"/>
            </w:pPr>
            <w:r w:rsidRPr="003E4F57">
              <w:t>1</w:t>
            </w:r>
          </w:p>
        </w:tc>
      </w:tr>
      <w:tr w:rsidR="00CA3C5B" w14:paraId="130ED3CE" w14:textId="77777777" w:rsidTr="003E4F57">
        <w:trPr>
          <w:cantSplit/>
        </w:trPr>
        <w:tc>
          <w:tcPr>
            <w:tcW w:w="4465" w:type="dxa"/>
          </w:tcPr>
          <w:p w14:paraId="65F3C7FD" w14:textId="77DD1BDE" w:rsidR="00CA3C5B" w:rsidRDefault="00260033" w:rsidP="003E4F57">
            <w:pPr>
              <w:pStyle w:val="TableCopy"/>
            </w:pPr>
            <w:r>
              <w:lastRenderedPageBreak/>
              <w:t>Success</w:t>
            </w:r>
            <w:r w:rsidR="00932420">
              <w:t xml:space="preserve"> </w:t>
            </w:r>
            <w:r>
              <w:t>measures</w:t>
            </w:r>
            <w:r w:rsidR="00932420">
              <w:t xml:space="preserve"> </w:t>
            </w:r>
            <w:r>
              <w:t>of</w:t>
            </w:r>
            <w:r w:rsidR="00932420">
              <w:t xml:space="preserve"> </w:t>
            </w:r>
            <w:r>
              <w:t>projects</w:t>
            </w:r>
            <w:r w:rsidR="00932420">
              <w:t xml:space="preserve"> </w:t>
            </w:r>
            <w:r>
              <w:t>achieved</w:t>
            </w:r>
          </w:p>
        </w:tc>
        <w:tc>
          <w:tcPr>
            <w:tcW w:w="1200" w:type="dxa"/>
          </w:tcPr>
          <w:p w14:paraId="544C151E" w14:textId="57AEA32A" w:rsidR="00CA3C5B" w:rsidRDefault="00260033" w:rsidP="003E4F57">
            <w:pPr>
              <w:pStyle w:val="TableCopy"/>
            </w:pPr>
            <w:r>
              <w:t>per</w:t>
            </w:r>
            <w:r w:rsidR="00932420">
              <w:t xml:space="preserve"> </w:t>
            </w:r>
            <w:r>
              <w:t>cent</w:t>
            </w:r>
          </w:p>
        </w:tc>
        <w:tc>
          <w:tcPr>
            <w:tcW w:w="963" w:type="dxa"/>
          </w:tcPr>
          <w:p w14:paraId="05D3026F" w14:textId="77777777" w:rsidR="00CA3C5B" w:rsidRDefault="00260033" w:rsidP="009968E5">
            <w:pPr>
              <w:pStyle w:val="TableCopy"/>
              <w:jc w:val="right"/>
            </w:pPr>
            <w:r>
              <w:t>93</w:t>
            </w:r>
          </w:p>
        </w:tc>
        <w:tc>
          <w:tcPr>
            <w:tcW w:w="953" w:type="dxa"/>
          </w:tcPr>
          <w:p w14:paraId="0B110A55" w14:textId="77777777" w:rsidR="00CA3C5B" w:rsidRDefault="00260033" w:rsidP="009968E5">
            <w:pPr>
              <w:pStyle w:val="TableCopy"/>
              <w:jc w:val="right"/>
            </w:pPr>
            <w:r>
              <w:t>90</w:t>
            </w:r>
          </w:p>
        </w:tc>
        <w:tc>
          <w:tcPr>
            <w:tcW w:w="1428" w:type="dxa"/>
          </w:tcPr>
          <w:p w14:paraId="27C62696" w14:textId="77777777" w:rsidR="00CA3C5B" w:rsidRDefault="00260033" w:rsidP="009968E5">
            <w:pPr>
              <w:pStyle w:val="TableCopy"/>
              <w:jc w:val="right"/>
            </w:pPr>
            <w:r>
              <w:t>3.3%</w:t>
            </w:r>
          </w:p>
        </w:tc>
        <w:tc>
          <w:tcPr>
            <w:tcW w:w="767" w:type="dxa"/>
          </w:tcPr>
          <w:p w14:paraId="77C31BCF" w14:textId="356F3064" w:rsidR="00CA3C5B" w:rsidRDefault="009968E5" w:rsidP="009968E5">
            <w:pPr>
              <w:pStyle w:val="TableCopy"/>
              <w:jc w:val="right"/>
            </w:pPr>
            <w:r w:rsidRPr="003E4F57">
              <w:t>1</w:t>
            </w:r>
          </w:p>
        </w:tc>
      </w:tr>
      <w:tr w:rsidR="003E4F57" w14:paraId="03F48735" w14:textId="77777777" w:rsidTr="003E4F57">
        <w:trPr>
          <w:cantSplit/>
        </w:trPr>
        <w:tc>
          <w:tcPr>
            <w:tcW w:w="4465" w:type="dxa"/>
          </w:tcPr>
          <w:p w14:paraId="3EF3812B" w14:textId="411F3A31" w:rsidR="003E4F57" w:rsidRDefault="003E4F57" w:rsidP="003E4F57">
            <w:pPr>
              <w:pStyle w:val="TableHeading"/>
            </w:pPr>
            <w:r>
              <w:t>Timeliness</w:t>
            </w:r>
          </w:p>
        </w:tc>
        <w:tc>
          <w:tcPr>
            <w:tcW w:w="1200" w:type="dxa"/>
          </w:tcPr>
          <w:p w14:paraId="1EAF17AE" w14:textId="77777777" w:rsidR="003E4F57" w:rsidRDefault="003E4F57" w:rsidP="003E4F57">
            <w:pPr>
              <w:pStyle w:val="TableCopy"/>
            </w:pPr>
          </w:p>
        </w:tc>
        <w:tc>
          <w:tcPr>
            <w:tcW w:w="963" w:type="dxa"/>
          </w:tcPr>
          <w:p w14:paraId="3E2C2582" w14:textId="77777777" w:rsidR="003E4F57" w:rsidRDefault="003E4F57" w:rsidP="009968E5">
            <w:pPr>
              <w:pStyle w:val="TableCopy"/>
              <w:jc w:val="right"/>
            </w:pPr>
          </w:p>
        </w:tc>
        <w:tc>
          <w:tcPr>
            <w:tcW w:w="953" w:type="dxa"/>
          </w:tcPr>
          <w:p w14:paraId="3EA7C804" w14:textId="77777777" w:rsidR="003E4F57" w:rsidRDefault="003E4F57" w:rsidP="009968E5">
            <w:pPr>
              <w:pStyle w:val="TableCopy"/>
              <w:jc w:val="right"/>
            </w:pPr>
          </w:p>
        </w:tc>
        <w:tc>
          <w:tcPr>
            <w:tcW w:w="1428" w:type="dxa"/>
          </w:tcPr>
          <w:p w14:paraId="45B1087C" w14:textId="77777777" w:rsidR="003E4F57" w:rsidRDefault="003E4F57" w:rsidP="009968E5">
            <w:pPr>
              <w:pStyle w:val="TableCopy"/>
              <w:jc w:val="right"/>
            </w:pPr>
          </w:p>
        </w:tc>
        <w:tc>
          <w:tcPr>
            <w:tcW w:w="767" w:type="dxa"/>
          </w:tcPr>
          <w:p w14:paraId="339F5E61" w14:textId="77777777" w:rsidR="003E4F57" w:rsidRPr="003E4F57" w:rsidRDefault="003E4F57" w:rsidP="009968E5">
            <w:pPr>
              <w:pStyle w:val="TableCopy"/>
              <w:jc w:val="right"/>
            </w:pPr>
          </w:p>
        </w:tc>
      </w:tr>
      <w:tr w:rsidR="00CA3C5B" w14:paraId="20A794D6" w14:textId="77777777" w:rsidTr="003E4F57">
        <w:trPr>
          <w:cantSplit/>
        </w:trPr>
        <w:tc>
          <w:tcPr>
            <w:tcW w:w="4465" w:type="dxa"/>
          </w:tcPr>
          <w:p w14:paraId="0430C1E2" w14:textId="7C23FDDF" w:rsidR="00CA3C5B" w:rsidRDefault="00260033" w:rsidP="003E4F57">
            <w:pPr>
              <w:pStyle w:val="TableCopy"/>
            </w:pPr>
            <w:r>
              <w:t>Cultural</w:t>
            </w:r>
            <w:r w:rsidR="00932420">
              <w:t xml:space="preserve"> </w:t>
            </w:r>
            <w:r>
              <w:t>Facilities</w:t>
            </w:r>
            <w:r w:rsidR="00932420">
              <w:t xml:space="preserve"> </w:t>
            </w:r>
            <w:r>
              <w:t>Maintenance</w:t>
            </w:r>
            <w:r w:rsidR="00932420">
              <w:t xml:space="preserve"> </w:t>
            </w:r>
            <w:r>
              <w:t>Fund</w:t>
            </w:r>
            <w:r w:rsidR="00932420">
              <w:t xml:space="preserve"> </w:t>
            </w:r>
            <w:r>
              <w:t>projects</w:t>
            </w:r>
            <w:r w:rsidR="00932420">
              <w:t xml:space="preserve"> </w:t>
            </w:r>
            <w:r>
              <w:t>delivered</w:t>
            </w:r>
            <w:r w:rsidR="00932420">
              <w:t xml:space="preserve"> </w:t>
            </w:r>
            <w:r>
              <w:t>within</w:t>
            </w:r>
            <w:r w:rsidR="00932420">
              <w:t xml:space="preserve"> </w:t>
            </w:r>
            <w:r>
              <w:t>agreed</w:t>
            </w:r>
            <w:r w:rsidR="00932420">
              <w:t xml:space="preserve"> </w:t>
            </w:r>
            <w:r>
              <w:t>timeframes</w:t>
            </w:r>
          </w:p>
        </w:tc>
        <w:tc>
          <w:tcPr>
            <w:tcW w:w="1200" w:type="dxa"/>
          </w:tcPr>
          <w:p w14:paraId="5D8ABD09" w14:textId="28D0B6E8" w:rsidR="00CA3C5B" w:rsidRDefault="00260033" w:rsidP="003E4F57">
            <w:pPr>
              <w:pStyle w:val="TableCopy"/>
            </w:pPr>
            <w:r>
              <w:t>per</w:t>
            </w:r>
            <w:r w:rsidR="00932420">
              <w:t xml:space="preserve"> </w:t>
            </w:r>
            <w:r>
              <w:t>cent</w:t>
            </w:r>
          </w:p>
        </w:tc>
        <w:tc>
          <w:tcPr>
            <w:tcW w:w="963" w:type="dxa"/>
          </w:tcPr>
          <w:p w14:paraId="2E82FC7B" w14:textId="77777777" w:rsidR="00CA3C5B" w:rsidRDefault="00260033" w:rsidP="009968E5">
            <w:pPr>
              <w:pStyle w:val="TableCopy"/>
              <w:jc w:val="right"/>
            </w:pPr>
            <w:r>
              <w:t>94</w:t>
            </w:r>
          </w:p>
        </w:tc>
        <w:tc>
          <w:tcPr>
            <w:tcW w:w="953" w:type="dxa"/>
          </w:tcPr>
          <w:p w14:paraId="721CB7F9" w14:textId="77777777" w:rsidR="00CA3C5B" w:rsidRDefault="00260033" w:rsidP="009968E5">
            <w:pPr>
              <w:pStyle w:val="TableCopy"/>
              <w:jc w:val="right"/>
            </w:pPr>
            <w:r>
              <w:t>90</w:t>
            </w:r>
          </w:p>
        </w:tc>
        <w:tc>
          <w:tcPr>
            <w:tcW w:w="1428" w:type="dxa"/>
          </w:tcPr>
          <w:p w14:paraId="52CABBA0" w14:textId="77777777" w:rsidR="00CA3C5B" w:rsidRDefault="00260033" w:rsidP="009968E5">
            <w:pPr>
              <w:pStyle w:val="TableCopy"/>
              <w:jc w:val="right"/>
            </w:pPr>
            <w:r>
              <w:t>4.4%</w:t>
            </w:r>
          </w:p>
        </w:tc>
        <w:tc>
          <w:tcPr>
            <w:tcW w:w="767" w:type="dxa"/>
          </w:tcPr>
          <w:p w14:paraId="468CBFD1" w14:textId="6E49986E" w:rsidR="00CA3C5B" w:rsidRDefault="009968E5" w:rsidP="009968E5">
            <w:pPr>
              <w:pStyle w:val="TableCopy"/>
              <w:jc w:val="right"/>
            </w:pPr>
            <w:r w:rsidRPr="003E4F57">
              <w:t>1</w:t>
            </w:r>
          </w:p>
        </w:tc>
      </w:tr>
      <w:tr w:rsidR="003E4F57" w14:paraId="7EDB1816" w14:textId="77777777" w:rsidTr="003E4F57">
        <w:trPr>
          <w:cantSplit/>
        </w:trPr>
        <w:tc>
          <w:tcPr>
            <w:tcW w:w="4465" w:type="dxa"/>
          </w:tcPr>
          <w:p w14:paraId="277CEC34" w14:textId="09C7A9A3" w:rsidR="003E4F57" w:rsidRDefault="003E4F57" w:rsidP="003E4F57">
            <w:pPr>
              <w:pStyle w:val="TableHeading"/>
            </w:pPr>
            <w:r>
              <w:t>Cost</w:t>
            </w:r>
          </w:p>
        </w:tc>
        <w:tc>
          <w:tcPr>
            <w:tcW w:w="1200" w:type="dxa"/>
          </w:tcPr>
          <w:p w14:paraId="7E7E581C" w14:textId="77777777" w:rsidR="003E4F57" w:rsidRDefault="003E4F57" w:rsidP="003E4F57">
            <w:pPr>
              <w:pStyle w:val="TableCopy"/>
            </w:pPr>
          </w:p>
        </w:tc>
        <w:tc>
          <w:tcPr>
            <w:tcW w:w="963" w:type="dxa"/>
          </w:tcPr>
          <w:p w14:paraId="5007267A" w14:textId="77777777" w:rsidR="003E4F57" w:rsidRDefault="003E4F57" w:rsidP="009968E5">
            <w:pPr>
              <w:pStyle w:val="TableCopy"/>
              <w:jc w:val="right"/>
            </w:pPr>
          </w:p>
        </w:tc>
        <w:tc>
          <w:tcPr>
            <w:tcW w:w="953" w:type="dxa"/>
          </w:tcPr>
          <w:p w14:paraId="3D5BFD59" w14:textId="77777777" w:rsidR="003E4F57" w:rsidRDefault="003E4F57" w:rsidP="009968E5">
            <w:pPr>
              <w:pStyle w:val="TableCopy"/>
              <w:jc w:val="right"/>
            </w:pPr>
          </w:p>
        </w:tc>
        <w:tc>
          <w:tcPr>
            <w:tcW w:w="1428" w:type="dxa"/>
          </w:tcPr>
          <w:p w14:paraId="0D130FCF" w14:textId="77777777" w:rsidR="003E4F57" w:rsidRDefault="003E4F57" w:rsidP="009968E5">
            <w:pPr>
              <w:pStyle w:val="TableCopy"/>
              <w:jc w:val="right"/>
            </w:pPr>
          </w:p>
        </w:tc>
        <w:tc>
          <w:tcPr>
            <w:tcW w:w="767" w:type="dxa"/>
          </w:tcPr>
          <w:p w14:paraId="2F522ED3" w14:textId="77777777" w:rsidR="003E4F57" w:rsidRPr="003E4F57" w:rsidRDefault="003E4F57" w:rsidP="009968E5">
            <w:pPr>
              <w:pStyle w:val="TableCopy"/>
              <w:jc w:val="right"/>
            </w:pPr>
          </w:p>
        </w:tc>
      </w:tr>
      <w:tr w:rsidR="00CA3C5B" w:rsidRPr="003E4F57" w14:paraId="4EAB1CE3" w14:textId="77777777" w:rsidTr="003E4F57">
        <w:trPr>
          <w:cantSplit/>
        </w:trPr>
        <w:tc>
          <w:tcPr>
            <w:tcW w:w="4465" w:type="dxa"/>
          </w:tcPr>
          <w:p w14:paraId="47AD85DA" w14:textId="5C8110BD" w:rsidR="00CA3C5B" w:rsidRPr="003E4F57" w:rsidRDefault="00260033" w:rsidP="003E4F57">
            <w:pPr>
              <w:pStyle w:val="TableCopy"/>
              <w:rPr>
                <w:b/>
                <w:bCs/>
              </w:rPr>
            </w:pPr>
            <w:r w:rsidRPr="003E4F57">
              <w:rPr>
                <w:b/>
                <w:bCs/>
              </w:rPr>
              <w:t>Total</w:t>
            </w:r>
            <w:r w:rsidR="00932420" w:rsidRPr="003E4F57">
              <w:rPr>
                <w:b/>
                <w:bCs/>
              </w:rPr>
              <w:t xml:space="preserve"> </w:t>
            </w:r>
            <w:r w:rsidRPr="003E4F57">
              <w:rPr>
                <w:b/>
                <w:bCs/>
              </w:rPr>
              <w:t>output</w:t>
            </w:r>
            <w:r w:rsidR="00932420" w:rsidRPr="003E4F57">
              <w:rPr>
                <w:b/>
                <w:bCs/>
              </w:rPr>
              <w:t xml:space="preserve"> </w:t>
            </w:r>
            <w:r w:rsidRPr="003E4F57">
              <w:rPr>
                <w:b/>
                <w:bCs/>
              </w:rPr>
              <w:t>cost</w:t>
            </w:r>
          </w:p>
        </w:tc>
        <w:tc>
          <w:tcPr>
            <w:tcW w:w="1200" w:type="dxa"/>
          </w:tcPr>
          <w:p w14:paraId="66F4DD9A" w14:textId="71DEF3DB" w:rsidR="00CA3C5B" w:rsidRPr="003E4F57" w:rsidRDefault="00260033" w:rsidP="003E4F57">
            <w:pPr>
              <w:pStyle w:val="TableCopy"/>
              <w:rPr>
                <w:b/>
                <w:bCs/>
              </w:rPr>
            </w:pPr>
            <w:r w:rsidRPr="003E4F57">
              <w:rPr>
                <w:b/>
                <w:bCs/>
              </w:rPr>
              <w:t>$</w:t>
            </w:r>
            <w:r w:rsidR="00932420" w:rsidRPr="003E4F57">
              <w:rPr>
                <w:b/>
                <w:bCs/>
              </w:rPr>
              <w:t xml:space="preserve"> </w:t>
            </w:r>
            <w:r w:rsidRPr="003E4F57">
              <w:rPr>
                <w:b/>
                <w:bCs/>
              </w:rPr>
              <w:t>million</w:t>
            </w:r>
          </w:p>
        </w:tc>
        <w:tc>
          <w:tcPr>
            <w:tcW w:w="963" w:type="dxa"/>
          </w:tcPr>
          <w:p w14:paraId="5AE63BE1" w14:textId="77777777" w:rsidR="00CA3C5B" w:rsidRPr="003E4F57" w:rsidRDefault="00260033" w:rsidP="009968E5">
            <w:pPr>
              <w:pStyle w:val="TableCopy"/>
              <w:jc w:val="right"/>
              <w:rPr>
                <w:b/>
                <w:bCs/>
              </w:rPr>
            </w:pPr>
            <w:r w:rsidRPr="003E4F57">
              <w:rPr>
                <w:b/>
                <w:bCs/>
              </w:rPr>
              <w:t>52.6</w:t>
            </w:r>
          </w:p>
        </w:tc>
        <w:tc>
          <w:tcPr>
            <w:tcW w:w="953" w:type="dxa"/>
          </w:tcPr>
          <w:p w14:paraId="4D9405E6" w14:textId="77777777" w:rsidR="00CA3C5B" w:rsidRPr="003E4F57" w:rsidRDefault="00260033" w:rsidP="009968E5">
            <w:pPr>
              <w:pStyle w:val="TableCopy"/>
              <w:jc w:val="right"/>
              <w:rPr>
                <w:b/>
                <w:bCs/>
              </w:rPr>
            </w:pPr>
            <w:r w:rsidRPr="003E4F57">
              <w:rPr>
                <w:b/>
                <w:bCs/>
              </w:rPr>
              <w:t>72.0</w:t>
            </w:r>
          </w:p>
        </w:tc>
        <w:tc>
          <w:tcPr>
            <w:tcW w:w="1428" w:type="dxa"/>
          </w:tcPr>
          <w:p w14:paraId="42B31641" w14:textId="77777777" w:rsidR="00CA3C5B" w:rsidRPr="003E4F57" w:rsidRDefault="00260033" w:rsidP="009968E5">
            <w:pPr>
              <w:pStyle w:val="TableCopy"/>
              <w:jc w:val="right"/>
              <w:rPr>
                <w:b/>
                <w:bCs/>
              </w:rPr>
            </w:pPr>
            <w:r w:rsidRPr="003E4F57">
              <w:rPr>
                <w:b/>
                <w:bCs/>
              </w:rPr>
              <w:t>-27.0%</w:t>
            </w:r>
          </w:p>
        </w:tc>
        <w:tc>
          <w:tcPr>
            <w:tcW w:w="767" w:type="dxa"/>
          </w:tcPr>
          <w:p w14:paraId="6B69A350" w14:textId="28DB7052" w:rsidR="00CA3C5B" w:rsidRPr="009968E5" w:rsidRDefault="009968E5" w:rsidP="009968E5">
            <w:pPr>
              <w:pStyle w:val="TableCopy"/>
              <w:jc w:val="right"/>
              <w:rPr>
                <w:b/>
                <w:bCs/>
              </w:rPr>
            </w:pPr>
            <w:r w:rsidRPr="009968E5">
              <w:rPr>
                <w:b/>
                <w:bCs/>
              </w:rPr>
              <w:t>1</w:t>
            </w:r>
          </w:p>
        </w:tc>
      </w:tr>
      <w:tr w:rsidR="009968E5" w:rsidRPr="009968E5" w14:paraId="0DD0666C" w14:textId="77777777" w:rsidTr="003E4F57">
        <w:trPr>
          <w:cantSplit/>
        </w:trPr>
        <w:tc>
          <w:tcPr>
            <w:tcW w:w="4465" w:type="dxa"/>
          </w:tcPr>
          <w:p w14:paraId="2B8011AD" w14:textId="6AE9FE25" w:rsidR="009968E5" w:rsidRPr="009968E5" w:rsidRDefault="009968E5" w:rsidP="009968E5">
            <w:pPr>
              <w:pStyle w:val="TableCopy"/>
              <w:rPr>
                <w:i/>
                <w:iCs/>
              </w:rPr>
            </w:pPr>
            <w:r w:rsidRPr="009968E5">
              <w:rPr>
                <w:i/>
                <w:iCs/>
              </w:rPr>
              <w:t>The 2022–23 result is lower than the 2022–23 budget due to the timing of payments for the Creative Infrastructure Program, with milestone payments now expected to be made in future years.</w:t>
            </w:r>
          </w:p>
        </w:tc>
        <w:tc>
          <w:tcPr>
            <w:tcW w:w="1200" w:type="dxa"/>
          </w:tcPr>
          <w:p w14:paraId="6B32E8BF" w14:textId="77777777" w:rsidR="009968E5" w:rsidRPr="009968E5" w:rsidRDefault="009968E5" w:rsidP="009968E5">
            <w:pPr>
              <w:pStyle w:val="TableCopy"/>
            </w:pPr>
          </w:p>
        </w:tc>
        <w:tc>
          <w:tcPr>
            <w:tcW w:w="963" w:type="dxa"/>
          </w:tcPr>
          <w:p w14:paraId="1B17CB7E" w14:textId="77777777" w:rsidR="009968E5" w:rsidRPr="009968E5" w:rsidRDefault="009968E5" w:rsidP="009968E5">
            <w:pPr>
              <w:pStyle w:val="TableCopy"/>
            </w:pPr>
          </w:p>
        </w:tc>
        <w:tc>
          <w:tcPr>
            <w:tcW w:w="953" w:type="dxa"/>
          </w:tcPr>
          <w:p w14:paraId="7AE66E05" w14:textId="77777777" w:rsidR="009968E5" w:rsidRPr="009968E5" w:rsidRDefault="009968E5" w:rsidP="009968E5">
            <w:pPr>
              <w:pStyle w:val="TableCopy"/>
            </w:pPr>
          </w:p>
        </w:tc>
        <w:tc>
          <w:tcPr>
            <w:tcW w:w="1428" w:type="dxa"/>
          </w:tcPr>
          <w:p w14:paraId="7517C06E" w14:textId="77777777" w:rsidR="009968E5" w:rsidRPr="009968E5" w:rsidRDefault="009968E5" w:rsidP="009968E5">
            <w:pPr>
              <w:pStyle w:val="TableCopy"/>
            </w:pPr>
          </w:p>
        </w:tc>
        <w:tc>
          <w:tcPr>
            <w:tcW w:w="767" w:type="dxa"/>
          </w:tcPr>
          <w:p w14:paraId="2B3E3DAA" w14:textId="77777777" w:rsidR="009968E5" w:rsidRPr="009968E5" w:rsidRDefault="009968E5" w:rsidP="009968E5">
            <w:pPr>
              <w:pStyle w:val="TableCopy"/>
            </w:pPr>
          </w:p>
        </w:tc>
      </w:tr>
    </w:tbl>
    <w:p w14:paraId="75F5C25E" w14:textId="77777777" w:rsidR="009968E5" w:rsidRDefault="009968E5" w:rsidP="009968E5">
      <w:pPr>
        <w:pStyle w:val="FootnoteText"/>
        <w:spacing w:before="120"/>
      </w:pPr>
      <w:r>
        <w:t>Note:</w:t>
      </w:r>
    </w:p>
    <w:p w14:paraId="702E8A5B" w14:textId="77777777" w:rsidR="009968E5" w:rsidRDefault="009968E5" w:rsidP="009968E5">
      <w:pPr>
        <w:pStyle w:val="FootnoteText"/>
      </w:pPr>
      <w:r>
        <w:t>1</w:t>
      </w:r>
      <w:r w:rsidRPr="00A517F3">
        <w:t xml:space="preserve"> </w:t>
      </w:r>
      <w:r>
        <w:t>Performance target achieved or exceeded</w:t>
      </w:r>
    </w:p>
    <w:p w14:paraId="447EA8CA" w14:textId="77777777" w:rsidR="009968E5" w:rsidRDefault="009968E5" w:rsidP="009968E5">
      <w:pPr>
        <w:pStyle w:val="FootnoteText"/>
      </w:pPr>
      <w:r>
        <w:t>2</w:t>
      </w:r>
      <w:r w:rsidRPr="00A517F3">
        <w:t xml:space="preserve"> </w:t>
      </w:r>
      <w:r>
        <w:t>Performance target not achieved – but within 5% variance</w:t>
      </w:r>
    </w:p>
    <w:p w14:paraId="4A1E1E3B" w14:textId="77777777" w:rsidR="009968E5" w:rsidRDefault="009968E5" w:rsidP="009968E5">
      <w:pPr>
        <w:pStyle w:val="FootnoteText"/>
        <w:spacing w:after="280"/>
      </w:pPr>
      <w:r>
        <w:t>3</w:t>
      </w:r>
      <w:r w:rsidRPr="00A517F3">
        <w:t xml:space="preserve"> </w:t>
      </w:r>
      <w:r>
        <w:t>Performance target not achieved – exceeds 5% variance</w:t>
      </w:r>
    </w:p>
    <w:p w14:paraId="01B8DF7F" w14:textId="18E9A61B" w:rsidR="00CA3C5B" w:rsidRDefault="00260033" w:rsidP="009968E5">
      <w:r>
        <w:t>Table</w:t>
      </w:r>
      <w:r w:rsidR="00932420">
        <w:t xml:space="preserve"> </w:t>
      </w:r>
      <w:r>
        <w:t>25</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Sport</w:t>
      </w:r>
      <w:r w:rsidR="00932420">
        <w:t xml:space="preserve"> </w:t>
      </w:r>
      <w:r>
        <w:t>and</w:t>
      </w:r>
      <w:r w:rsidR="00932420">
        <w:t xml:space="preserve"> </w:t>
      </w:r>
      <w:r>
        <w:t>Recreation</w:t>
      </w:r>
      <w:r w:rsidR="00932420">
        <w:t xml:space="preserve"> </w:t>
      </w:r>
      <w:r>
        <w:t>output.</w:t>
      </w:r>
      <w:r w:rsidR="00932420">
        <w:t xml:space="preserve"> </w:t>
      </w:r>
      <w:r>
        <w:t>This</w:t>
      </w:r>
      <w:r w:rsidR="00932420">
        <w:t xml:space="preserve"> </w:t>
      </w:r>
      <w:r>
        <w:t>output</w:t>
      </w:r>
      <w:r w:rsidR="00932420">
        <w:t xml:space="preserve"> </w:t>
      </w:r>
      <w:r>
        <w:t>provides</w:t>
      </w:r>
      <w:r w:rsidR="00932420">
        <w:t xml:space="preserve"> </w:t>
      </w:r>
      <w:r>
        <w:t>strategic</w:t>
      </w:r>
      <w:r w:rsidR="00932420">
        <w:t xml:space="preserve"> </w:t>
      </w:r>
      <w:r>
        <w:t>leadership</w:t>
      </w:r>
      <w:r w:rsidR="00932420">
        <w:t xml:space="preserve"> </w:t>
      </w:r>
      <w:r>
        <w:t>and</w:t>
      </w:r>
      <w:r w:rsidR="00932420">
        <w:t xml:space="preserve"> </w:t>
      </w:r>
      <w:r>
        <w:t>investment</w:t>
      </w:r>
      <w:r w:rsidR="00932420">
        <w:t xml:space="preserve"> </w:t>
      </w:r>
      <w:r>
        <w:t>in</w:t>
      </w:r>
      <w:r w:rsidR="00932420">
        <w:t xml:space="preserve"> </w:t>
      </w:r>
      <w:r>
        <w:t>the</w:t>
      </w:r>
      <w:r w:rsidR="00932420">
        <w:t xml:space="preserve"> </w:t>
      </w:r>
      <w:r>
        <w:t>sport</w:t>
      </w:r>
      <w:r w:rsidR="00932420">
        <w:t xml:space="preserve"> </w:t>
      </w:r>
      <w:r>
        <w:t>and</w:t>
      </w:r>
      <w:r w:rsidR="00932420">
        <w:t xml:space="preserve"> </w:t>
      </w:r>
      <w:r>
        <w:t>recreation</w:t>
      </w:r>
      <w:r w:rsidR="00932420">
        <w:t xml:space="preserve"> </w:t>
      </w:r>
      <w:r>
        <w:t>industry</w:t>
      </w:r>
      <w:r w:rsidR="00932420">
        <w:t xml:space="preserve"> </w:t>
      </w:r>
      <w:r>
        <w:t>through</w:t>
      </w:r>
      <w:r w:rsidR="00932420">
        <w:t xml:space="preserve"> </w:t>
      </w:r>
      <w:r>
        <w:t>innovation,</w:t>
      </w:r>
      <w:r w:rsidR="00932420">
        <w:t xml:space="preserve"> </w:t>
      </w:r>
      <w:r>
        <w:t>sector</w:t>
      </w:r>
      <w:r w:rsidR="00932420">
        <w:t xml:space="preserve"> </w:t>
      </w:r>
      <w:r>
        <w:t>and</w:t>
      </w:r>
      <w:r w:rsidR="00932420">
        <w:t xml:space="preserve"> </w:t>
      </w:r>
      <w:r>
        <w:t>industry</w:t>
      </w:r>
      <w:r w:rsidR="00932420">
        <w:t xml:space="preserve"> </w:t>
      </w:r>
      <w:r>
        <w:t>development</w:t>
      </w:r>
      <w:r w:rsidR="00932420">
        <w:t xml:space="preserve"> </w:t>
      </w:r>
      <w:r>
        <w:t>and</w:t>
      </w:r>
      <w:r w:rsidR="00932420">
        <w:t xml:space="preserve"> </w:t>
      </w:r>
      <w:r>
        <w:t>funding</w:t>
      </w:r>
      <w:r w:rsidR="00932420">
        <w:t xml:space="preserve"> </w:t>
      </w:r>
      <w:r>
        <w:t>support.</w:t>
      </w:r>
      <w:r w:rsidR="00932420">
        <w:t xml:space="preserve"> </w:t>
      </w:r>
      <w:r>
        <w:t>It</w:t>
      </w:r>
      <w:r w:rsidR="00932420">
        <w:t xml:space="preserve"> </w:t>
      </w:r>
      <w:r>
        <w:t>supports</w:t>
      </w:r>
      <w:r w:rsidR="00932420">
        <w:t xml:space="preserve"> </w:t>
      </w:r>
      <w:r>
        <w:t>community</w:t>
      </w:r>
      <w:r w:rsidR="00932420">
        <w:t xml:space="preserve"> </w:t>
      </w:r>
      <w:r>
        <w:t>participation</w:t>
      </w:r>
      <w:r w:rsidR="00932420">
        <w:t xml:space="preserve"> </w:t>
      </w:r>
      <w:r>
        <w:t>and</w:t>
      </w:r>
      <w:r w:rsidR="00932420">
        <w:t xml:space="preserve"> </w:t>
      </w:r>
      <w:r>
        <w:t>inclusion</w:t>
      </w:r>
      <w:r w:rsidR="00932420">
        <w:t xml:space="preserve"> </w:t>
      </w:r>
      <w:r>
        <w:t>in</w:t>
      </w:r>
      <w:r w:rsidR="00932420">
        <w:t xml:space="preserve"> </w:t>
      </w:r>
      <w:r>
        <w:t>the</w:t>
      </w:r>
      <w:r w:rsidR="00932420">
        <w:t xml:space="preserve"> </w:t>
      </w:r>
      <w:r>
        <w:t>sport</w:t>
      </w:r>
      <w:r w:rsidR="00932420">
        <w:t xml:space="preserve"> </w:t>
      </w:r>
      <w:r>
        <w:t>and</w:t>
      </w:r>
      <w:r w:rsidR="00932420">
        <w:t xml:space="preserve"> </w:t>
      </w:r>
      <w:r>
        <w:t>recreation</w:t>
      </w:r>
      <w:r w:rsidR="00932420">
        <w:t xml:space="preserve"> </w:t>
      </w:r>
      <w:r>
        <w:t>sector</w:t>
      </w:r>
      <w:r w:rsidR="00932420">
        <w:t xml:space="preserve"> </w:t>
      </w:r>
      <w:r>
        <w:t>by</w:t>
      </w:r>
      <w:r w:rsidR="00932420">
        <w:t xml:space="preserve"> </w:t>
      </w:r>
      <w:r>
        <w:t>strengthening</w:t>
      </w:r>
      <w:r w:rsidR="00932420">
        <w:t xml:space="preserve"> </w:t>
      </w:r>
      <w:r>
        <w:t>the</w:t>
      </w:r>
      <w:r w:rsidR="00932420">
        <w:t xml:space="preserve"> </w:t>
      </w:r>
      <w:r>
        <w:t>capacity</w:t>
      </w:r>
      <w:r w:rsidR="00932420">
        <w:t xml:space="preserve"> </w:t>
      </w:r>
      <w:r>
        <w:t>of</w:t>
      </w:r>
      <w:r w:rsidR="00932420">
        <w:t xml:space="preserve"> </w:t>
      </w:r>
      <w:r>
        <w:t>sport</w:t>
      </w:r>
      <w:r w:rsidR="00932420">
        <w:t xml:space="preserve"> </w:t>
      </w:r>
      <w:r>
        <w:t>and</w:t>
      </w:r>
      <w:r w:rsidR="00932420">
        <w:t xml:space="preserve"> </w:t>
      </w:r>
      <w:r>
        <w:t>recreation</w:t>
      </w:r>
      <w:r w:rsidR="00932420">
        <w:t xml:space="preserve"> </w:t>
      </w:r>
      <w:r>
        <w:t>organisations</w:t>
      </w:r>
      <w:r w:rsidR="00932420">
        <w:t xml:space="preserve"> </w:t>
      </w:r>
      <w:r>
        <w:t>to</w:t>
      </w:r>
      <w:r w:rsidR="00932420">
        <w:t xml:space="preserve"> </w:t>
      </w:r>
      <w:r>
        <w:t>deliver</w:t>
      </w:r>
      <w:r w:rsidR="00932420">
        <w:t xml:space="preserve"> </w:t>
      </w:r>
      <w:r>
        <w:t>participation</w:t>
      </w:r>
      <w:r w:rsidR="00932420">
        <w:t xml:space="preserve"> </w:t>
      </w:r>
      <w:r>
        <w:t>opportunities,</w:t>
      </w:r>
      <w:r w:rsidR="00932420">
        <w:t xml:space="preserve"> </w:t>
      </w:r>
      <w:r>
        <w:t>improving</w:t>
      </w:r>
      <w:r w:rsidR="00932420">
        <w:t xml:space="preserve"> </w:t>
      </w:r>
      <w:r>
        <w:t>community</w:t>
      </w:r>
      <w:r w:rsidR="00932420">
        <w:t xml:space="preserve"> </w:t>
      </w:r>
      <w:r>
        <w:t>sport</w:t>
      </w:r>
      <w:r w:rsidR="00932420">
        <w:t xml:space="preserve"> </w:t>
      </w:r>
      <w:r>
        <w:t>and</w:t>
      </w:r>
      <w:r w:rsidR="00932420">
        <w:t xml:space="preserve"> </w:t>
      </w:r>
      <w:r>
        <w:t>recreation</w:t>
      </w:r>
      <w:r w:rsidR="00932420">
        <w:t xml:space="preserve"> </w:t>
      </w:r>
      <w:r>
        <w:t>facilities</w:t>
      </w:r>
      <w:r w:rsidR="00932420">
        <w:t xml:space="preserve"> </w:t>
      </w:r>
      <w:r>
        <w:t>across</w:t>
      </w:r>
      <w:r w:rsidR="00932420">
        <w:t xml:space="preserve"> </w:t>
      </w:r>
      <w:r>
        <w:t>the</w:t>
      </w:r>
      <w:r w:rsidR="00932420">
        <w:t xml:space="preserve"> </w:t>
      </w:r>
      <w:proofErr w:type="gramStart"/>
      <w:r>
        <w:t>state</w:t>
      </w:r>
      <w:proofErr w:type="gramEnd"/>
      <w:r w:rsidR="00932420">
        <w:t xml:space="preserve"> </w:t>
      </w:r>
      <w:r>
        <w:t>and</w:t>
      </w:r>
      <w:r w:rsidR="00932420">
        <w:t xml:space="preserve"> </w:t>
      </w:r>
      <w:r>
        <w:t>guiding</w:t>
      </w:r>
      <w:r w:rsidR="00932420">
        <w:t xml:space="preserve"> </w:t>
      </w:r>
      <w:r>
        <w:t>the</w:t>
      </w:r>
      <w:r w:rsidR="00932420">
        <w:t xml:space="preserve"> </w:t>
      </w:r>
      <w:r>
        <w:t>development</w:t>
      </w:r>
      <w:r w:rsidR="00932420">
        <w:t xml:space="preserve"> </w:t>
      </w:r>
      <w:r>
        <w:t>and</w:t>
      </w:r>
      <w:r w:rsidR="00932420">
        <w:t xml:space="preserve"> </w:t>
      </w:r>
      <w:r>
        <w:t>management</w:t>
      </w:r>
      <w:r w:rsidR="00932420">
        <w:t xml:space="preserve"> </w:t>
      </w:r>
      <w:r>
        <w:t>of</w:t>
      </w:r>
      <w:r w:rsidR="00932420">
        <w:t xml:space="preserve"> </w:t>
      </w:r>
      <w:r>
        <w:t>State-level</w:t>
      </w:r>
      <w:r w:rsidR="00932420">
        <w:t xml:space="preserve"> </w:t>
      </w:r>
      <w:r>
        <w:t>sporting</w:t>
      </w:r>
      <w:r w:rsidR="00932420">
        <w:t xml:space="preserve"> </w:t>
      </w:r>
      <w:r>
        <w:t>facilities</w:t>
      </w:r>
      <w:r w:rsidR="00932420">
        <w:t xml:space="preserve"> </w:t>
      </w:r>
      <w:r>
        <w:t>and</w:t>
      </w:r>
      <w:r w:rsidR="00932420">
        <w:t xml:space="preserve"> </w:t>
      </w:r>
      <w:r>
        <w:t>events,</w:t>
      </w:r>
      <w:r w:rsidR="00932420">
        <w:t xml:space="preserve"> </w:t>
      </w:r>
      <w:r>
        <w:t>to</w:t>
      </w:r>
      <w:r w:rsidR="00932420">
        <w:t xml:space="preserve"> </w:t>
      </w:r>
      <w:r>
        <w:t>encourage</w:t>
      </w:r>
      <w:r w:rsidR="00932420">
        <w:t xml:space="preserve"> </w:t>
      </w:r>
      <w:r>
        <w:t>participation</w:t>
      </w:r>
      <w:r w:rsidR="00932420">
        <w:t xml:space="preserve"> </w:t>
      </w:r>
      <w:r>
        <w:t>by</w:t>
      </w:r>
      <w:r w:rsidR="00932420">
        <w:t xml:space="preserve"> </w:t>
      </w:r>
      <w:r>
        <w:t>all</w:t>
      </w:r>
      <w:r w:rsidR="00932420">
        <w:t xml:space="preserve"> </w:t>
      </w:r>
      <w:r>
        <w:t>Victorians.</w:t>
      </w:r>
    </w:p>
    <w:p w14:paraId="2C62C356" w14:textId="0B89DEA2" w:rsidR="00CA3C5B" w:rsidRDefault="00260033" w:rsidP="009968E5">
      <w:pPr>
        <w:pStyle w:val="TableHeading"/>
      </w:pPr>
      <w:r>
        <w:lastRenderedPageBreak/>
        <w:t>Table</w:t>
      </w:r>
      <w:r w:rsidR="00932420">
        <w:t xml:space="preserve"> </w:t>
      </w:r>
      <w:r>
        <w:t>25:</w:t>
      </w:r>
      <w:r w:rsidR="00932420">
        <w:t xml:space="preserve"> </w:t>
      </w:r>
      <w:r>
        <w:t>Output</w:t>
      </w:r>
      <w:r w:rsidR="00932420">
        <w:t xml:space="preserve"> </w:t>
      </w:r>
      <w:r>
        <w:t>–</w:t>
      </w:r>
      <w:r w:rsidR="00932420">
        <w:t xml:space="preserve"> </w:t>
      </w:r>
      <w:r>
        <w:t>Sport</w:t>
      </w:r>
      <w:r w:rsidR="00932420">
        <w:t xml:space="preserve"> </w:t>
      </w:r>
      <w:r>
        <w:t>and</w:t>
      </w:r>
      <w:r w:rsidR="00932420">
        <w:t xml:space="preserve"> </w:t>
      </w:r>
      <w:r>
        <w:t>Recreation</w:t>
      </w:r>
    </w:p>
    <w:tbl>
      <w:tblPr>
        <w:tblStyle w:val="TableGrid"/>
        <w:tblW w:w="10172" w:type="dxa"/>
        <w:tblLayout w:type="fixed"/>
        <w:tblLook w:val="0020" w:firstRow="1" w:lastRow="0" w:firstColumn="0" w:lastColumn="0" w:noHBand="0" w:noVBand="0"/>
      </w:tblPr>
      <w:tblGrid>
        <w:gridCol w:w="4957"/>
        <w:gridCol w:w="1099"/>
        <w:gridCol w:w="963"/>
        <w:gridCol w:w="953"/>
        <w:gridCol w:w="1434"/>
        <w:gridCol w:w="766"/>
      </w:tblGrid>
      <w:tr w:rsidR="00CA3C5B" w:rsidRPr="003D67F3" w14:paraId="302B7A26" w14:textId="77777777" w:rsidTr="0095528F">
        <w:trPr>
          <w:cantSplit/>
          <w:tblHeader/>
        </w:trPr>
        <w:tc>
          <w:tcPr>
            <w:tcW w:w="4957" w:type="dxa"/>
          </w:tcPr>
          <w:p w14:paraId="03465368" w14:textId="7095737E" w:rsidR="00CA3C5B" w:rsidRPr="003D67F3" w:rsidRDefault="00260033" w:rsidP="003D67F3">
            <w:pPr>
              <w:pStyle w:val="TableColumnHeading"/>
              <w:rPr>
                <w:sz w:val="21"/>
                <w:szCs w:val="21"/>
              </w:rPr>
            </w:pPr>
            <w:bookmarkStart w:id="51" w:name="ColumnTitle_26"/>
            <w:bookmarkEnd w:id="51"/>
            <w:r w:rsidRPr="003D67F3">
              <w:rPr>
                <w:sz w:val="21"/>
                <w:szCs w:val="21"/>
              </w:rPr>
              <w:t>Performance</w:t>
            </w:r>
            <w:r w:rsidR="00932420" w:rsidRPr="003D67F3">
              <w:rPr>
                <w:sz w:val="21"/>
                <w:szCs w:val="21"/>
              </w:rPr>
              <w:t xml:space="preserve"> </w:t>
            </w:r>
            <w:r w:rsidRPr="003D67F3">
              <w:rPr>
                <w:sz w:val="21"/>
                <w:szCs w:val="21"/>
              </w:rPr>
              <w:t>measures</w:t>
            </w:r>
          </w:p>
        </w:tc>
        <w:tc>
          <w:tcPr>
            <w:tcW w:w="1099" w:type="dxa"/>
          </w:tcPr>
          <w:p w14:paraId="3BFA5F66" w14:textId="488C4DB1" w:rsidR="00CA3C5B" w:rsidRPr="003D67F3" w:rsidRDefault="00260033" w:rsidP="0095528F">
            <w:pPr>
              <w:pStyle w:val="TableColumnHeading"/>
              <w:jc w:val="right"/>
              <w:rPr>
                <w:sz w:val="21"/>
                <w:szCs w:val="21"/>
              </w:rPr>
            </w:pPr>
            <w:r w:rsidRPr="003D67F3">
              <w:rPr>
                <w:sz w:val="21"/>
                <w:szCs w:val="21"/>
              </w:rPr>
              <w:t>Unit</w:t>
            </w:r>
            <w:r w:rsidR="00932420" w:rsidRPr="003D67F3">
              <w:rPr>
                <w:sz w:val="21"/>
                <w:szCs w:val="21"/>
              </w:rPr>
              <w:t xml:space="preserve"> </w:t>
            </w:r>
            <w:r w:rsidRPr="003D67F3">
              <w:rPr>
                <w:sz w:val="21"/>
                <w:szCs w:val="21"/>
              </w:rPr>
              <w:t>of</w:t>
            </w:r>
            <w:r w:rsidR="00932420" w:rsidRPr="003D67F3">
              <w:rPr>
                <w:sz w:val="21"/>
                <w:szCs w:val="21"/>
              </w:rPr>
              <w:t xml:space="preserve"> </w:t>
            </w:r>
            <w:r w:rsidRPr="003D67F3">
              <w:rPr>
                <w:sz w:val="21"/>
                <w:szCs w:val="21"/>
              </w:rPr>
              <w:t>Measure</w:t>
            </w:r>
          </w:p>
        </w:tc>
        <w:tc>
          <w:tcPr>
            <w:tcW w:w="963" w:type="dxa"/>
          </w:tcPr>
          <w:p w14:paraId="0F2AA2C1" w14:textId="69F3CBE7" w:rsidR="00CA3C5B" w:rsidRPr="003D67F3" w:rsidRDefault="00260033" w:rsidP="0095528F">
            <w:pPr>
              <w:pStyle w:val="TableColumnHeading"/>
              <w:jc w:val="right"/>
              <w:rPr>
                <w:sz w:val="21"/>
                <w:szCs w:val="21"/>
              </w:rPr>
            </w:pPr>
            <w:r w:rsidRPr="003D67F3">
              <w:rPr>
                <w:sz w:val="21"/>
                <w:szCs w:val="21"/>
              </w:rPr>
              <w:t>2022–23</w:t>
            </w:r>
            <w:r w:rsidR="0095528F">
              <w:rPr>
                <w:sz w:val="21"/>
                <w:szCs w:val="21"/>
              </w:rPr>
              <w:t xml:space="preserve"> </w:t>
            </w:r>
            <w:r w:rsidRPr="003D67F3">
              <w:rPr>
                <w:sz w:val="21"/>
                <w:szCs w:val="21"/>
              </w:rPr>
              <w:t>Actual</w:t>
            </w:r>
          </w:p>
        </w:tc>
        <w:tc>
          <w:tcPr>
            <w:tcW w:w="953" w:type="dxa"/>
          </w:tcPr>
          <w:p w14:paraId="71B2704C" w14:textId="4EAD0B3B" w:rsidR="00CA3C5B" w:rsidRPr="003D67F3" w:rsidRDefault="00260033" w:rsidP="0095528F">
            <w:pPr>
              <w:pStyle w:val="TableColumnHeading"/>
              <w:jc w:val="right"/>
              <w:rPr>
                <w:sz w:val="21"/>
                <w:szCs w:val="21"/>
              </w:rPr>
            </w:pPr>
            <w:r w:rsidRPr="003D67F3">
              <w:rPr>
                <w:sz w:val="21"/>
                <w:szCs w:val="21"/>
              </w:rPr>
              <w:t>2022–23</w:t>
            </w:r>
            <w:r w:rsidR="00932420" w:rsidRPr="003D67F3">
              <w:rPr>
                <w:sz w:val="21"/>
                <w:szCs w:val="21"/>
              </w:rPr>
              <w:t xml:space="preserve"> </w:t>
            </w:r>
            <w:r w:rsidRPr="003D67F3">
              <w:rPr>
                <w:sz w:val="21"/>
                <w:szCs w:val="21"/>
              </w:rPr>
              <w:t>Target</w:t>
            </w:r>
          </w:p>
        </w:tc>
        <w:tc>
          <w:tcPr>
            <w:tcW w:w="1434" w:type="dxa"/>
          </w:tcPr>
          <w:p w14:paraId="658AF790" w14:textId="1EBEF6F6" w:rsidR="00CA3C5B" w:rsidRPr="003D67F3" w:rsidRDefault="00260033" w:rsidP="0095528F">
            <w:pPr>
              <w:pStyle w:val="TableColumnHeading"/>
              <w:jc w:val="right"/>
              <w:rPr>
                <w:sz w:val="21"/>
                <w:szCs w:val="21"/>
              </w:rPr>
            </w:pPr>
            <w:r w:rsidRPr="003D67F3">
              <w:rPr>
                <w:sz w:val="21"/>
                <w:szCs w:val="21"/>
              </w:rPr>
              <w:t>Performance</w:t>
            </w:r>
            <w:r w:rsidR="00932420" w:rsidRPr="003D67F3">
              <w:rPr>
                <w:sz w:val="21"/>
                <w:szCs w:val="21"/>
              </w:rPr>
              <w:t xml:space="preserve"> </w:t>
            </w:r>
            <w:r w:rsidRPr="003D67F3">
              <w:rPr>
                <w:sz w:val="21"/>
                <w:szCs w:val="21"/>
              </w:rPr>
              <w:t>variation</w:t>
            </w:r>
            <w:r w:rsidR="00932420" w:rsidRPr="003D67F3">
              <w:rPr>
                <w:sz w:val="21"/>
                <w:szCs w:val="21"/>
              </w:rPr>
              <w:t xml:space="preserve"> </w:t>
            </w:r>
            <w:r w:rsidRPr="003D67F3">
              <w:rPr>
                <w:sz w:val="21"/>
                <w:szCs w:val="21"/>
              </w:rPr>
              <w:t>(%)</w:t>
            </w:r>
          </w:p>
        </w:tc>
        <w:tc>
          <w:tcPr>
            <w:tcW w:w="766" w:type="dxa"/>
          </w:tcPr>
          <w:p w14:paraId="1F483524" w14:textId="77777777" w:rsidR="00CA3C5B" w:rsidRPr="003D67F3" w:rsidRDefault="00260033" w:rsidP="0095528F">
            <w:pPr>
              <w:pStyle w:val="TableColumnHeading"/>
              <w:jc w:val="right"/>
              <w:rPr>
                <w:sz w:val="21"/>
                <w:szCs w:val="21"/>
              </w:rPr>
            </w:pPr>
            <w:r w:rsidRPr="003D67F3">
              <w:rPr>
                <w:sz w:val="21"/>
                <w:szCs w:val="21"/>
              </w:rPr>
              <w:t>Result</w:t>
            </w:r>
          </w:p>
        </w:tc>
      </w:tr>
      <w:tr w:rsidR="003D67F3" w:rsidRPr="003D67F3" w14:paraId="0D1971CD" w14:textId="77777777" w:rsidTr="0095528F">
        <w:trPr>
          <w:cantSplit/>
        </w:trPr>
        <w:tc>
          <w:tcPr>
            <w:tcW w:w="4957" w:type="dxa"/>
          </w:tcPr>
          <w:p w14:paraId="58417707" w14:textId="4250CA2C" w:rsidR="003D67F3" w:rsidRPr="003D67F3" w:rsidRDefault="003D67F3" w:rsidP="003D67F3">
            <w:pPr>
              <w:pStyle w:val="TableHeading"/>
            </w:pPr>
            <w:r>
              <w:t>Quantity</w:t>
            </w:r>
          </w:p>
        </w:tc>
        <w:tc>
          <w:tcPr>
            <w:tcW w:w="1099" w:type="dxa"/>
          </w:tcPr>
          <w:p w14:paraId="62802221" w14:textId="77777777" w:rsidR="003D67F3" w:rsidRPr="003D67F3" w:rsidRDefault="003D67F3" w:rsidP="0095528F">
            <w:pPr>
              <w:pStyle w:val="TableCopy"/>
              <w:jc w:val="right"/>
            </w:pPr>
          </w:p>
        </w:tc>
        <w:tc>
          <w:tcPr>
            <w:tcW w:w="963" w:type="dxa"/>
          </w:tcPr>
          <w:p w14:paraId="68AA3CFA" w14:textId="77777777" w:rsidR="003D67F3" w:rsidRPr="003D67F3" w:rsidRDefault="003D67F3" w:rsidP="0095528F">
            <w:pPr>
              <w:pStyle w:val="TableCopy"/>
              <w:jc w:val="right"/>
            </w:pPr>
          </w:p>
        </w:tc>
        <w:tc>
          <w:tcPr>
            <w:tcW w:w="953" w:type="dxa"/>
          </w:tcPr>
          <w:p w14:paraId="65F23FB9" w14:textId="77777777" w:rsidR="003D67F3" w:rsidRPr="003D67F3" w:rsidRDefault="003D67F3" w:rsidP="0095528F">
            <w:pPr>
              <w:pStyle w:val="TableCopy"/>
              <w:jc w:val="right"/>
            </w:pPr>
          </w:p>
        </w:tc>
        <w:tc>
          <w:tcPr>
            <w:tcW w:w="1434" w:type="dxa"/>
          </w:tcPr>
          <w:p w14:paraId="1983948B" w14:textId="77777777" w:rsidR="003D67F3" w:rsidRPr="003D67F3" w:rsidRDefault="003D67F3" w:rsidP="0095528F">
            <w:pPr>
              <w:pStyle w:val="TableCopy"/>
              <w:jc w:val="right"/>
            </w:pPr>
          </w:p>
        </w:tc>
        <w:tc>
          <w:tcPr>
            <w:tcW w:w="766" w:type="dxa"/>
          </w:tcPr>
          <w:p w14:paraId="67E66765" w14:textId="77777777" w:rsidR="003D67F3" w:rsidRPr="003D67F3" w:rsidRDefault="003D67F3" w:rsidP="0095528F">
            <w:pPr>
              <w:pStyle w:val="TableCopy"/>
              <w:jc w:val="right"/>
            </w:pPr>
          </w:p>
        </w:tc>
      </w:tr>
      <w:tr w:rsidR="00CA3C5B" w14:paraId="03D82206" w14:textId="77777777" w:rsidTr="0095528F">
        <w:trPr>
          <w:cantSplit/>
        </w:trPr>
        <w:tc>
          <w:tcPr>
            <w:tcW w:w="4957" w:type="dxa"/>
          </w:tcPr>
          <w:p w14:paraId="18103DF1" w14:textId="77777777" w:rsidR="00CA3C5B" w:rsidRDefault="00260033" w:rsidP="003D67F3">
            <w:pPr>
              <w:pStyle w:val="TableCopy"/>
            </w:pPr>
            <w:r>
              <w:t>Combat</w:t>
            </w:r>
            <w:r w:rsidR="00932420">
              <w:t xml:space="preserve"> </w:t>
            </w:r>
            <w:r>
              <w:t>sports</w:t>
            </w:r>
            <w:r w:rsidR="00932420">
              <w:t xml:space="preserve"> </w:t>
            </w:r>
            <w:r>
              <w:t>licences,</w:t>
            </w:r>
            <w:r w:rsidR="00932420">
              <w:t xml:space="preserve"> </w:t>
            </w:r>
            <w:r>
              <w:t>registrations</w:t>
            </w:r>
            <w:r w:rsidR="00932420">
              <w:t xml:space="preserve"> </w:t>
            </w:r>
            <w:r>
              <w:t>and</w:t>
            </w:r>
            <w:r w:rsidR="00932420">
              <w:t xml:space="preserve"> </w:t>
            </w:r>
            <w:r>
              <w:t>permits</w:t>
            </w:r>
            <w:r w:rsidR="00932420">
              <w:t xml:space="preserve"> </w:t>
            </w:r>
            <w:r>
              <w:t>issued</w:t>
            </w:r>
          </w:p>
          <w:p w14:paraId="37B33394" w14:textId="0C6BBBB6" w:rsidR="003D67F3" w:rsidRPr="003D67F3" w:rsidRDefault="003D67F3" w:rsidP="003D67F3">
            <w:pPr>
              <w:pStyle w:val="TableCopy"/>
              <w:rPr>
                <w:i/>
                <w:iCs/>
              </w:rPr>
            </w:pPr>
            <w:r w:rsidRPr="003D67F3">
              <w:rPr>
                <w:i/>
                <w:iCs/>
              </w:rPr>
              <w:t>Higher result due to significantly higher industry demand for events, licenses and registrations following COVID-19 interruptions.</w:t>
            </w:r>
          </w:p>
        </w:tc>
        <w:tc>
          <w:tcPr>
            <w:tcW w:w="1099" w:type="dxa"/>
          </w:tcPr>
          <w:p w14:paraId="70CE8323" w14:textId="77777777" w:rsidR="00CA3C5B" w:rsidRDefault="00260033" w:rsidP="0095528F">
            <w:pPr>
              <w:pStyle w:val="TableCopy"/>
              <w:jc w:val="right"/>
            </w:pPr>
            <w:r>
              <w:t>number</w:t>
            </w:r>
          </w:p>
        </w:tc>
        <w:tc>
          <w:tcPr>
            <w:tcW w:w="963" w:type="dxa"/>
          </w:tcPr>
          <w:p w14:paraId="3D89D5C5" w14:textId="77777777" w:rsidR="00CA3C5B" w:rsidRDefault="00260033" w:rsidP="0095528F">
            <w:pPr>
              <w:pStyle w:val="TableCopy"/>
              <w:jc w:val="right"/>
            </w:pPr>
            <w:r>
              <w:t>751</w:t>
            </w:r>
          </w:p>
        </w:tc>
        <w:tc>
          <w:tcPr>
            <w:tcW w:w="953" w:type="dxa"/>
          </w:tcPr>
          <w:p w14:paraId="6BDAAA60" w14:textId="77777777" w:rsidR="00CA3C5B" w:rsidRDefault="00260033" w:rsidP="0095528F">
            <w:pPr>
              <w:pStyle w:val="TableCopy"/>
              <w:jc w:val="right"/>
            </w:pPr>
            <w:r>
              <w:t>550</w:t>
            </w:r>
          </w:p>
        </w:tc>
        <w:tc>
          <w:tcPr>
            <w:tcW w:w="1434" w:type="dxa"/>
          </w:tcPr>
          <w:p w14:paraId="3EC70D7A" w14:textId="77777777" w:rsidR="00CA3C5B" w:rsidRDefault="00260033" w:rsidP="0095528F">
            <w:pPr>
              <w:pStyle w:val="TableCopy"/>
              <w:jc w:val="right"/>
            </w:pPr>
            <w:r>
              <w:t>36.5%</w:t>
            </w:r>
          </w:p>
        </w:tc>
        <w:tc>
          <w:tcPr>
            <w:tcW w:w="766" w:type="dxa"/>
          </w:tcPr>
          <w:p w14:paraId="755CCAAC" w14:textId="3960F37B" w:rsidR="00CA3C5B" w:rsidRDefault="0095528F" w:rsidP="0095528F">
            <w:pPr>
              <w:pStyle w:val="TableCopy"/>
              <w:jc w:val="right"/>
            </w:pPr>
            <w:r w:rsidRPr="003E4F57">
              <w:t>1</w:t>
            </w:r>
          </w:p>
        </w:tc>
      </w:tr>
      <w:tr w:rsidR="00CA3C5B" w14:paraId="13B267E7" w14:textId="77777777" w:rsidTr="0095528F">
        <w:trPr>
          <w:cantSplit/>
        </w:trPr>
        <w:tc>
          <w:tcPr>
            <w:tcW w:w="4957" w:type="dxa"/>
          </w:tcPr>
          <w:p w14:paraId="3315C040" w14:textId="77777777" w:rsidR="00CA3C5B" w:rsidRDefault="00260033" w:rsidP="003D67F3">
            <w:pPr>
              <w:pStyle w:val="TableCopy"/>
            </w:pPr>
            <w:r>
              <w:t>Community</w:t>
            </w:r>
            <w:r w:rsidR="00932420">
              <w:t xml:space="preserve"> </w:t>
            </w:r>
            <w:r>
              <w:t>Facility</w:t>
            </w:r>
            <w:r w:rsidR="00932420">
              <w:t xml:space="preserve"> </w:t>
            </w:r>
            <w:r>
              <w:t>Grants:</w:t>
            </w:r>
            <w:r w:rsidR="00932420">
              <w:t xml:space="preserve"> </w:t>
            </w:r>
            <w:r>
              <w:t>number</w:t>
            </w:r>
            <w:r w:rsidR="00932420">
              <w:t xml:space="preserve"> </w:t>
            </w:r>
            <w:r>
              <w:t>approved</w:t>
            </w:r>
          </w:p>
          <w:p w14:paraId="494478C6" w14:textId="2A6045DC" w:rsidR="003D67F3" w:rsidRPr="003D67F3" w:rsidRDefault="003D67F3" w:rsidP="003D67F3">
            <w:pPr>
              <w:pStyle w:val="TableCopy"/>
              <w:rPr>
                <w:i/>
                <w:iCs/>
              </w:rPr>
            </w:pPr>
            <w:r w:rsidRPr="003D67F3">
              <w:rPr>
                <w:i/>
                <w:iCs/>
              </w:rPr>
              <w:t>Higher result due to a higher number of individual grants funded with lower than anticipated individual grant values.</w:t>
            </w:r>
          </w:p>
        </w:tc>
        <w:tc>
          <w:tcPr>
            <w:tcW w:w="1099" w:type="dxa"/>
          </w:tcPr>
          <w:p w14:paraId="62DA16F3" w14:textId="77777777" w:rsidR="00CA3C5B" w:rsidRDefault="00260033" w:rsidP="0095528F">
            <w:pPr>
              <w:pStyle w:val="TableCopy"/>
              <w:jc w:val="right"/>
            </w:pPr>
            <w:r>
              <w:t>number</w:t>
            </w:r>
          </w:p>
        </w:tc>
        <w:tc>
          <w:tcPr>
            <w:tcW w:w="963" w:type="dxa"/>
          </w:tcPr>
          <w:p w14:paraId="63AF4C01" w14:textId="77777777" w:rsidR="00CA3C5B" w:rsidRDefault="00260033" w:rsidP="0095528F">
            <w:pPr>
              <w:pStyle w:val="TableCopy"/>
              <w:jc w:val="right"/>
            </w:pPr>
            <w:r>
              <w:t>214</w:t>
            </w:r>
          </w:p>
        </w:tc>
        <w:tc>
          <w:tcPr>
            <w:tcW w:w="953" w:type="dxa"/>
          </w:tcPr>
          <w:p w14:paraId="5703B980" w14:textId="77777777" w:rsidR="00CA3C5B" w:rsidRDefault="00260033" w:rsidP="0095528F">
            <w:pPr>
              <w:pStyle w:val="TableCopy"/>
              <w:jc w:val="right"/>
            </w:pPr>
            <w:r>
              <w:t>170</w:t>
            </w:r>
          </w:p>
        </w:tc>
        <w:tc>
          <w:tcPr>
            <w:tcW w:w="1434" w:type="dxa"/>
          </w:tcPr>
          <w:p w14:paraId="44F035FF" w14:textId="77777777" w:rsidR="00CA3C5B" w:rsidRDefault="00260033" w:rsidP="0095528F">
            <w:pPr>
              <w:pStyle w:val="TableCopy"/>
              <w:jc w:val="right"/>
            </w:pPr>
            <w:r>
              <w:t>25.9%</w:t>
            </w:r>
          </w:p>
        </w:tc>
        <w:tc>
          <w:tcPr>
            <w:tcW w:w="766" w:type="dxa"/>
          </w:tcPr>
          <w:p w14:paraId="4E5450F3" w14:textId="04EAF96E" w:rsidR="00CA3C5B" w:rsidRDefault="0095528F" w:rsidP="0095528F">
            <w:pPr>
              <w:pStyle w:val="TableCopy"/>
              <w:jc w:val="right"/>
            </w:pPr>
            <w:r w:rsidRPr="003E4F57">
              <w:t>1</w:t>
            </w:r>
          </w:p>
        </w:tc>
      </w:tr>
      <w:tr w:rsidR="00CA3C5B" w14:paraId="0E0A311F" w14:textId="77777777" w:rsidTr="0095528F">
        <w:trPr>
          <w:cantSplit/>
        </w:trPr>
        <w:tc>
          <w:tcPr>
            <w:tcW w:w="4957" w:type="dxa"/>
          </w:tcPr>
          <w:p w14:paraId="4FC48625" w14:textId="77777777" w:rsidR="00CA3C5B" w:rsidRDefault="00260033" w:rsidP="003D67F3">
            <w:pPr>
              <w:pStyle w:val="TableCopy"/>
            </w:pPr>
            <w:r>
              <w:t>Funded</w:t>
            </w:r>
            <w:r w:rsidR="00932420">
              <w:t xml:space="preserve"> </w:t>
            </w:r>
            <w:r>
              <w:t>State</w:t>
            </w:r>
            <w:r w:rsidR="00932420">
              <w:t xml:space="preserve"> </w:t>
            </w:r>
            <w:r>
              <w:t>Sport</w:t>
            </w:r>
            <w:r w:rsidR="00932420">
              <w:t xml:space="preserve"> </w:t>
            </w:r>
            <w:r>
              <w:t>and</w:t>
            </w:r>
            <w:r w:rsidR="00932420">
              <w:t xml:space="preserve"> </w:t>
            </w:r>
            <w:r>
              <w:t>Recreation</w:t>
            </w:r>
            <w:r w:rsidR="00932420">
              <w:t xml:space="preserve"> </w:t>
            </w:r>
            <w:r>
              <w:t>Associations</w:t>
            </w:r>
            <w:r w:rsidR="00932420">
              <w:t xml:space="preserve"> </w:t>
            </w:r>
            <w:r>
              <w:t>that</w:t>
            </w:r>
            <w:r w:rsidR="00932420">
              <w:t xml:space="preserve"> </w:t>
            </w:r>
            <w:r>
              <w:t>have</w:t>
            </w:r>
            <w:r w:rsidR="00932420">
              <w:t xml:space="preserve"> </w:t>
            </w:r>
            <w:r>
              <w:t>a</w:t>
            </w:r>
            <w:r w:rsidR="00932420">
              <w:t xml:space="preserve"> </w:t>
            </w:r>
            <w:r>
              <w:t>minimum</w:t>
            </w:r>
            <w:r w:rsidR="00932420">
              <w:t xml:space="preserve"> </w:t>
            </w:r>
            <w:r>
              <w:t>of</w:t>
            </w:r>
            <w:r w:rsidR="00932420">
              <w:t xml:space="preserve"> </w:t>
            </w:r>
            <w:r>
              <w:t>40</w:t>
            </w:r>
            <w:r w:rsidR="00932420">
              <w:t xml:space="preserve"> </w:t>
            </w:r>
            <w:r>
              <w:t>per</w:t>
            </w:r>
            <w:r w:rsidR="00932420">
              <w:t xml:space="preserve"> </w:t>
            </w:r>
            <w:r>
              <w:t>cent</w:t>
            </w:r>
            <w:r w:rsidR="00932420">
              <w:t xml:space="preserve"> </w:t>
            </w:r>
            <w:r>
              <w:t>women</w:t>
            </w:r>
            <w:r w:rsidR="00932420">
              <w:t xml:space="preserve"> </w:t>
            </w:r>
            <w:r>
              <w:t>on</w:t>
            </w:r>
            <w:r w:rsidR="00932420">
              <w:t xml:space="preserve"> </w:t>
            </w:r>
            <w:r>
              <w:t>their</w:t>
            </w:r>
            <w:r w:rsidR="00932420">
              <w:t xml:space="preserve"> </w:t>
            </w:r>
            <w:r>
              <w:t>boards</w:t>
            </w:r>
          </w:p>
          <w:p w14:paraId="2DCD05B8" w14:textId="5E4CB712" w:rsidR="003D67F3" w:rsidRPr="003D67F3" w:rsidRDefault="003D67F3" w:rsidP="003D67F3">
            <w:pPr>
              <w:pStyle w:val="TableCopy"/>
              <w:rPr>
                <w:i/>
                <w:iCs/>
              </w:rPr>
            </w:pPr>
            <w:r w:rsidRPr="003D67F3">
              <w:rPr>
                <w:i/>
                <w:iCs/>
              </w:rPr>
              <w:t>Higher result due to increased engagement activities to monitor and support compliance.</w:t>
            </w:r>
          </w:p>
        </w:tc>
        <w:tc>
          <w:tcPr>
            <w:tcW w:w="1099" w:type="dxa"/>
          </w:tcPr>
          <w:p w14:paraId="2D61269B" w14:textId="441484D1" w:rsidR="00CA3C5B" w:rsidRDefault="00260033" w:rsidP="0095528F">
            <w:pPr>
              <w:pStyle w:val="TableCopy"/>
              <w:jc w:val="right"/>
            </w:pPr>
            <w:r>
              <w:t>per</w:t>
            </w:r>
            <w:r w:rsidR="00932420">
              <w:t xml:space="preserve"> </w:t>
            </w:r>
            <w:r>
              <w:t>cent</w:t>
            </w:r>
          </w:p>
        </w:tc>
        <w:tc>
          <w:tcPr>
            <w:tcW w:w="963" w:type="dxa"/>
          </w:tcPr>
          <w:p w14:paraId="0312DC15" w14:textId="77777777" w:rsidR="00CA3C5B" w:rsidRDefault="00260033" w:rsidP="0095528F">
            <w:pPr>
              <w:pStyle w:val="TableCopy"/>
              <w:jc w:val="right"/>
            </w:pPr>
            <w:r>
              <w:t>96</w:t>
            </w:r>
          </w:p>
        </w:tc>
        <w:tc>
          <w:tcPr>
            <w:tcW w:w="953" w:type="dxa"/>
          </w:tcPr>
          <w:p w14:paraId="0591C7F5" w14:textId="77777777" w:rsidR="00CA3C5B" w:rsidRDefault="00260033" w:rsidP="0095528F">
            <w:pPr>
              <w:pStyle w:val="TableCopy"/>
              <w:jc w:val="right"/>
            </w:pPr>
            <w:r>
              <w:t>90</w:t>
            </w:r>
          </w:p>
        </w:tc>
        <w:tc>
          <w:tcPr>
            <w:tcW w:w="1434" w:type="dxa"/>
          </w:tcPr>
          <w:p w14:paraId="44B0A992" w14:textId="77777777" w:rsidR="00CA3C5B" w:rsidRDefault="00260033" w:rsidP="0095528F">
            <w:pPr>
              <w:pStyle w:val="TableCopy"/>
              <w:jc w:val="right"/>
            </w:pPr>
            <w:r>
              <w:t>6.7%</w:t>
            </w:r>
          </w:p>
        </w:tc>
        <w:tc>
          <w:tcPr>
            <w:tcW w:w="766" w:type="dxa"/>
          </w:tcPr>
          <w:p w14:paraId="48660CE9" w14:textId="64E206EE" w:rsidR="00CA3C5B" w:rsidRDefault="0095528F" w:rsidP="0095528F">
            <w:pPr>
              <w:pStyle w:val="TableCopy"/>
              <w:jc w:val="right"/>
            </w:pPr>
            <w:r w:rsidRPr="003E4F57">
              <w:t>1</w:t>
            </w:r>
          </w:p>
        </w:tc>
      </w:tr>
      <w:tr w:rsidR="00CA3C5B" w14:paraId="09E9FA23" w14:textId="77777777" w:rsidTr="0095528F">
        <w:trPr>
          <w:cantSplit/>
        </w:trPr>
        <w:tc>
          <w:tcPr>
            <w:tcW w:w="4957" w:type="dxa"/>
          </w:tcPr>
          <w:p w14:paraId="3011DCBF" w14:textId="77777777" w:rsidR="00CA3C5B" w:rsidRDefault="00260033" w:rsidP="003D67F3">
            <w:pPr>
              <w:pStyle w:val="TableCopy"/>
            </w:pPr>
            <w:r>
              <w:t>Local</w:t>
            </w:r>
            <w:r w:rsidR="00932420">
              <w:t xml:space="preserve"> </w:t>
            </w:r>
            <w:r>
              <w:t>Sports</w:t>
            </w:r>
            <w:r w:rsidR="00932420">
              <w:t xml:space="preserve"> </w:t>
            </w:r>
            <w:r>
              <w:t>Infrastructure</w:t>
            </w:r>
            <w:r w:rsidR="00932420">
              <w:t xml:space="preserve"> </w:t>
            </w:r>
            <w:r>
              <w:t>grant</w:t>
            </w:r>
            <w:r w:rsidR="00932420">
              <w:t xml:space="preserve"> </w:t>
            </w:r>
            <w:r>
              <w:t>recipients</w:t>
            </w:r>
            <w:r w:rsidR="00932420">
              <w:t xml:space="preserve"> </w:t>
            </w:r>
            <w:r>
              <w:t>which</w:t>
            </w:r>
            <w:r w:rsidR="00932420">
              <w:t xml:space="preserve"> </w:t>
            </w:r>
            <w:r>
              <w:t>are</w:t>
            </w:r>
            <w:r w:rsidR="00932420">
              <w:t xml:space="preserve"> </w:t>
            </w:r>
            <w:r>
              <w:t>regionally</w:t>
            </w:r>
            <w:r w:rsidR="00932420">
              <w:t xml:space="preserve"> </w:t>
            </w:r>
            <w:r>
              <w:t>based</w:t>
            </w:r>
          </w:p>
          <w:p w14:paraId="78224B08" w14:textId="42304FEC" w:rsidR="003D67F3" w:rsidRPr="003D67F3" w:rsidRDefault="003D67F3" w:rsidP="003D67F3">
            <w:pPr>
              <w:pStyle w:val="TableCopy"/>
              <w:rPr>
                <w:i/>
                <w:iCs/>
              </w:rPr>
            </w:pPr>
            <w:r w:rsidRPr="003D67F3">
              <w:rPr>
                <w:i/>
                <w:iCs/>
              </w:rPr>
              <w:t>Higher result due to the Country Football and Netball Program. This program supports projects in rural, regional, outer metropolitan Melbourne LGAs.</w:t>
            </w:r>
          </w:p>
        </w:tc>
        <w:tc>
          <w:tcPr>
            <w:tcW w:w="1099" w:type="dxa"/>
          </w:tcPr>
          <w:p w14:paraId="56A57BD9" w14:textId="26FCD0DD" w:rsidR="00CA3C5B" w:rsidRDefault="00260033" w:rsidP="0095528F">
            <w:pPr>
              <w:pStyle w:val="TableCopy"/>
              <w:jc w:val="right"/>
            </w:pPr>
            <w:r>
              <w:t>per</w:t>
            </w:r>
            <w:r w:rsidR="00932420">
              <w:t xml:space="preserve"> </w:t>
            </w:r>
            <w:r>
              <w:t>cent</w:t>
            </w:r>
          </w:p>
        </w:tc>
        <w:tc>
          <w:tcPr>
            <w:tcW w:w="963" w:type="dxa"/>
          </w:tcPr>
          <w:p w14:paraId="258D1D1C" w14:textId="77777777" w:rsidR="00CA3C5B" w:rsidRDefault="00260033" w:rsidP="0095528F">
            <w:pPr>
              <w:pStyle w:val="TableCopy"/>
              <w:jc w:val="right"/>
            </w:pPr>
            <w:r>
              <w:t>52.94</w:t>
            </w:r>
          </w:p>
        </w:tc>
        <w:tc>
          <w:tcPr>
            <w:tcW w:w="953" w:type="dxa"/>
          </w:tcPr>
          <w:p w14:paraId="31A27684" w14:textId="77777777" w:rsidR="00CA3C5B" w:rsidRDefault="00260033" w:rsidP="0095528F">
            <w:pPr>
              <w:pStyle w:val="TableCopy"/>
              <w:jc w:val="right"/>
            </w:pPr>
            <w:r>
              <w:t>45</w:t>
            </w:r>
          </w:p>
        </w:tc>
        <w:tc>
          <w:tcPr>
            <w:tcW w:w="1434" w:type="dxa"/>
          </w:tcPr>
          <w:p w14:paraId="40A97A66" w14:textId="77777777" w:rsidR="00CA3C5B" w:rsidRDefault="00260033" w:rsidP="0095528F">
            <w:pPr>
              <w:pStyle w:val="TableCopy"/>
              <w:jc w:val="right"/>
            </w:pPr>
            <w:r>
              <w:t>17.6%</w:t>
            </w:r>
          </w:p>
        </w:tc>
        <w:tc>
          <w:tcPr>
            <w:tcW w:w="766" w:type="dxa"/>
          </w:tcPr>
          <w:p w14:paraId="40C969BB" w14:textId="3F7F6B43" w:rsidR="00CA3C5B" w:rsidRDefault="0095528F" w:rsidP="0095528F">
            <w:pPr>
              <w:pStyle w:val="TableCopy"/>
              <w:jc w:val="right"/>
            </w:pPr>
            <w:r w:rsidRPr="003E4F57">
              <w:t>1</w:t>
            </w:r>
          </w:p>
        </w:tc>
      </w:tr>
      <w:tr w:rsidR="00CA3C5B" w14:paraId="6E638E00" w14:textId="77777777" w:rsidTr="0095528F">
        <w:trPr>
          <w:cantSplit/>
        </w:trPr>
        <w:tc>
          <w:tcPr>
            <w:tcW w:w="4957" w:type="dxa"/>
          </w:tcPr>
          <w:p w14:paraId="57096A67" w14:textId="77777777" w:rsidR="00CA3C5B" w:rsidRDefault="00260033" w:rsidP="003D67F3">
            <w:pPr>
              <w:pStyle w:val="TableCopy"/>
            </w:pPr>
            <w:r>
              <w:t>Organisations</w:t>
            </w:r>
            <w:r w:rsidR="00932420">
              <w:t xml:space="preserve"> </w:t>
            </w:r>
            <w:r>
              <w:t>submitting</w:t>
            </w:r>
            <w:r w:rsidR="00932420">
              <w:t xml:space="preserve"> </w:t>
            </w:r>
            <w:r>
              <w:t>nominations</w:t>
            </w:r>
            <w:r w:rsidR="00932420">
              <w:t xml:space="preserve"> </w:t>
            </w:r>
            <w:r>
              <w:t>for</w:t>
            </w:r>
            <w:r w:rsidR="00932420">
              <w:t xml:space="preserve"> </w:t>
            </w:r>
            <w:r>
              <w:t>the</w:t>
            </w:r>
            <w:r w:rsidR="00932420">
              <w:t xml:space="preserve"> </w:t>
            </w:r>
            <w:r>
              <w:t>Community</w:t>
            </w:r>
            <w:r w:rsidR="00932420">
              <w:t xml:space="preserve"> </w:t>
            </w:r>
            <w:r>
              <w:t>Sport</w:t>
            </w:r>
            <w:r w:rsidR="00932420">
              <w:t xml:space="preserve"> </w:t>
            </w:r>
            <w:r>
              <w:t>and</w:t>
            </w:r>
            <w:r w:rsidR="00932420">
              <w:t xml:space="preserve"> </w:t>
            </w:r>
            <w:r>
              <w:t>Recreation</w:t>
            </w:r>
            <w:r w:rsidR="00932420">
              <w:t xml:space="preserve"> </w:t>
            </w:r>
            <w:r>
              <w:t>Awards</w:t>
            </w:r>
          </w:p>
          <w:p w14:paraId="3E5786C0" w14:textId="4D1E4B2F" w:rsidR="003D67F3" w:rsidRPr="003D67F3" w:rsidRDefault="003D67F3" w:rsidP="003D67F3">
            <w:pPr>
              <w:pStyle w:val="TableCopy"/>
              <w:rPr>
                <w:i/>
                <w:iCs/>
              </w:rPr>
            </w:pPr>
            <w:r w:rsidRPr="003D67F3">
              <w:rPr>
                <w:i/>
                <w:iCs/>
              </w:rPr>
              <w:t>Higher result due to sport and recreation activities returning following the pandemic which has spurred additional nominations.</w:t>
            </w:r>
          </w:p>
        </w:tc>
        <w:tc>
          <w:tcPr>
            <w:tcW w:w="1099" w:type="dxa"/>
          </w:tcPr>
          <w:p w14:paraId="3ED947D2" w14:textId="77777777" w:rsidR="00CA3C5B" w:rsidRDefault="00260033" w:rsidP="0095528F">
            <w:pPr>
              <w:pStyle w:val="TableCopy"/>
              <w:jc w:val="right"/>
            </w:pPr>
            <w:r>
              <w:t>number</w:t>
            </w:r>
          </w:p>
        </w:tc>
        <w:tc>
          <w:tcPr>
            <w:tcW w:w="963" w:type="dxa"/>
          </w:tcPr>
          <w:p w14:paraId="30A5157D" w14:textId="77777777" w:rsidR="00CA3C5B" w:rsidRDefault="00260033" w:rsidP="0095528F">
            <w:pPr>
              <w:pStyle w:val="TableCopy"/>
              <w:jc w:val="right"/>
            </w:pPr>
            <w:r>
              <w:t>85</w:t>
            </w:r>
          </w:p>
        </w:tc>
        <w:tc>
          <w:tcPr>
            <w:tcW w:w="953" w:type="dxa"/>
          </w:tcPr>
          <w:p w14:paraId="483619DA" w14:textId="77777777" w:rsidR="00CA3C5B" w:rsidRDefault="00260033" w:rsidP="0095528F">
            <w:pPr>
              <w:pStyle w:val="TableCopy"/>
              <w:jc w:val="right"/>
            </w:pPr>
            <w:r>
              <w:t>70</w:t>
            </w:r>
          </w:p>
        </w:tc>
        <w:tc>
          <w:tcPr>
            <w:tcW w:w="1434" w:type="dxa"/>
          </w:tcPr>
          <w:p w14:paraId="5E8A97EF" w14:textId="77777777" w:rsidR="00CA3C5B" w:rsidRDefault="00260033" w:rsidP="0095528F">
            <w:pPr>
              <w:pStyle w:val="TableCopy"/>
              <w:jc w:val="right"/>
            </w:pPr>
            <w:r>
              <w:t>21.4%</w:t>
            </w:r>
          </w:p>
        </w:tc>
        <w:tc>
          <w:tcPr>
            <w:tcW w:w="766" w:type="dxa"/>
          </w:tcPr>
          <w:p w14:paraId="05F3A091" w14:textId="1AB3C879" w:rsidR="00CA3C5B" w:rsidRDefault="0095528F" w:rsidP="0095528F">
            <w:pPr>
              <w:pStyle w:val="TableCopy"/>
              <w:jc w:val="right"/>
            </w:pPr>
            <w:r w:rsidRPr="003E4F57">
              <w:t>1</w:t>
            </w:r>
          </w:p>
        </w:tc>
      </w:tr>
      <w:tr w:rsidR="00CA3C5B" w14:paraId="14D24FD5" w14:textId="77777777" w:rsidTr="0095528F">
        <w:trPr>
          <w:cantSplit/>
        </w:trPr>
        <w:tc>
          <w:tcPr>
            <w:tcW w:w="4957" w:type="dxa"/>
          </w:tcPr>
          <w:p w14:paraId="0CE70036" w14:textId="77777777" w:rsidR="00CA3C5B" w:rsidRDefault="00260033" w:rsidP="003D67F3">
            <w:pPr>
              <w:pStyle w:val="TableCopy"/>
            </w:pPr>
            <w:r>
              <w:t>Projects</w:t>
            </w:r>
            <w:r w:rsidR="00932420">
              <w:t xml:space="preserve"> </w:t>
            </w:r>
            <w:r>
              <w:t>in</w:t>
            </w:r>
            <w:r w:rsidR="00932420">
              <w:t xml:space="preserve"> </w:t>
            </w:r>
            <w:r>
              <w:t>progress</w:t>
            </w:r>
            <w:r w:rsidR="00932420">
              <w:t xml:space="preserve"> </w:t>
            </w:r>
            <w:r>
              <w:t>that</w:t>
            </w:r>
            <w:r w:rsidR="00932420">
              <w:t xml:space="preserve"> </w:t>
            </w:r>
            <w:r>
              <w:t>relate</w:t>
            </w:r>
            <w:r w:rsidR="00932420">
              <w:t xml:space="preserve"> </w:t>
            </w:r>
            <w:r>
              <w:t>to</w:t>
            </w:r>
            <w:r w:rsidR="00932420">
              <w:t xml:space="preserve"> </w:t>
            </w:r>
            <w:r>
              <w:t>the</w:t>
            </w:r>
            <w:r w:rsidR="00932420">
              <w:t xml:space="preserve"> </w:t>
            </w:r>
            <w:r>
              <w:t>planning</w:t>
            </w:r>
            <w:r w:rsidR="00932420">
              <w:t xml:space="preserve"> </w:t>
            </w:r>
            <w:r>
              <w:t>and</w:t>
            </w:r>
            <w:r w:rsidR="00932420">
              <w:t xml:space="preserve"> </w:t>
            </w:r>
            <w:r>
              <w:t>development</w:t>
            </w:r>
            <w:r w:rsidR="00932420">
              <w:t xml:space="preserve"> </w:t>
            </w:r>
            <w:r>
              <w:t>of</w:t>
            </w:r>
            <w:r w:rsidR="00932420">
              <w:t xml:space="preserve"> </w:t>
            </w:r>
            <w:r>
              <w:t>state</w:t>
            </w:r>
            <w:r w:rsidR="00932420">
              <w:t xml:space="preserve"> </w:t>
            </w:r>
            <w:r>
              <w:t>level</w:t>
            </w:r>
            <w:r w:rsidR="00932420">
              <w:t xml:space="preserve"> </w:t>
            </w:r>
            <w:r>
              <w:t>facilities</w:t>
            </w:r>
          </w:p>
          <w:p w14:paraId="3CB9DA08" w14:textId="7D8D4D46" w:rsidR="003D67F3" w:rsidRPr="003D67F3" w:rsidRDefault="003D67F3" w:rsidP="003D67F3">
            <w:pPr>
              <w:pStyle w:val="TableCopy"/>
              <w:rPr>
                <w:i/>
                <w:iCs/>
              </w:rPr>
            </w:pPr>
            <w:r w:rsidRPr="003D67F3">
              <w:rPr>
                <w:i/>
                <w:iCs/>
              </w:rPr>
              <w:t>Higher result due to additional planning studies and infrastructure projects commencing in 2022–23.</w:t>
            </w:r>
          </w:p>
        </w:tc>
        <w:tc>
          <w:tcPr>
            <w:tcW w:w="1099" w:type="dxa"/>
          </w:tcPr>
          <w:p w14:paraId="40EE3EBF" w14:textId="77777777" w:rsidR="00CA3C5B" w:rsidRDefault="00260033" w:rsidP="0095528F">
            <w:pPr>
              <w:pStyle w:val="TableCopy"/>
              <w:jc w:val="right"/>
            </w:pPr>
            <w:r>
              <w:t>number</w:t>
            </w:r>
          </w:p>
        </w:tc>
        <w:tc>
          <w:tcPr>
            <w:tcW w:w="963" w:type="dxa"/>
          </w:tcPr>
          <w:p w14:paraId="0EE9F710" w14:textId="77777777" w:rsidR="00CA3C5B" w:rsidRDefault="00260033" w:rsidP="0095528F">
            <w:pPr>
              <w:pStyle w:val="TableCopy"/>
              <w:jc w:val="right"/>
            </w:pPr>
            <w:r>
              <w:t>20</w:t>
            </w:r>
          </w:p>
        </w:tc>
        <w:tc>
          <w:tcPr>
            <w:tcW w:w="953" w:type="dxa"/>
          </w:tcPr>
          <w:p w14:paraId="40B7D3D7" w14:textId="77777777" w:rsidR="00CA3C5B" w:rsidRDefault="00260033" w:rsidP="0095528F">
            <w:pPr>
              <w:pStyle w:val="TableCopy"/>
              <w:jc w:val="right"/>
            </w:pPr>
            <w:r>
              <w:t>14</w:t>
            </w:r>
          </w:p>
        </w:tc>
        <w:tc>
          <w:tcPr>
            <w:tcW w:w="1434" w:type="dxa"/>
          </w:tcPr>
          <w:p w14:paraId="6746AD54" w14:textId="77777777" w:rsidR="00CA3C5B" w:rsidRDefault="00260033" w:rsidP="0095528F">
            <w:pPr>
              <w:pStyle w:val="TableCopy"/>
              <w:jc w:val="right"/>
            </w:pPr>
            <w:r>
              <w:t>42.9%</w:t>
            </w:r>
          </w:p>
        </w:tc>
        <w:tc>
          <w:tcPr>
            <w:tcW w:w="766" w:type="dxa"/>
          </w:tcPr>
          <w:p w14:paraId="1D7461A2" w14:textId="7234E333" w:rsidR="00CA3C5B" w:rsidRDefault="0095528F" w:rsidP="0095528F">
            <w:pPr>
              <w:pStyle w:val="TableCopy"/>
              <w:jc w:val="right"/>
            </w:pPr>
            <w:r w:rsidRPr="003E4F57">
              <w:t>1</w:t>
            </w:r>
          </w:p>
        </w:tc>
      </w:tr>
      <w:tr w:rsidR="00CA3C5B" w14:paraId="0AFB684E" w14:textId="77777777" w:rsidTr="0095528F">
        <w:trPr>
          <w:cantSplit/>
        </w:trPr>
        <w:tc>
          <w:tcPr>
            <w:tcW w:w="4957" w:type="dxa"/>
          </w:tcPr>
          <w:p w14:paraId="42D3A0D6" w14:textId="77777777" w:rsidR="00CA3C5B" w:rsidRDefault="00260033" w:rsidP="003D67F3">
            <w:pPr>
              <w:pStyle w:val="TableCopy"/>
            </w:pPr>
            <w:r>
              <w:lastRenderedPageBreak/>
              <w:t>Significant</w:t>
            </w:r>
            <w:r w:rsidR="00932420">
              <w:t xml:space="preserve"> </w:t>
            </w:r>
            <w:r>
              <w:t>Sporting</w:t>
            </w:r>
            <w:r w:rsidR="00932420">
              <w:t xml:space="preserve"> </w:t>
            </w:r>
            <w:r>
              <w:t>Events</w:t>
            </w:r>
            <w:r w:rsidR="00932420">
              <w:t xml:space="preserve"> </w:t>
            </w:r>
            <w:r>
              <w:t>Program</w:t>
            </w:r>
            <w:r w:rsidR="00932420">
              <w:t xml:space="preserve"> </w:t>
            </w:r>
            <w:r>
              <w:t>–</w:t>
            </w:r>
            <w:r w:rsidR="00932420">
              <w:t xml:space="preserve"> </w:t>
            </w:r>
            <w:r>
              <w:t>events</w:t>
            </w:r>
            <w:r w:rsidR="00932420">
              <w:t xml:space="preserve"> </w:t>
            </w:r>
            <w:r>
              <w:t>facilitated</w:t>
            </w:r>
          </w:p>
          <w:p w14:paraId="3A38628C" w14:textId="5429541D" w:rsidR="003D67F3" w:rsidRPr="003D67F3" w:rsidRDefault="003D67F3" w:rsidP="003D67F3">
            <w:pPr>
              <w:pStyle w:val="TableCopy"/>
              <w:rPr>
                <w:i/>
                <w:iCs/>
              </w:rPr>
            </w:pPr>
            <w:r w:rsidRPr="003D67F3">
              <w:rPr>
                <w:i/>
                <w:iCs/>
              </w:rPr>
              <w:t>Higher result due to the strong recovery of the events sector following COVID-19.</w:t>
            </w:r>
          </w:p>
        </w:tc>
        <w:tc>
          <w:tcPr>
            <w:tcW w:w="1099" w:type="dxa"/>
          </w:tcPr>
          <w:p w14:paraId="20295FF1" w14:textId="77777777" w:rsidR="00CA3C5B" w:rsidRDefault="00260033" w:rsidP="0095528F">
            <w:pPr>
              <w:pStyle w:val="TableCopy"/>
              <w:jc w:val="right"/>
            </w:pPr>
            <w:r>
              <w:t>number</w:t>
            </w:r>
          </w:p>
        </w:tc>
        <w:tc>
          <w:tcPr>
            <w:tcW w:w="963" w:type="dxa"/>
          </w:tcPr>
          <w:p w14:paraId="6E52542D" w14:textId="77777777" w:rsidR="00CA3C5B" w:rsidRDefault="00260033" w:rsidP="0095528F">
            <w:pPr>
              <w:pStyle w:val="TableCopy"/>
              <w:jc w:val="right"/>
            </w:pPr>
            <w:r>
              <w:t>95</w:t>
            </w:r>
          </w:p>
        </w:tc>
        <w:tc>
          <w:tcPr>
            <w:tcW w:w="953" w:type="dxa"/>
          </w:tcPr>
          <w:p w14:paraId="677421F4" w14:textId="77777777" w:rsidR="00CA3C5B" w:rsidRDefault="00260033" w:rsidP="0095528F">
            <w:pPr>
              <w:pStyle w:val="TableCopy"/>
              <w:jc w:val="right"/>
            </w:pPr>
            <w:r>
              <w:t>75</w:t>
            </w:r>
          </w:p>
        </w:tc>
        <w:tc>
          <w:tcPr>
            <w:tcW w:w="1434" w:type="dxa"/>
          </w:tcPr>
          <w:p w14:paraId="6D478526" w14:textId="77777777" w:rsidR="00CA3C5B" w:rsidRDefault="00260033" w:rsidP="0095528F">
            <w:pPr>
              <w:pStyle w:val="TableCopy"/>
              <w:jc w:val="right"/>
            </w:pPr>
            <w:r>
              <w:t>26.7%</w:t>
            </w:r>
          </w:p>
        </w:tc>
        <w:tc>
          <w:tcPr>
            <w:tcW w:w="766" w:type="dxa"/>
          </w:tcPr>
          <w:p w14:paraId="6BCBF824" w14:textId="16F81CDB" w:rsidR="00CA3C5B" w:rsidRDefault="0095528F" w:rsidP="0095528F">
            <w:pPr>
              <w:pStyle w:val="TableCopy"/>
              <w:jc w:val="right"/>
            </w:pPr>
            <w:r w:rsidRPr="003E4F57">
              <w:t>1</w:t>
            </w:r>
          </w:p>
        </w:tc>
      </w:tr>
      <w:tr w:rsidR="00CA3C5B" w14:paraId="79E7554B" w14:textId="77777777" w:rsidTr="0095528F">
        <w:trPr>
          <w:cantSplit/>
        </w:trPr>
        <w:tc>
          <w:tcPr>
            <w:tcW w:w="4957" w:type="dxa"/>
          </w:tcPr>
          <w:p w14:paraId="7C1D9F1E" w14:textId="79BD23D3" w:rsidR="00CA3C5B" w:rsidRDefault="00260033" w:rsidP="003D67F3">
            <w:pPr>
              <w:pStyle w:val="TableCopy"/>
            </w:pPr>
            <w:r>
              <w:t>Sport</w:t>
            </w:r>
            <w:r w:rsidR="00932420">
              <w:t xml:space="preserve"> </w:t>
            </w:r>
            <w:r>
              <w:t>and</w:t>
            </w:r>
            <w:r w:rsidR="00932420">
              <w:t xml:space="preserve"> </w:t>
            </w:r>
            <w:r>
              <w:t>recreation</w:t>
            </w:r>
            <w:r w:rsidR="00932420">
              <w:t xml:space="preserve"> </w:t>
            </w:r>
            <w:r>
              <w:t>organisations</w:t>
            </w:r>
            <w:r w:rsidR="00932420">
              <w:t xml:space="preserve"> </w:t>
            </w:r>
            <w:r>
              <w:t>undertaking</w:t>
            </w:r>
            <w:r w:rsidR="00932420">
              <w:t xml:space="preserve"> </w:t>
            </w:r>
            <w:r>
              <w:t>programs</w:t>
            </w:r>
            <w:r w:rsidR="00932420">
              <w:t xml:space="preserve"> </w:t>
            </w:r>
            <w:r>
              <w:t>or</w:t>
            </w:r>
            <w:r w:rsidR="00932420">
              <w:t xml:space="preserve"> </w:t>
            </w:r>
            <w:r>
              <w:t>activities</w:t>
            </w:r>
            <w:r w:rsidR="00932420">
              <w:t xml:space="preserve"> </w:t>
            </w:r>
            <w:r>
              <w:t>to</w:t>
            </w:r>
            <w:r w:rsidR="00932420">
              <w:t xml:space="preserve"> </w:t>
            </w:r>
            <w:r>
              <w:t>enhance</w:t>
            </w:r>
            <w:r w:rsidR="00932420">
              <w:t xml:space="preserve"> </w:t>
            </w:r>
            <w:r>
              <w:t>participation</w:t>
            </w:r>
          </w:p>
        </w:tc>
        <w:tc>
          <w:tcPr>
            <w:tcW w:w="1099" w:type="dxa"/>
          </w:tcPr>
          <w:p w14:paraId="176E4F5E" w14:textId="77777777" w:rsidR="00CA3C5B" w:rsidRDefault="00260033" w:rsidP="0095528F">
            <w:pPr>
              <w:pStyle w:val="TableCopy"/>
              <w:jc w:val="right"/>
            </w:pPr>
            <w:r>
              <w:t>number</w:t>
            </w:r>
          </w:p>
        </w:tc>
        <w:tc>
          <w:tcPr>
            <w:tcW w:w="963" w:type="dxa"/>
          </w:tcPr>
          <w:p w14:paraId="7DE77A39" w14:textId="77777777" w:rsidR="00CA3C5B" w:rsidRDefault="00260033" w:rsidP="0095528F">
            <w:pPr>
              <w:pStyle w:val="TableCopy"/>
              <w:jc w:val="right"/>
            </w:pPr>
            <w:r>
              <w:t>109</w:t>
            </w:r>
          </w:p>
        </w:tc>
        <w:tc>
          <w:tcPr>
            <w:tcW w:w="953" w:type="dxa"/>
          </w:tcPr>
          <w:p w14:paraId="3448DBF0" w14:textId="77777777" w:rsidR="00CA3C5B" w:rsidRDefault="00260033" w:rsidP="0095528F">
            <w:pPr>
              <w:pStyle w:val="TableCopy"/>
              <w:jc w:val="right"/>
            </w:pPr>
            <w:r>
              <w:t>112</w:t>
            </w:r>
          </w:p>
        </w:tc>
        <w:tc>
          <w:tcPr>
            <w:tcW w:w="1434" w:type="dxa"/>
          </w:tcPr>
          <w:p w14:paraId="6A2A4A25" w14:textId="77777777" w:rsidR="00CA3C5B" w:rsidRDefault="00260033" w:rsidP="0095528F">
            <w:pPr>
              <w:pStyle w:val="TableCopy"/>
              <w:jc w:val="right"/>
            </w:pPr>
            <w:r>
              <w:t>-2.7%</w:t>
            </w:r>
          </w:p>
        </w:tc>
        <w:tc>
          <w:tcPr>
            <w:tcW w:w="766" w:type="dxa"/>
          </w:tcPr>
          <w:p w14:paraId="736B63FA" w14:textId="22A142E9" w:rsidR="00CA3C5B" w:rsidRDefault="0095528F" w:rsidP="0095528F">
            <w:pPr>
              <w:pStyle w:val="TableCopy"/>
              <w:jc w:val="right"/>
            </w:pPr>
            <w:r>
              <w:t>2</w:t>
            </w:r>
          </w:p>
        </w:tc>
      </w:tr>
      <w:tr w:rsidR="00CA3C5B" w14:paraId="3F2BE814" w14:textId="77777777" w:rsidTr="0095528F">
        <w:trPr>
          <w:cantSplit/>
        </w:trPr>
        <w:tc>
          <w:tcPr>
            <w:tcW w:w="4957" w:type="dxa"/>
          </w:tcPr>
          <w:p w14:paraId="6B40C045" w14:textId="77777777" w:rsidR="00CA3C5B" w:rsidRDefault="00260033" w:rsidP="003D67F3">
            <w:pPr>
              <w:pStyle w:val="TableCopy"/>
            </w:pPr>
            <w:r>
              <w:t>Sporting</w:t>
            </w:r>
            <w:r w:rsidR="00932420">
              <w:t xml:space="preserve"> </w:t>
            </w:r>
            <w:r>
              <w:t>club</w:t>
            </w:r>
            <w:r w:rsidR="00932420">
              <w:t xml:space="preserve"> </w:t>
            </w:r>
            <w:r>
              <w:t>grants</w:t>
            </w:r>
            <w:r w:rsidR="00932420">
              <w:t xml:space="preserve"> </w:t>
            </w:r>
            <w:r>
              <w:t>to</w:t>
            </w:r>
            <w:r w:rsidR="00932420">
              <w:t xml:space="preserve"> </w:t>
            </w:r>
            <w:r>
              <w:t>recipients</w:t>
            </w:r>
            <w:r w:rsidR="00932420">
              <w:t xml:space="preserve"> </w:t>
            </w:r>
            <w:r>
              <w:t>which</w:t>
            </w:r>
            <w:r w:rsidR="00932420">
              <w:t xml:space="preserve"> </w:t>
            </w:r>
            <w:r>
              <w:t>are</w:t>
            </w:r>
            <w:r w:rsidR="00932420">
              <w:t xml:space="preserve"> </w:t>
            </w:r>
            <w:r>
              <w:t>based</w:t>
            </w:r>
            <w:r w:rsidR="00932420">
              <w:t xml:space="preserve"> </w:t>
            </w:r>
            <w:r>
              <w:t>in</w:t>
            </w:r>
            <w:r w:rsidR="00932420">
              <w:t xml:space="preserve"> </w:t>
            </w:r>
            <w:r>
              <w:t>low</w:t>
            </w:r>
            <w:r w:rsidR="00932420">
              <w:t xml:space="preserve"> </w:t>
            </w:r>
            <w:r>
              <w:t>socio-economic</w:t>
            </w:r>
            <w:r w:rsidR="00932420">
              <w:t xml:space="preserve"> </w:t>
            </w:r>
            <w:r>
              <w:t>areas</w:t>
            </w:r>
            <w:r w:rsidR="00932420">
              <w:t xml:space="preserve"> </w:t>
            </w:r>
            <w:r>
              <w:t>as</w:t>
            </w:r>
            <w:r w:rsidR="00932420">
              <w:t xml:space="preserve"> </w:t>
            </w:r>
            <w:r>
              <w:t>identified</w:t>
            </w:r>
            <w:r w:rsidR="00932420">
              <w:t xml:space="preserve"> </w:t>
            </w:r>
            <w:r>
              <w:t>by</w:t>
            </w:r>
            <w:r w:rsidR="00932420">
              <w:t xml:space="preserve"> </w:t>
            </w:r>
            <w:r>
              <w:t>the</w:t>
            </w:r>
            <w:r w:rsidR="00932420">
              <w:t xml:space="preserve"> </w:t>
            </w:r>
            <w:r>
              <w:t>SEIFA</w:t>
            </w:r>
            <w:r w:rsidR="00932420">
              <w:t xml:space="preserve"> </w:t>
            </w:r>
            <w:r>
              <w:t>index</w:t>
            </w:r>
          </w:p>
          <w:p w14:paraId="3AC0189B" w14:textId="2C3EA7A7" w:rsidR="003D67F3" w:rsidRPr="003D67F3" w:rsidRDefault="003D67F3" w:rsidP="003D67F3">
            <w:pPr>
              <w:pStyle w:val="TableCopy"/>
              <w:rPr>
                <w:i/>
                <w:iCs/>
              </w:rPr>
            </w:pPr>
            <w:r w:rsidRPr="003D67F3">
              <w:rPr>
                <w:i/>
                <w:iCs/>
              </w:rPr>
              <w:t>Higher result due to a higher proportion of eligible applications being received from low-SEIFA areas for the program.</w:t>
            </w:r>
          </w:p>
        </w:tc>
        <w:tc>
          <w:tcPr>
            <w:tcW w:w="1099" w:type="dxa"/>
          </w:tcPr>
          <w:p w14:paraId="767CBD9C" w14:textId="16456ECE" w:rsidR="00CA3C5B" w:rsidRDefault="00260033" w:rsidP="0095528F">
            <w:pPr>
              <w:pStyle w:val="TableCopy"/>
              <w:jc w:val="right"/>
            </w:pPr>
            <w:r>
              <w:t>per</w:t>
            </w:r>
            <w:r w:rsidR="00932420">
              <w:t xml:space="preserve"> </w:t>
            </w:r>
            <w:r>
              <w:t>cent</w:t>
            </w:r>
          </w:p>
        </w:tc>
        <w:tc>
          <w:tcPr>
            <w:tcW w:w="963" w:type="dxa"/>
          </w:tcPr>
          <w:p w14:paraId="2A82F891" w14:textId="77777777" w:rsidR="00CA3C5B" w:rsidRDefault="00260033" w:rsidP="0095528F">
            <w:pPr>
              <w:pStyle w:val="TableCopy"/>
              <w:jc w:val="right"/>
            </w:pPr>
            <w:r>
              <w:t>50</w:t>
            </w:r>
          </w:p>
        </w:tc>
        <w:tc>
          <w:tcPr>
            <w:tcW w:w="953" w:type="dxa"/>
          </w:tcPr>
          <w:p w14:paraId="7D86A5EB" w14:textId="77777777" w:rsidR="00CA3C5B" w:rsidRDefault="00260033" w:rsidP="0095528F">
            <w:pPr>
              <w:pStyle w:val="TableCopy"/>
              <w:jc w:val="right"/>
            </w:pPr>
            <w:r>
              <w:t>45</w:t>
            </w:r>
          </w:p>
        </w:tc>
        <w:tc>
          <w:tcPr>
            <w:tcW w:w="1434" w:type="dxa"/>
          </w:tcPr>
          <w:p w14:paraId="31982102" w14:textId="77777777" w:rsidR="00CA3C5B" w:rsidRDefault="00260033" w:rsidP="0095528F">
            <w:pPr>
              <w:pStyle w:val="TableCopy"/>
              <w:jc w:val="right"/>
            </w:pPr>
            <w:r>
              <w:t>11.1%</w:t>
            </w:r>
          </w:p>
        </w:tc>
        <w:tc>
          <w:tcPr>
            <w:tcW w:w="766" w:type="dxa"/>
          </w:tcPr>
          <w:p w14:paraId="34370E49" w14:textId="55DAF76C" w:rsidR="00CA3C5B" w:rsidRDefault="0095528F" w:rsidP="0095528F">
            <w:pPr>
              <w:pStyle w:val="TableCopy"/>
              <w:jc w:val="right"/>
            </w:pPr>
            <w:r w:rsidRPr="003E4F57">
              <w:t>1</w:t>
            </w:r>
          </w:p>
        </w:tc>
      </w:tr>
      <w:tr w:rsidR="00CA3C5B" w14:paraId="6624C690" w14:textId="77777777" w:rsidTr="0095528F">
        <w:trPr>
          <w:cantSplit/>
        </w:trPr>
        <w:tc>
          <w:tcPr>
            <w:tcW w:w="4957" w:type="dxa"/>
          </w:tcPr>
          <w:p w14:paraId="2804EDA6" w14:textId="77777777" w:rsidR="00CA3C5B" w:rsidRDefault="00260033" w:rsidP="003D67F3">
            <w:pPr>
              <w:pStyle w:val="TableCopy"/>
            </w:pPr>
            <w:r>
              <w:t>Sporting</w:t>
            </w:r>
            <w:r w:rsidR="00932420">
              <w:t xml:space="preserve"> </w:t>
            </w:r>
            <w:r>
              <w:t>club</w:t>
            </w:r>
            <w:r w:rsidR="00932420">
              <w:t xml:space="preserve"> </w:t>
            </w:r>
            <w:r>
              <w:t>grants</w:t>
            </w:r>
            <w:r w:rsidR="00932420">
              <w:t xml:space="preserve"> </w:t>
            </w:r>
            <w:r>
              <w:t>to</w:t>
            </w:r>
            <w:r w:rsidR="00932420">
              <w:t xml:space="preserve"> </w:t>
            </w:r>
            <w:r>
              <w:t>recipients</w:t>
            </w:r>
            <w:r w:rsidR="00932420">
              <w:t xml:space="preserve"> </w:t>
            </w:r>
            <w:r>
              <w:t>which</w:t>
            </w:r>
            <w:r w:rsidR="00932420">
              <w:t xml:space="preserve"> </w:t>
            </w:r>
            <w:r>
              <w:t>are</w:t>
            </w:r>
            <w:r w:rsidR="00932420">
              <w:t xml:space="preserve"> </w:t>
            </w:r>
            <w:r>
              <w:t>regionally</w:t>
            </w:r>
            <w:r w:rsidR="00932420">
              <w:t xml:space="preserve"> </w:t>
            </w:r>
            <w:r>
              <w:t>based</w:t>
            </w:r>
          </w:p>
          <w:p w14:paraId="68D8C248" w14:textId="2822A349" w:rsidR="003D67F3" w:rsidRPr="003D67F3" w:rsidRDefault="003D67F3" w:rsidP="003D67F3">
            <w:pPr>
              <w:pStyle w:val="TableCopy"/>
              <w:rPr>
                <w:i/>
                <w:iCs/>
              </w:rPr>
            </w:pPr>
            <w:r w:rsidRPr="003D67F3">
              <w:rPr>
                <w:i/>
                <w:iCs/>
              </w:rPr>
              <w:t>Higher result due to a higher proportion of eligible applications being received from regional areas through these programs.</w:t>
            </w:r>
          </w:p>
        </w:tc>
        <w:tc>
          <w:tcPr>
            <w:tcW w:w="1099" w:type="dxa"/>
          </w:tcPr>
          <w:p w14:paraId="5EA224D0" w14:textId="4BACBD6A" w:rsidR="00CA3C5B" w:rsidRDefault="00260033" w:rsidP="0095528F">
            <w:pPr>
              <w:pStyle w:val="TableCopy"/>
              <w:jc w:val="right"/>
            </w:pPr>
            <w:r>
              <w:t>per</w:t>
            </w:r>
            <w:r w:rsidR="00932420">
              <w:t xml:space="preserve"> </w:t>
            </w:r>
            <w:r>
              <w:t>cent</w:t>
            </w:r>
          </w:p>
        </w:tc>
        <w:tc>
          <w:tcPr>
            <w:tcW w:w="963" w:type="dxa"/>
          </w:tcPr>
          <w:p w14:paraId="0D6B258B" w14:textId="77777777" w:rsidR="00CA3C5B" w:rsidRDefault="00260033" w:rsidP="0095528F">
            <w:pPr>
              <w:pStyle w:val="TableCopy"/>
              <w:jc w:val="right"/>
            </w:pPr>
            <w:r>
              <w:t>43</w:t>
            </w:r>
          </w:p>
        </w:tc>
        <w:tc>
          <w:tcPr>
            <w:tcW w:w="953" w:type="dxa"/>
          </w:tcPr>
          <w:p w14:paraId="628C0123" w14:textId="77777777" w:rsidR="00CA3C5B" w:rsidRDefault="00260033" w:rsidP="0095528F">
            <w:pPr>
              <w:pStyle w:val="TableCopy"/>
              <w:jc w:val="right"/>
            </w:pPr>
            <w:r>
              <w:t>35</w:t>
            </w:r>
          </w:p>
        </w:tc>
        <w:tc>
          <w:tcPr>
            <w:tcW w:w="1434" w:type="dxa"/>
          </w:tcPr>
          <w:p w14:paraId="30148C09" w14:textId="77777777" w:rsidR="00CA3C5B" w:rsidRDefault="00260033" w:rsidP="0095528F">
            <w:pPr>
              <w:pStyle w:val="TableCopy"/>
              <w:jc w:val="right"/>
            </w:pPr>
            <w:r>
              <w:t>22.9%</w:t>
            </w:r>
          </w:p>
        </w:tc>
        <w:tc>
          <w:tcPr>
            <w:tcW w:w="766" w:type="dxa"/>
          </w:tcPr>
          <w:p w14:paraId="1F4CF376" w14:textId="216EF997" w:rsidR="00CA3C5B" w:rsidRDefault="0095528F" w:rsidP="0095528F">
            <w:pPr>
              <w:pStyle w:val="TableCopy"/>
              <w:jc w:val="right"/>
            </w:pPr>
            <w:r w:rsidRPr="003E4F57">
              <w:t>1</w:t>
            </w:r>
          </w:p>
        </w:tc>
      </w:tr>
      <w:tr w:rsidR="00CA3C5B" w14:paraId="5432C60E" w14:textId="77777777" w:rsidTr="0095528F">
        <w:trPr>
          <w:cantSplit/>
        </w:trPr>
        <w:tc>
          <w:tcPr>
            <w:tcW w:w="4957" w:type="dxa"/>
          </w:tcPr>
          <w:p w14:paraId="2BB9023D" w14:textId="77777777" w:rsidR="00CA3C5B" w:rsidRDefault="00260033" w:rsidP="003D67F3">
            <w:pPr>
              <w:pStyle w:val="TableCopy"/>
            </w:pPr>
            <w:r>
              <w:t>Sporting</w:t>
            </w:r>
            <w:r w:rsidR="00932420">
              <w:t xml:space="preserve"> </w:t>
            </w:r>
            <w:r>
              <w:t>club</w:t>
            </w:r>
            <w:r w:rsidR="00932420">
              <w:t xml:space="preserve"> </w:t>
            </w:r>
            <w:r>
              <w:t>grants:</w:t>
            </w:r>
            <w:r w:rsidR="00932420">
              <w:t xml:space="preserve"> </w:t>
            </w:r>
            <w:r>
              <w:t>number</w:t>
            </w:r>
            <w:r w:rsidR="00932420">
              <w:t xml:space="preserve"> </w:t>
            </w:r>
            <w:r>
              <w:t>approved</w:t>
            </w:r>
          </w:p>
          <w:p w14:paraId="32FB7966" w14:textId="577278E8" w:rsidR="003D67F3" w:rsidRPr="003D67F3" w:rsidRDefault="003D67F3" w:rsidP="003D67F3">
            <w:pPr>
              <w:pStyle w:val="TableCopy"/>
              <w:rPr>
                <w:i/>
                <w:iCs/>
              </w:rPr>
            </w:pPr>
            <w:r w:rsidRPr="003D67F3">
              <w:rPr>
                <w:i/>
                <w:iCs/>
              </w:rPr>
              <w:t>Higher result due to additional funding to support recommended grants from the Community Support Fund and DFFH.</w:t>
            </w:r>
          </w:p>
        </w:tc>
        <w:tc>
          <w:tcPr>
            <w:tcW w:w="1099" w:type="dxa"/>
          </w:tcPr>
          <w:p w14:paraId="746D1172" w14:textId="77777777" w:rsidR="00CA3C5B" w:rsidRDefault="00260033" w:rsidP="0095528F">
            <w:pPr>
              <w:pStyle w:val="TableCopy"/>
              <w:jc w:val="right"/>
            </w:pPr>
            <w:r>
              <w:t>number</w:t>
            </w:r>
          </w:p>
        </w:tc>
        <w:tc>
          <w:tcPr>
            <w:tcW w:w="963" w:type="dxa"/>
          </w:tcPr>
          <w:p w14:paraId="174348FD" w14:textId="77777777" w:rsidR="00CA3C5B" w:rsidRDefault="00260033" w:rsidP="0095528F">
            <w:pPr>
              <w:pStyle w:val="TableCopy"/>
              <w:jc w:val="right"/>
            </w:pPr>
            <w:r>
              <w:t>1,444</w:t>
            </w:r>
          </w:p>
        </w:tc>
        <w:tc>
          <w:tcPr>
            <w:tcW w:w="953" w:type="dxa"/>
          </w:tcPr>
          <w:p w14:paraId="0B53CE15" w14:textId="77777777" w:rsidR="00CA3C5B" w:rsidRDefault="00260033" w:rsidP="0095528F">
            <w:pPr>
              <w:pStyle w:val="TableCopy"/>
              <w:jc w:val="right"/>
            </w:pPr>
            <w:r>
              <w:t>750</w:t>
            </w:r>
          </w:p>
        </w:tc>
        <w:tc>
          <w:tcPr>
            <w:tcW w:w="1434" w:type="dxa"/>
          </w:tcPr>
          <w:p w14:paraId="2915A9A3" w14:textId="77777777" w:rsidR="00CA3C5B" w:rsidRDefault="00260033" w:rsidP="0095528F">
            <w:pPr>
              <w:pStyle w:val="TableCopy"/>
              <w:jc w:val="right"/>
            </w:pPr>
            <w:r>
              <w:t>92.5%</w:t>
            </w:r>
          </w:p>
        </w:tc>
        <w:tc>
          <w:tcPr>
            <w:tcW w:w="766" w:type="dxa"/>
          </w:tcPr>
          <w:p w14:paraId="3F1999EC" w14:textId="2BE481F7" w:rsidR="00CA3C5B" w:rsidRDefault="0095528F" w:rsidP="0095528F">
            <w:pPr>
              <w:pStyle w:val="TableCopy"/>
              <w:jc w:val="right"/>
            </w:pPr>
            <w:r w:rsidRPr="003E4F57">
              <w:t>1</w:t>
            </w:r>
          </w:p>
        </w:tc>
      </w:tr>
      <w:tr w:rsidR="00CA3C5B" w14:paraId="00A84601" w14:textId="77777777" w:rsidTr="0095528F">
        <w:trPr>
          <w:cantSplit/>
        </w:trPr>
        <w:tc>
          <w:tcPr>
            <w:tcW w:w="4957" w:type="dxa"/>
          </w:tcPr>
          <w:p w14:paraId="381F4CF5" w14:textId="77777777" w:rsidR="00CA3C5B" w:rsidRDefault="00260033" w:rsidP="003D67F3">
            <w:pPr>
              <w:pStyle w:val="TableCopy"/>
            </w:pPr>
            <w:r>
              <w:t>Sports</w:t>
            </w:r>
            <w:r w:rsidR="00932420">
              <w:t xml:space="preserve"> </w:t>
            </w:r>
            <w:r>
              <w:t>with</w:t>
            </w:r>
            <w:r w:rsidR="00932420">
              <w:t xml:space="preserve"> </w:t>
            </w:r>
            <w:r>
              <w:t>athletes</w:t>
            </w:r>
            <w:r w:rsidR="00932420">
              <w:t xml:space="preserve"> </w:t>
            </w:r>
            <w:r>
              <w:t>on</w:t>
            </w:r>
            <w:r w:rsidR="00932420">
              <w:t xml:space="preserve"> </w:t>
            </w:r>
            <w:r>
              <w:t>Victorian</w:t>
            </w:r>
            <w:r w:rsidR="00932420">
              <w:t xml:space="preserve"> </w:t>
            </w:r>
            <w:r>
              <w:t>Institute</w:t>
            </w:r>
            <w:r w:rsidR="00932420">
              <w:t xml:space="preserve"> </w:t>
            </w:r>
            <w:r>
              <w:t>of</w:t>
            </w:r>
            <w:r w:rsidR="00932420">
              <w:t xml:space="preserve"> </w:t>
            </w:r>
            <w:r>
              <w:t>Sport</w:t>
            </w:r>
            <w:r w:rsidR="00932420">
              <w:t xml:space="preserve"> </w:t>
            </w:r>
            <w:r>
              <w:t>(VIS)</w:t>
            </w:r>
            <w:r w:rsidR="00932420">
              <w:t xml:space="preserve"> </w:t>
            </w:r>
            <w:r>
              <w:t>scholarships</w:t>
            </w:r>
          </w:p>
          <w:p w14:paraId="0D37D0D6" w14:textId="43C8628E" w:rsidR="003D67F3" w:rsidRPr="003D67F3" w:rsidRDefault="003D67F3" w:rsidP="003D67F3">
            <w:pPr>
              <w:pStyle w:val="TableCopy"/>
              <w:rPr>
                <w:i/>
                <w:iCs/>
              </w:rPr>
            </w:pPr>
            <w:r w:rsidRPr="003D67F3">
              <w:rPr>
                <w:i/>
                <w:iCs/>
              </w:rPr>
              <w:t>Higher result due to ongoing impact of increased investment into the VIS through the ‘A sustainable Victorian Institute of Sport’ initiative enabling it to increase the number of sport programs and VIS athletes under scholarship.</w:t>
            </w:r>
          </w:p>
        </w:tc>
        <w:tc>
          <w:tcPr>
            <w:tcW w:w="1099" w:type="dxa"/>
          </w:tcPr>
          <w:p w14:paraId="315346AF" w14:textId="77777777" w:rsidR="00CA3C5B" w:rsidRDefault="00260033" w:rsidP="0095528F">
            <w:pPr>
              <w:pStyle w:val="TableCopy"/>
              <w:jc w:val="right"/>
            </w:pPr>
            <w:r>
              <w:t>number</w:t>
            </w:r>
          </w:p>
        </w:tc>
        <w:tc>
          <w:tcPr>
            <w:tcW w:w="963" w:type="dxa"/>
          </w:tcPr>
          <w:p w14:paraId="62CB701A" w14:textId="77777777" w:rsidR="00CA3C5B" w:rsidRDefault="00260033" w:rsidP="0095528F">
            <w:pPr>
              <w:pStyle w:val="TableCopy"/>
              <w:jc w:val="right"/>
            </w:pPr>
            <w:r>
              <w:t>48</w:t>
            </w:r>
          </w:p>
        </w:tc>
        <w:tc>
          <w:tcPr>
            <w:tcW w:w="953" w:type="dxa"/>
          </w:tcPr>
          <w:p w14:paraId="31988F0E" w14:textId="77777777" w:rsidR="00CA3C5B" w:rsidRDefault="00260033" w:rsidP="0095528F">
            <w:pPr>
              <w:pStyle w:val="TableCopy"/>
              <w:jc w:val="right"/>
            </w:pPr>
            <w:r>
              <w:t>45</w:t>
            </w:r>
          </w:p>
        </w:tc>
        <w:tc>
          <w:tcPr>
            <w:tcW w:w="1434" w:type="dxa"/>
          </w:tcPr>
          <w:p w14:paraId="44B4DE5B" w14:textId="77777777" w:rsidR="00CA3C5B" w:rsidRDefault="00260033" w:rsidP="0095528F">
            <w:pPr>
              <w:pStyle w:val="TableCopy"/>
              <w:jc w:val="right"/>
            </w:pPr>
            <w:r>
              <w:t>6.7%</w:t>
            </w:r>
          </w:p>
        </w:tc>
        <w:tc>
          <w:tcPr>
            <w:tcW w:w="766" w:type="dxa"/>
          </w:tcPr>
          <w:p w14:paraId="69C333D4" w14:textId="48222DD6" w:rsidR="00CA3C5B" w:rsidRDefault="0095528F" w:rsidP="0095528F">
            <w:pPr>
              <w:pStyle w:val="TableCopy"/>
              <w:jc w:val="right"/>
            </w:pPr>
            <w:r w:rsidRPr="003E4F57">
              <w:t>1</w:t>
            </w:r>
          </w:p>
        </w:tc>
      </w:tr>
      <w:tr w:rsidR="00CA3C5B" w14:paraId="45185831" w14:textId="77777777" w:rsidTr="0095528F">
        <w:trPr>
          <w:cantSplit/>
        </w:trPr>
        <w:tc>
          <w:tcPr>
            <w:tcW w:w="4957" w:type="dxa"/>
          </w:tcPr>
          <w:p w14:paraId="52054881" w14:textId="77777777" w:rsidR="00CA3C5B" w:rsidRDefault="00260033" w:rsidP="003D67F3">
            <w:pPr>
              <w:pStyle w:val="TableCopy"/>
            </w:pPr>
            <w:r>
              <w:lastRenderedPageBreak/>
              <w:t>Victorian</w:t>
            </w:r>
            <w:r w:rsidR="00932420">
              <w:t xml:space="preserve"> </w:t>
            </w:r>
            <w:r>
              <w:t>categorised</w:t>
            </w:r>
            <w:r w:rsidR="00932420">
              <w:t xml:space="preserve"> </w:t>
            </w:r>
            <w:r>
              <w:t>athletes</w:t>
            </w:r>
            <w:r w:rsidR="00932420">
              <w:t xml:space="preserve"> </w:t>
            </w:r>
            <w:r>
              <w:t>supported</w:t>
            </w:r>
            <w:r w:rsidR="00932420">
              <w:t xml:space="preserve"> </w:t>
            </w:r>
            <w:r>
              <w:t>by</w:t>
            </w:r>
            <w:r w:rsidR="00932420">
              <w:t xml:space="preserve"> </w:t>
            </w:r>
            <w:r>
              <w:t>the</w:t>
            </w:r>
            <w:r w:rsidR="00932420">
              <w:t xml:space="preserve"> </w:t>
            </w:r>
            <w:r>
              <w:t>VIS</w:t>
            </w:r>
          </w:p>
          <w:p w14:paraId="356C8354" w14:textId="6F1EC758" w:rsidR="003D67F3" w:rsidRPr="003D67F3" w:rsidRDefault="003D67F3" w:rsidP="003D67F3">
            <w:pPr>
              <w:pStyle w:val="TableCopy"/>
              <w:rPr>
                <w:i/>
                <w:iCs/>
              </w:rPr>
            </w:pPr>
            <w:r w:rsidRPr="003D67F3">
              <w:rPr>
                <w:i/>
                <w:iCs/>
              </w:rPr>
              <w:t>Higher result due to the continued investment in the VIS under the ‘A sustainable Victorian Institute of Sport’ initiative allowing it to offer all Victorian categorised athletes a VIS scholarship in 2022–23.</w:t>
            </w:r>
          </w:p>
        </w:tc>
        <w:tc>
          <w:tcPr>
            <w:tcW w:w="1099" w:type="dxa"/>
          </w:tcPr>
          <w:p w14:paraId="1EF70901" w14:textId="4DD33F6B" w:rsidR="00CA3C5B" w:rsidRDefault="00260033" w:rsidP="0095528F">
            <w:pPr>
              <w:pStyle w:val="TableCopy"/>
              <w:jc w:val="right"/>
            </w:pPr>
            <w:r>
              <w:t>per</w:t>
            </w:r>
            <w:r w:rsidR="00932420">
              <w:t xml:space="preserve"> </w:t>
            </w:r>
            <w:r>
              <w:t>cent</w:t>
            </w:r>
          </w:p>
        </w:tc>
        <w:tc>
          <w:tcPr>
            <w:tcW w:w="963" w:type="dxa"/>
          </w:tcPr>
          <w:p w14:paraId="06213CE4" w14:textId="77777777" w:rsidR="00CA3C5B" w:rsidRDefault="00260033" w:rsidP="0095528F">
            <w:pPr>
              <w:pStyle w:val="TableCopy"/>
              <w:jc w:val="right"/>
            </w:pPr>
            <w:r>
              <w:t>98</w:t>
            </w:r>
          </w:p>
        </w:tc>
        <w:tc>
          <w:tcPr>
            <w:tcW w:w="953" w:type="dxa"/>
          </w:tcPr>
          <w:p w14:paraId="44299BEB" w14:textId="77777777" w:rsidR="00CA3C5B" w:rsidRDefault="00260033" w:rsidP="0095528F">
            <w:pPr>
              <w:pStyle w:val="TableCopy"/>
              <w:jc w:val="right"/>
            </w:pPr>
            <w:r>
              <w:t>60</w:t>
            </w:r>
          </w:p>
        </w:tc>
        <w:tc>
          <w:tcPr>
            <w:tcW w:w="1434" w:type="dxa"/>
          </w:tcPr>
          <w:p w14:paraId="0B4F5CD8" w14:textId="77777777" w:rsidR="00CA3C5B" w:rsidRDefault="00260033" w:rsidP="0095528F">
            <w:pPr>
              <w:pStyle w:val="TableCopy"/>
              <w:jc w:val="right"/>
            </w:pPr>
            <w:r>
              <w:t>63.3%</w:t>
            </w:r>
          </w:p>
        </w:tc>
        <w:tc>
          <w:tcPr>
            <w:tcW w:w="766" w:type="dxa"/>
          </w:tcPr>
          <w:p w14:paraId="7EA96F1B" w14:textId="173F4FFA" w:rsidR="00CA3C5B" w:rsidRDefault="0095528F" w:rsidP="0095528F">
            <w:pPr>
              <w:pStyle w:val="TableCopy"/>
              <w:jc w:val="right"/>
            </w:pPr>
            <w:r w:rsidRPr="003E4F57">
              <w:t>1</w:t>
            </w:r>
          </w:p>
        </w:tc>
      </w:tr>
      <w:tr w:rsidR="00CA3C5B" w14:paraId="29CCB40F" w14:textId="77777777" w:rsidTr="0095528F">
        <w:trPr>
          <w:cantSplit/>
        </w:trPr>
        <w:tc>
          <w:tcPr>
            <w:tcW w:w="4957" w:type="dxa"/>
          </w:tcPr>
          <w:p w14:paraId="27428244" w14:textId="77777777" w:rsidR="00CA3C5B" w:rsidRDefault="00260033" w:rsidP="003D67F3">
            <w:pPr>
              <w:pStyle w:val="TableCopy"/>
            </w:pPr>
            <w:r>
              <w:t>Victorian</w:t>
            </w:r>
            <w:r w:rsidR="00932420">
              <w:t xml:space="preserve"> </w:t>
            </w:r>
            <w:r>
              <w:t>Institute</w:t>
            </w:r>
            <w:r w:rsidR="00932420">
              <w:t xml:space="preserve"> </w:t>
            </w:r>
            <w:r>
              <w:t>of</w:t>
            </w:r>
            <w:r w:rsidR="00932420">
              <w:t xml:space="preserve"> </w:t>
            </w:r>
            <w:r>
              <w:t>Sport</w:t>
            </w:r>
            <w:r w:rsidR="00932420">
              <w:t xml:space="preserve"> </w:t>
            </w:r>
            <w:r>
              <w:t>scholarship</w:t>
            </w:r>
            <w:r w:rsidR="00932420">
              <w:t xml:space="preserve"> </w:t>
            </w:r>
            <w:r>
              <w:t>holders</w:t>
            </w:r>
            <w:r w:rsidR="00932420">
              <w:t xml:space="preserve"> </w:t>
            </w:r>
            <w:r>
              <w:t>on</w:t>
            </w:r>
            <w:r w:rsidR="00932420">
              <w:t xml:space="preserve"> </w:t>
            </w:r>
            <w:r>
              <w:t>national</w:t>
            </w:r>
            <w:r w:rsidR="00932420">
              <w:t xml:space="preserve"> </w:t>
            </w:r>
            <w:r>
              <w:t>teams/squads</w:t>
            </w:r>
          </w:p>
          <w:p w14:paraId="0139EC36" w14:textId="0DE7C77E" w:rsidR="0095528F" w:rsidRPr="0095528F" w:rsidRDefault="0095528F" w:rsidP="003D67F3">
            <w:pPr>
              <w:pStyle w:val="TableCopy"/>
              <w:rPr>
                <w:i/>
                <w:iCs/>
              </w:rPr>
            </w:pPr>
            <w:r w:rsidRPr="0095528F">
              <w:rPr>
                <w:i/>
                <w:iCs/>
              </w:rPr>
              <w:t>Higher result due to a higher number of athletes being selected on national teams/squads.</w:t>
            </w:r>
          </w:p>
        </w:tc>
        <w:tc>
          <w:tcPr>
            <w:tcW w:w="1099" w:type="dxa"/>
          </w:tcPr>
          <w:p w14:paraId="26278692" w14:textId="16EB0334" w:rsidR="00CA3C5B" w:rsidRDefault="00260033" w:rsidP="0095528F">
            <w:pPr>
              <w:pStyle w:val="TableCopy"/>
              <w:jc w:val="right"/>
            </w:pPr>
            <w:r>
              <w:t>per</w:t>
            </w:r>
            <w:r w:rsidR="00932420">
              <w:t xml:space="preserve"> </w:t>
            </w:r>
            <w:r>
              <w:t>cent</w:t>
            </w:r>
          </w:p>
        </w:tc>
        <w:tc>
          <w:tcPr>
            <w:tcW w:w="963" w:type="dxa"/>
          </w:tcPr>
          <w:p w14:paraId="5562564C" w14:textId="77777777" w:rsidR="00CA3C5B" w:rsidRDefault="00260033" w:rsidP="0095528F">
            <w:pPr>
              <w:pStyle w:val="TableCopy"/>
              <w:jc w:val="right"/>
            </w:pPr>
            <w:r>
              <w:t>65</w:t>
            </w:r>
          </w:p>
        </w:tc>
        <w:tc>
          <w:tcPr>
            <w:tcW w:w="953" w:type="dxa"/>
          </w:tcPr>
          <w:p w14:paraId="38957CFC" w14:textId="77777777" w:rsidR="00CA3C5B" w:rsidRDefault="00260033" w:rsidP="0095528F">
            <w:pPr>
              <w:pStyle w:val="TableCopy"/>
              <w:jc w:val="right"/>
            </w:pPr>
            <w:r>
              <w:t>60</w:t>
            </w:r>
          </w:p>
        </w:tc>
        <w:tc>
          <w:tcPr>
            <w:tcW w:w="1434" w:type="dxa"/>
          </w:tcPr>
          <w:p w14:paraId="59E8A9C2" w14:textId="77777777" w:rsidR="00CA3C5B" w:rsidRDefault="00260033" w:rsidP="0095528F">
            <w:pPr>
              <w:pStyle w:val="TableCopy"/>
              <w:jc w:val="right"/>
            </w:pPr>
            <w:r>
              <w:t>8.3%</w:t>
            </w:r>
          </w:p>
        </w:tc>
        <w:tc>
          <w:tcPr>
            <w:tcW w:w="766" w:type="dxa"/>
          </w:tcPr>
          <w:p w14:paraId="4DC56BFD" w14:textId="5C92C9EB" w:rsidR="00CA3C5B" w:rsidRDefault="0095528F" w:rsidP="0095528F">
            <w:pPr>
              <w:pStyle w:val="TableCopy"/>
              <w:jc w:val="right"/>
            </w:pPr>
            <w:r w:rsidRPr="003E4F57">
              <w:t>1</w:t>
            </w:r>
          </w:p>
        </w:tc>
      </w:tr>
      <w:tr w:rsidR="0095528F" w14:paraId="49F000A6" w14:textId="77777777" w:rsidTr="0095528F">
        <w:trPr>
          <w:cantSplit/>
        </w:trPr>
        <w:tc>
          <w:tcPr>
            <w:tcW w:w="4957" w:type="dxa"/>
          </w:tcPr>
          <w:p w14:paraId="7B2E5298" w14:textId="2B2505F5" w:rsidR="0095528F" w:rsidRDefault="0095528F" w:rsidP="0095528F">
            <w:pPr>
              <w:pStyle w:val="TableHeading"/>
            </w:pPr>
            <w:r>
              <w:t>Quality</w:t>
            </w:r>
          </w:p>
        </w:tc>
        <w:tc>
          <w:tcPr>
            <w:tcW w:w="1099" w:type="dxa"/>
          </w:tcPr>
          <w:p w14:paraId="3B238B34" w14:textId="77777777" w:rsidR="0095528F" w:rsidRDefault="0095528F" w:rsidP="0095528F">
            <w:pPr>
              <w:pStyle w:val="TableCopy"/>
              <w:jc w:val="right"/>
            </w:pPr>
          </w:p>
        </w:tc>
        <w:tc>
          <w:tcPr>
            <w:tcW w:w="963" w:type="dxa"/>
          </w:tcPr>
          <w:p w14:paraId="5DA0266D" w14:textId="77777777" w:rsidR="0095528F" w:rsidRDefault="0095528F" w:rsidP="0095528F">
            <w:pPr>
              <w:pStyle w:val="TableCopy"/>
              <w:jc w:val="right"/>
            </w:pPr>
          </w:p>
        </w:tc>
        <w:tc>
          <w:tcPr>
            <w:tcW w:w="953" w:type="dxa"/>
          </w:tcPr>
          <w:p w14:paraId="63EF09F3" w14:textId="77777777" w:rsidR="0095528F" w:rsidRDefault="0095528F" w:rsidP="0095528F">
            <w:pPr>
              <w:pStyle w:val="TableCopy"/>
              <w:jc w:val="right"/>
            </w:pPr>
          </w:p>
        </w:tc>
        <w:tc>
          <w:tcPr>
            <w:tcW w:w="1434" w:type="dxa"/>
          </w:tcPr>
          <w:p w14:paraId="645D8DC3" w14:textId="77777777" w:rsidR="0095528F" w:rsidRDefault="0095528F" w:rsidP="0095528F">
            <w:pPr>
              <w:pStyle w:val="TableCopy"/>
              <w:jc w:val="right"/>
            </w:pPr>
          </w:p>
        </w:tc>
        <w:tc>
          <w:tcPr>
            <w:tcW w:w="766" w:type="dxa"/>
          </w:tcPr>
          <w:p w14:paraId="74144D8D" w14:textId="77777777" w:rsidR="0095528F" w:rsidRPr="0095528F" w:rsidRDefault="0095528F" w:rsidP="0095528F">
            <w:pPr>
              <w:pStyle w:val="TableCopy"/>
              <w:jc w:val="right"/>
            </w:pPr>
          </w:p>
        </w:tc>
      </w:tr>
      <w:tr w:rsidR="00CA3C5B" w14:paraId="6564B963" w14:textId="77777777" w:rsidTr="0095528F">
        <w:trPr>
          <w:cantSplit/>
        </w:trPr>
        <w:tc>
          <w:tcPr>
            <w:tcW w:w="4957" w:type="dxa"/>
          </w:tcPr>
          <w:p w14:paraId="0A1A0025" w14:textId="1826D765" w:rsidR="00CA3C5B" w:rsidRDefault="00260033" w:rsidP="003D67F3">
            <w:pPr>
              <w:pStyle w:val="TableCopy"/>
            </w:pPr>
            <w:r>
              <w:t>Contract</w:t>
            </w:r>
            <w:r w:rsidR="00932420">
              <w:t xml:space="preserve"> </w:t>
            </w:r>
            <w:r>
              <w:t>management</w:t>
            </w:r>
            <w:r w:rsidR="00932420">
              <w:t xml:space="preserve"> </w:t>
            </w:r>
            <w:r>
              <w:t>of</w:t>
            </w:r>
            <w:r w:rsidR="00932420">
              <w:t xml:space="preserve"> </w:t>
            </w:r>
            <w:r>
              <w:t>outdoor</w:t>
            </w:r>
            <w:r w:rsidR="00932420">
              <w:t xml:space="preserve"> </w:t>
            </w:r>
            <w:r>
              <w:t>recreation</w:t>
            </w:r>
            <w:r w:rsidR="00932420">
              <w:t xml:space="preserve"> </w:t>
            </w:r>
            <w:r>
              <w:t>camps</w:t>
            </w:r>
            <w:r w:rsidR="00932420">
              <w:t xml:space="preserve"> </w:t>
            </w:r>
            <w:r>
              <w:t>meets</w:t>
            </w:r>
            <w:r w:rsidR="00932420">
              <w:t xml:space="preserve"> </w:t>
            </w:r>
            <w:r>
              <w:t>agreed</w:t>
            </w:r>
            <w:r w:rsidR="00932420">
              <w:t xml:space="preserve"> </w:t>
            </w:r>
            <w:r>
              <w:t>key</w:t>
            </w:r>
            <w:r w:rsidR="00932420">
              <w:t xml:space="preserve"> </w:t>
            </w:r>
            <w:r>
              <w:t>performance</w:t>
            </w:r>
            <w:r w:rsidR="00932420">
              <w:t xml:space="preserve"> </w:t>
            </w:r>
            <w:r>
              <w:t>indicators</w:t>
            </w:r>
          </w:p>
        </w:tc>
        <w:tc>
          <w:tcPr>
            <w:tcW w:w="1099" w:type="dxa"/>
          </w:tcPr>
          <w:p w14:paraId="228450AD" w14:textId="217018D5" w:rsidR="00CA3C5B" w:rsidRDefault="00260033" w:rsidP="0095528F">
            <w:pPr>
              <w:pStyle w:val="TableCopy"/>
              <w:jc w:val="right"/>
            </w:pPr>
            <w:r>
              <w:t>per</w:t>
            </w:r>
            <w:r w:rsidR="00932420">
              <w:t xml:space="preserve"> </w:t>
            </w:r>
            <w:r>
              <w:t>cent</w:t>
            </w:r>
          </w:p>
        </w:tc>
        <w:tc>
          <w:tcPr>
            <w:tcW w:w="963" w:type="dxa"/>
          </w:tcPr>
          <w:p w14:paraId="4917D064" w14:textId="77777777" w:rsidR="00CA3C5B" w:rsidRDefault="00260033" w:rsidP="0095528F">
            <w:pPr>
              <w:pStyle w:val="TableCopy"/>
              <w:jc w:val="right"/>
            </w:pPr>
            <w:r>
              <w:t>87</w:t>
            </w:r>
          </w:p>
        </w:tc>
        <w:tc>
          <w:tcPr>
            <w:tcW w:w="953" w:type="dxa"/>
          </w:tcPr>
          <w:p w14:paraId="31A27A79" w14:textId="77777777" w:rsidR="00CA3C5B" w:rsidRDefault="00260033" w:rsidP="0095528F">
            <w:pPr>
              <w:pStyle w:val="TableCopy"/>
              <w:jc w:val="right"/>
            </w:pPr>
            <w:r>
              <w:t>90</w:t>
            </w:r>
          </w:p>
        </w:tc>
        <w:tc>
          <w:tcPr>
            <w:tcW w:w="1434" w:type="dxa"/>
          </w:tcPr>
          <w:p w14:paraId="41414E3F" w14:textId="77777777" w:rsidR="00CA3C5B" w:rsidRDefault="00260033" w:rsidP="0095528F">
            <w:pPr>
              <w:pStyle w:val="TableCopy"/>
              <w:jc w:val="right"/>
            </w:pPr>
            <w:r>
              <w:t>-3.3%</w:t>
            </w:r>
          </w:p>
        </w:tc>
        <w:tc>
          <w:tcPr>
            <w:tcW w:w="766" w:type="dxa"/>
          </w:tcPr>
          <w:p w14:paraId="01639C02" w14:textId="4E6306AC" w:rsidR="00CA3C5B" w:rsidRDefault="0095528F" w:rsidP="0095528F">
            <w:pPr>
              <w:pStyle w:val="TableCopy"/>
              <w:jc w:val="right"/>
            </w:pPr>
            <w:r>
              <w:t>2</w:t>
            </w:r>
          </w:p>
        </w:tc>
      </w:tr>
      <w:tr w:rsidR="0095528F" w14:paraId="32528C58" w14:textId="77777777" w:rsidTr="0095528F">
        <w:trPr>
          <w:cantSplit/>
        </w:trPr>
        <w:tc>
          <w:tcPr>
            <w:tcW w:w="4957" w:type="dxa"/>
          </w:tcPr>
          <w:p w14:paraId="36EABC3D" w14:textId="69497C3C" w:rsidR="0095528F" w:rsidRDefault="0095528F" w:rsidP="00DF5D01">
            <w:pPr>
              <w:pStyle w:val="TableHeading"/>
            </w:pPr>
            <w:r w:rsidRPr="0095528F">
              <w:t>Timeliness</w:t>
            </w:r>
          </w:p>
        </w:tc>
        <w:tc>
          <w:tcPr>
            <w:tcW w:w="1099" w:type="dxa"/>
          </w:tcPr>
          <w:p w14:paraId="66442E80" w14:textId="77777777" w:rsidR="0095528F" w:rsidRDefault="0095528F" w:rsidP="0095528F">
            <w:pPr>
              <w:pStyle w:val="TableCopy"/>
              <w:jc w:val="right"/>
            </w:pPr>
          </w:p>
        </w:tc>
        <w:tc>
          <w:tcPr>
            <w:tcW w:w="963" w:type="dxa"/>
          </w:tcPr>
          <w:p w14:paraId="60B8C322" w14:textId="77777777" w:rsidR="0095528F" w:rsidRDefault="0095528F" w:rsidP="0095528F">
            <w:pPr>
              <w:pStyle w:val="TableCopy"/>
              <w:jc w:val="right"/>
            </w:pPr>
          </w:p>
        </w:tc>
        <w:tc>
          <w:tcPr>
            <w:tcW w:w="953" w:type="dxa"/>
          </w:tcPr>
          <w:p w14:paraId="2B22D901" w14:textId="77777777" w:rsidR="0095528F" w:rsidRDefault="0095528F" w:rsidP="0095528F">
            <w:pPr>
              <w:pStyle w:val="TableCopy"/>
              <w:jc w:val="right"/>
            </w:pPr>
          </w:p>
        </w:tc>
        <w:tc>
          <w:tcPr>
            <w:tcW w:w="1434" w:type="dxa"/>
          </w:tcPr>
          <w:p w14:paraId="72EBB32F" w14:textId="77777777" w:rsidR="0095528F" w:rsidRDefault="0095528F" w:rsidP="0095528F">
            <w:pPr>
              <w:pStyle w:val="TableCopy"/>
              <w:jc w:val="right"/>
            </w:pPr>
          </w:p>
        </w:tc>
        <w:tc>
          <w:tcPr>
            <w:tcW w:w="766" w:type="dxa"/>
          </w:tcPr>
          <w:p w14:paraId="5745F846" w14:textId="77777777" w:rsidR="0095528F" w:rsidRPr="0095528F" w:rsidRDefault="0095528F" w:rsidP="0095528F">
            <w:pPr>
              <w:pStyle w:val="TableCopy"/>
              <w:jc w:val="right"/>
            </w:pPr>
          </w:p>
        </w:tc>
      </w:tr>
      <w:tr w:rsidR="00CA3C5B" w14:paraId="1B3C36FA" w14:textId="77777777" w:rsidTr="0095528F">
        <w:trPr>
          <w:cantSplit/>
        </w:trPr>
        <w:tc>
          <w:tcPr>
            <w:tcW w:w="4957" w:type="dxa"/>
          </w:tcPr>
          <w:p w14:paraId="1CB82885" w14:textId="541B8512" w:rsidR="00CA3C5B" w:rsidRDefault="00260033" w:rsidP="003D67F3">
            <w:pPr>
              <w:pStyle w:val="TableCopy"/>
            </w:pPr>
            <w:r>
              <w:t>Community</w:t>
            </w:r>
            <w:r w:rsidR="00932420">
              <w:t xml:space="preserve"> </w:t>
            </w:r>
            <w:r>
              <w:t>Cricket</w:t>
            </w:r>
            <w:r w:rsidR="00932420">
              <w:t xml:space="preserve"> </w:t>
            </w:r>
            <w:r>
              <w:t>Program</w:t>
            </w:r>
            <w:r w:rsidR="00932420">
              <w:t xml:space="preserve"> </w:t>
            </w:r>
            <w:r>
              <w:t>milestones</w:t>
            </w:r>
            <w:r w:rsidR="00932420">
              <w:t xml:space="preserve"> </w:t>
            </w:r>
            <w:r>
              <w:t>delivered</w:t>
            </w:r>
            <w:r w:rsidR="00932420">
              <w:t xml:space="preserve"> </w:t>
            </w:r>
            <w:r>
              <w:t>within</w:t>
            </w:r>
            <w:r w:rsidR="00932420">
              <w:t xml:space="preserve"> </w:t>
            </w:r>
            <w:r>
              <w:t>agreed</w:t>
            </w:r>
            <w:r w:rsidR="00932420">
              <w:t xml:space="preserve"> </w:t>
            </w:r>
            <w:r>
              <w:t>timeframes</w:t>
            </w:r>
          </w:p>
        </w:tc>
        <w:tc>
          <w:tcPr>
            <w:tcW w:w="1099" w:type="dxa"/>
          </w:tcPr>
          <w:p w14:paraId="5FF72B5D" w14:textId="56E2268D" w:rsidR="00CA3C5B" w:rsidRDefault="00260033" w:rsidP="0095528F">
            <w:pPr>
              <w:pStyle w:val="TableCopy"/>
              <w:jc w:val="right"/>
            </w:pPr>
            <w:r>
              <w:t>per</w:t>
            </w:r>
            <w:r w:rsidR="00932420">
              <w:t xml:space="preserve"> </w:t>
            </w:r>
            <w:r>
              <w:t>cent</w:t>
            </w:r>
          </w:p>
        </w:tc>
        <w:tc>
          <w:tcPr>
            <w:tcW w:w="963" w:type="dxa"/>
          </w:tcPr>
          <w:p w14:paraId="28477FB4" w14:textId="77777777" w:rsidR="00CA3C5B" w:rsidRDefault="00260033" w:rsidP="0095528F">
            <w:pPr>
              <w:pStyle w:val="TableCopy"/>
              <w:jc w:val="right"/>
            </w:pPr>
            <w:r>
              <w:t>94</w:t>
            </w:r>
          </w:p>
        </w:tc>
        <w:tc>
          <w:tcPr>
            <w:tcW w:w="953" w:type="dxa"/>
          </w:tcPr>
          <w:p w14:paraId="59FAEBF7" w14:textId="77777777" w:rsidR="00CA3C5B" w:rsidRDefault="00260033" w:rsidP="0095528F">
            <w:pPr>
              <w:pStyle w:val="TableCopy"/>
              <w:jc w:val="right"/>
            </w:pPr>
            <w:r>
              <w:t>90</w:t>
            </w:r>
          </w:p>
        </w:tc>
        <w:tc>
          <w:tcPr>
            <w:tcW w:w="1434" w:type="dxa"/>
          </w:tcPr>
          <w:p w14:paraId="0A3B38D4" w14:textId="77777777" w:rsidR="00CA3C5B" w:rsidRDefault="00260033" w:rsidP="0095528F">
            <w:pPr>
              <w:pStyle w:val="TableCopy"/>
              <w:jc w:val="right"/>
            </w:pPr>
            <w:r>
              <w:t>4.4%</w:t>
            </w:r>
          </w:p>
        </w:tc>
        <w:tc>
          <w:tcPr>
            <w:tcW w:w="766" w:type="dxa"/>
          </w:tcPr>
          <w:p w14:paraId="1CFFC52E" w14:textId="267BBBD6" w:rsidR="00CA3C5B" w:rsidRDefault="0095528F" w:rsidP="0095528F">
            <w:pPr>
              <w:pStyle w:val="TableCopy"/>
              <w:jc w:val="right"/>
            </w:pPr>
            <w:r w:rsidRPr="003E4F57">
              <w:t>1</w:t>
            </w:r>
          </w:p>
        </w:tc>
      </w:tr>
      <w:tr w:rsidR="0095528F" w14:paraId="39D77BD0" w14:textId="77777777" w:rsidTr="0095528F">
        <w:trPr>
          <w:cantSplit/>
        </w:trPr>
        <w:tc>
          <w:tcPr>
            <w:tcW w:w="4957" w:type="dxa"/>
          </w:tcPr>
          <w:p w14:paraId="764D5014" w14:textId="5B32CAA0" w:rsidR="0095528F" w:rsidRDefault="0095528F" w:rsidP="00201F5E">
            <w:pPr>
              <w:pStyle w:val="TableHeading"/>
            </w:pPr>
            <w:r w:rsidRPr="0095528F">
              <w:t>Cost</w:t>
            </w:r>
          </w:p>
        </w:tc>
        <w:tc>
          <w:tcPr>
            <w:tcW w:w="1099" w:type="dxa"/>
          </w:tcPr>
          <w:p w14:paraId="0F05F7CB" w14:textId="77777777" w:rsidR="0095528F" w:rsidRDefault="0095528F" w:rsidP="0095528F">
            <w:pPr>
              <w:pStyle w:val="TableCopy"/>
              <w:jc w:val="right"/>
            </w:pPr>
          </w:p>
        </w:tc>
        <w:tc>
          <w:tcPr>
            <w:tcW w:w="963" w:type="dxa"/>
          </w:tcPr>
          <w:p w14:paraId="72FFE934" w14:textId="77777777" w:rsidR="0095528F" w:rsidRDefault="0095528F" w:rsidP="0095528F">
            <w:pPr>
              <w:pStyle w:val="TableCopy"/>
              <w:jc w:val="right"/>
            </w:pPr>
          </w:p>
        </w:tc>
        <w:tc>
          <w:tcPr>
            <w:tcW w:w="953" w:type="dxa"/>
          </w:tcPr>
          <w:p w14:paraId="5EA27483" w14:textId="77777777" w:rsidR="0095528F" w:rsidRDefault="0095528F" w:rsidP="0095528F">
            <w:pPr>
              <w:pStyle w:val="TableCopy"/>
              <w:jc w:val="right"/>
            </w:pPr>
          </w:p>
        </w:tc>
        <w:tc>
          <w:tcPr>
            <w:tcW w:w="1434" w:type="dxa"/>
          </w:tcPr>
          <w:p w14:paraId="195CB2EA" w14:textId="77777777" w:rsidR="0095528F" w:rsidRDefault="0095528F" w:rsidP="0095528F">
            <w:pPr>
              <w:pStyle w:val="TableCopy"/>
              <w:jc w:val="right"/>
            </w:pPr>
          </w:p>
        </w:tc>
        <w:tc>
          <w:tcPr>
            <w:tcW w:w="766" w:type="dxa"/>
          </w:tcPr>
          <w:p w14:paraId="14486F03" w14:textId="77777777" w:rsidR="0095528F" w:rsidRPr="0095528F" w:rsidRDefault="0095528F" w:rsidP="0095528F">
            <w:pPr>
              <w:pStyle w:val="TableCopy"/>
              <w:jc w:val="right"/>
            </w:pPr>
          </w:p>
        </w:tc>
      </w:tr>
      <w:tr w:rsidR="00CA3C5B" w:rsidRPr="003D67F3" w14:paraId="4D12A8BE" w14:textId="77777777" w:rsidTr="0095528F">
        <w:trPr>
          <w:cantSplit/>
        </w:trPr>
        <w:tc>
          <w:tcPr>
            <w:tcW w:w="4957" w:type="dxa"/>
          </w:tcPr>
          <w:p w14:paraId="6FF12EEB" w14:textId="3F337791" w:rsidR="00CA3C5B" w:rsidRPr="003D67F3" w:rsidRDefault="00260033" w:rsidP="003D67F3">
            <w:pPr>
              <w:pStyle w:val="TableCopy"/>
              <w:rPr>
                <w:b/>
                <w:bCs/>
              </w:rPr>
            </w:pPr>
            <w:r w:rsidRPr="003D67F3">
              <w:rPr>
                <w:b/>
                <w:bCs/>
              </w:rPr>
              <w:t>Total</w:t>
            </w:r>
            <w:r w:rsidR="00932420" w:rsidRPr="003D67F3">
              <w:rPr>
                <w:b/>
                <w:bCs/>
              </w:rPr>
              <w:t xml:space="preserve"> </w:t>
            </w:r>
            <w:r w:rsidRPr="003D67F3">
              <w:rPr>
                <w:b/>
                <w:bCs/>
              </w:rPr>
              <w:t>output</w:t>
            </w:r>
            <w:r w:rsidR="00932420" w:rsidRPr="003D67F3">
              <w:rPr>
                <w:b/>
                <w:bCs/>
              </w:rPr>
              <w:t xml:space="preserve"> </w:t>
            </w:r>
            <w:r w:rsidRPr="003D67F3">
              <w:rPr>
                <w:b/>
                <w:bCs/>
              </w:rPr>
              <w:t>cost</w:t>
            </w:r>
          </w:p>
        </w:tc>
        <w:tc>
          <w:tcPr>
            <w:tcW w:w="1099" w:type="dxa"/>
          </w:tcPr>
          <w:p w14:paraId="12A1EAA7" w14:textId="01759AE9" w:rsidR="00CA3C5B" w:rsidRPr="003D67F3" w:rsidRDefault="00260033" w:rsidP="0095528F">
            <w:pPr>
              <w:pStyle w:val="TableCopy"/>
              <w:jc w:val="right"/>
              <w:rPr>
                <w:b/>
                <w:bCs/>
              </w:rPr>
            </w:pPr>
            <w:r w:rsidRPr="003D67F3">
              <w:rPr>
                <w:b/>
                <w:bCs/>
              </w:rPr>
              <w:t>$</w:t>
            </w:r>
            <w:r w:rsidR="00932420" w:rsidRPr="003D67F3">
              <w:rPr>
                <w:b/>
                <w:bCs/>
              </w:rPr>
              <w:t xml:space="preserve"> </w:t>
            </w:r>
            <w:r w:rsidRPr="003D67F3">
              <w:rPr>
                <w:b/>
                <w:bCs/>
              </w:rPr>
              <w:t>million</w:t>
            </w:r>
          </w:p>
        </w:tc>
        <w:tc>
          <w:tcPr>
            <w:tcW w:w="963" w:type="dxa"/>
          </w:tcPr>
          <w:p w14:paraId="68B3D71E" w14:textId="77777777" w:rsidR="00CA3C5B" w:rsidRPr="003D67F3" w:rsidRDefault="00260033" w:rsidP="0095528F">
            <w:pPr>
              <w:pStyle w:val="TableCopy"/>
              <w:jc w:val="right"/>
              <w:rPr>
                <w:b/>
                <w:bCs/>
              </w:rPr>
            </w:pPr>
            <w:r w:rsidRPr="003D67F3">
              <w:rPr>
                <w:b/>
                <w:bCs/>
              </w:rPr>
              <w:t>553.4</w:t>
            </w:r>
          </w:p>
        </w:tc>
        <w:tc>
          <w:tcPr>
            <w:tcW w:w="953" w:type="dxa"/>
          </w:tcPr>
          <w:p w14:paraId="56507A8E" w14:textId="77777777" w:rsidR="00CA3C5B" w:rsidRPr="003D67F3" w:rsidRDefault="00260033" w:rsidP="0095528F">
            <w:pPr>
              <w:pStyle w:val="TableCopy"/>
              <w:jc w:val="right"/>
              <w:rPr>
                <w:b/>
                <w:bCs/>
              </w:rPr>
            </w:pPr>
            <w:r w:rsidRPr="003D67F3">
              <w:rPr>
                <w:b/>
                <w:bCs/>
              </w:rPr>
              <w:t>361.9</w:t>
            </w:r>
          </w:p>
        </w:tc>
        <w:tc>
          <w:tcPr>
            <w:tcW w:w="1434" w:type="dxa"/>
          </w:tcPr>
          <w:p w14:paraId="687A7F90" w14:textId="77777777" w:rsidR="00CA3C5B" w:rsidRPr="003D67F3" w:rsidRDefault="00260033" w:rsidP="0095528F">
            <w:pPr>
              <w:pStyle w:val="TableCopy"/>
              <w:jc w:val="right"/>
              <w:rPr>
                <w:b/>
                <w:bCs/>
              </w:rPr>
            </w:pPr>
            <w:r w:rsidRPr="003D67F3">
              <w:rPr>
                <w:b/>
                <w:bCs/>
              </w:rPr>
              <w:t>52.9%</w:t>
            </w:r>
          </w:p>
        </w:tc>
        <w:tc>
          <w:tcPr>
            <w:tcW w:w="766" w:type="dxa"/>
          </w:tcPr>
          <w:p w14:paraId="3E7C9952" w14:textId="7F10FD8F" w:rsidR="00CA3C5B" w:rsidRPr="0095528F" w:rsidRDefault="0095528F" w:rsidP="0095528F">
            <w:pPr>
              <w:pStyle w:val="TableCopy"/>
              <w:jc w:val="right"/>
              <w:rPr>
                <w:b/>
                <w:bCs/>
              </w:rPr>
            </w:pPr>
            <w:r w:rsidRPr="0095528F">
              <w:rPr>
                <w:b/>
                <w:bCs/>
              </w:rPr>
              <w:t>3</w:t>
            </w:r>
          </w:p>
        </w:tc>
      </w:tr>
      <w:tr w:rsidR="0095528F" w:rsidRPr="0095528F" w14:paraId="5D12964E" w14:textId="77777777" w:rsidTr="0095528F">
        <w:trPr>
          <w:cantSplit/>
        </w:trPr>
        <w:tc>
          <w:tcPr>
            <w:tcW w:w="4957" w:type="dxa"/>
          </w:tcPr>
          <w:p w14:paraId="1E7310A7" w14:textId="44B5C2C8" w:rsidR="0095528F" w:rsidRPr="0095528F" w:rsidRDefault="0095528F" w:rsidP="0095528F">
            <w:pPr>
              <w:pStyle w:val="TableCopy"/>
              <w:rPr>
                <w:i/>
                <w:iCs/>
              </w:rPr>
            </w:pPr>
            <w:r w:rsidRPr="0095528F">
              <w:rPr>
                <w:i/>
                <w:iCs/>
              </w:rPr>
              <w:t>The 2022–23 result is higher than the 2022–23 budget mainly due to additional funding received for major sporting events.</w:t>
            </w:r>
          </w:p>
        </w:tc>
        <w:tc>
          <w:tcPr>
            <w:tcW w:w="1099" w:type="dxa"/>
          </w:tcPr>
          <w:p w14:paraId="3F5297C8" w14:textId="77777777" w:rsidR="0095528F" w:rsidRPr="0095528F" w:rsidRDefault="0095528F" w:rsidP="0095528F">
            <w:pPr>
              <w:pStyle w:val="TableCopy"/>
              <w:jc w:val="right"/>
            </w:pPr>
          </w:p>
        </w:tc>
        <w:tc>
          <w:tcPr>
            <w:tcW w:w="963" w:type="dxa"/>
          </w:tcPr>
          <w:p w14:paraId="5E95A793" w14:textId="77777777" w:rsidR="0095528F" w:rsidRPr="0095528F" w:rsidRDefault="0095528F" w:rsidP="0095528F">
            <w:pPr>
              <w:pStyle w:val="TableCopy"/>
              <w:jc w:val="right"/>
            </w:pPr>
          </w:p>
        </w:tc>
        <w:tc>
          <w:tcPr>
            <w:tcW w:w="953" w:type="dxa"/>
          </w:tcPr>
          <w:p w14:paraId="2E4A9D07" w14:textId="77777777" w:rsidR="0095528F" w:rsidRPr="0095528F" w:rsidRDefault="0095528F" w:rsidP="0095528F">
            <w:pPr>
              <w:pStyle w:val="TableCopy"/>
              <w:jc w:val="right"/>
            </w:pPr>
          </w:p>
        </w:tc>
        <w:tc>
          <w:tcPr>
            <w:tcW w:w="1434" w:type="dxa"/>
          </w:tcPr>
          <w:p w14:paraId="7F76DB39" w14:textId="77777777" w:rsidR="0095528F" w:rsidRPr="0095528F" w:rsidRDefault="0095528F" w:rsidP="0095528F">
            <w:pPr>
              <w:pStyle w:val="TableCopy"/>
              <w:jc w:val="right"/>
            </w:pPr>
          </w:p>
        </w:tc>
        <w:tc>
          <w:tcPr>
            <w:tcW w:w="766" w:type="dxa"/>
          </w:tcPr>
          <w:p w14:paraId="0DC51711" w14:textId="77777777" w:rsidR="0095528F" w:rsidRPr="0095528F" w:rsidRDefault="0095528F" w:rsidP="0095528F">
            <w:pPr>
              <w:pStyle w:val="TableCopy"/>
              <w:jc w:val="right"/>
            </w:pPr>
          </w:p>
        </w:tc>
      </w:tr>
    </w:tbl>
    <w:p w14:paraId="5409E34F" w14:textId="77777777" w:rsidR="0095528F" w:rsidRDefault="0095528F" w:rsidP="0095528F">
      <w:pPr>
        <w:pStyle w:val="FootnoteText"/>
        <w:spacing w:before="120"/>
      </w:pPr>
      <w:r>
        <w:t>Note:</w:t>
      </w:r>
    </w:p>
    <w:p w14:paraId="1A6223F2" w14:textId="77777777" w:rsidR="0095528F" w:rsidRDefault="0095528F" w:rsidP="0095528F">
      <w:pPr>
        <w:pStyle w:val="FootnoteText"/>
      </w:pPr>
      <w:r>
        <w:t>1</w:t>
      </w:r>
      <w:r w:rsidRPr="00A517F3">
        <w:t xml:space="preserve"> </w:t>
      </w:r>
      <w:r>
        <w:t>Performance target achieved or exceeded</w:t>
      </w:r>
    </w:p>
    <w:p w14:paraId="4209B103" w14:textId="77777777" w:rsidR="0095528F" w:rsidRDefault="0095528F" w:rsidP="0095528F">
      <w:pPr>
        <w:pStyle w:val="FootnoteText"/>
      </w:pPr>
      <w:r>
        <w:t>2</w:t>
      </w:r>
      <w:r w:rsidRPr="00A517F3">
        <w:t xml:space="preserve"> </w:t>
      </w:r>
      <w:r>
        <w:t>Performance target not achieved – but within 5% variance</w:t>
      </w:r>
    </w:p>
    <w:p w14:paraId="08D89F7A" w14:textId="77777777" w:rsidR="0095528F" w:rsidRDefault="0095528F" w:rsidP="0095528F">
      <w:pPr>
        <w:pStyle w:val="FootnoteText"/>
        <w:spacing w:after="280"/>
      </w:pPr>
      <w:r>
        <w:t>3</w:t>
      </w:r>
      <w:r w:rsidRPr="00A517F3">
        <w:t xml:space="preserve"> </w:t>
      </w:r>
      <w:r>
        <w:t>Performance target not achieved – exceeds 5% variance</w:t>
      </w:r>
    </w:p>
    <w:p w14:paraId="33229F18" w14:textId="0F25B3A8" w:rsidR="00CA3C5B" w:rsidRDefault="00260033" w:rsidP="0095528F">
      <w:r>
        <w:t>Table</w:t>
      </w:r>
      <w:r w:rsidR="00932420">
        <w:t xml:space="preserve"> </w:t>
      </w:r>
      <w:r>
        <w:t>26</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Tourism</w:t>
      </w:r>
      <w:r w:rsidR="00932420">
        <w:t xml:space="preserve"> </w:t>
      </w:r>
      <w:r>
        <w:t>and</w:t>
      </w:r>
      <w:r w:rsidR="00932420">
        <w:t xml:space="preserve"> </w:t>
      </w:r>
      <w:r>
        <w:t>Major</w:t>
      </w:r>
      <w:r w:rsidR="00932420">
        <w:t xml:space="preserve"> </w:t>
      </w:r>
      <w:r>
        <w:t>Events</w:t>
      </w:r>
      <w:r w:rsidR="00932420">
        <w:t xml:space="preserve"> </w:t>
      </w:r>
      <w:r>
        <w:t>output.</w:t>
      </w:r>
      <w:r w:rsidR="00932420">
        <w:t xml:space="preserve"> </w:t>
      </w:r>
      <w:r>
        <w:t>This</w:t>
      </w:r>
      <w:r w:rsidR="00932420">
        <w:t xml:space="preserve"> </w:t>
      </w:r>
      <w:r>
        <w:t>output</w:t>
      </w:r>
      <w:r w:rsidR="00932420">
        <w:t xml:space="preserve"> </w:t>
      </w:r>
      <w:r>
        <w:t>maximises</w:t>
      </w:r>
      <w:r w:rsidR="00932420">
        <w:t xml:space="preserve"> </w:t>
      </w:r>
      <w:r>
        <w:t>employment</w:t>
      </w:r>
      <w:r w:rsidR="00932420">
        <w:t xml:space="preserve"> </w:t>
      </w:r>
      <w:r>
        <w:t>and</w:t>
      </w:r>
      <w:r w:rsidR="00932420">
        <w:t xml:space="preserve"> </w:t>
      </w:r>
      <w:r>
        <w:t>the</w:t>
      </w:r>
      <w:r w:rsidR="00932420">
        <w:t xml:space="preserve"> </w:t>
      </w:r>
      <w:r>
        <w:t>long-term</w:t>
      </w:r>
      <w:r w:rsidR="00932420">
        <w:t xml:space="preserve"> </w:t>
      </w:r>
      <w:r>
        <w:t>economic</w:t>
      </w:r>
      <w:r w:rsidR="00932420">
        <w:t xml:space="preserve"> </w:t>
      </w:r>
      <w:r>
        <w:t>benefits</w:t>
      </w:r>
      <w:r w:rsidR="00932420">
        <w:t xml:space="preserve"> </w:t>
      </w:r>
      <w:r>
        <w:t>of</w:t>
      </w:r>
      <w:r w:rsidR="00932420">
        <w:t xml:space="preserve"> </w:t>
      </w:r>
      <w:r>
        <w:t>tourism</w:t>
      </w:r>
      <w:r w:rsidR="00932420">
        <w:t xml:space="preserve"> </w:t>
      </w:r>
      <w:r>
        <w:t>and</w:t>
      </w:r>
      <w:r w:rsidR="00932420">
        <w:t xml:space="preserve"> </w:t>
      </w:r>
      <w:r>
        <w:t>major</w:t>
      </w:r>
      <w:r w:rsidR="00932420">
        <w:t xml:space="preserve"> </w:t>
      </w:r>
      <w:r>
        <w:t>events</w:t>
      </w:r>
      <w:r w:rsidR="00932420">
        <w:t xml:space="preserve"> </w:t>
      </w:r>
      <w:r>
        <w:t>to</w:t>
      </w:r>
      <w:r w:rsidR="00932420">
        <w:t xml:space="preserve"> </w:t>
      </w:r>
      <w:r>
        <w:t>Victoria</w:t>
      </w:r>
      <w:r w:rsidR="00932420">
        <w:t xml:space="preserve"> </w:t>
      </w:r>
      <w:r>
        <w:t>by</w:t>
      </w:r>
      <w:r w:rsidR="00932420">
        <w:t xml:space="preserve"> </w:t>
      </w:r>
      <w:r>
        <w:t>developing</w:t>
      </w:r>
      <w:r w:rsidR="00932420">
        <w:t xml:space="preserve"> </w:t>
      </w:r>
      <w:r>
        <w:t>and</w:t>
      </w:r>
      <w:r w:rsidR="00932420">
        <w:t xml:space="preserve"> </w:t>
      </w:r>
      <w:r>
        <w:t>marketing</w:t>
      </w:r>
      <w:r w:rsidR="00932420">
        <w:t xml:space="preserve"> </w:t>
      </w:r>
      <w:r>
        <w:t>the</w:t>
      </w:r>
      <w:r w:rsidR="00932420">
        <w:t xml:space="preserve"> </w:t>
      </w:r>
      <w:r>
        <w:t>State</w:t>
      </w:r>
      <w:r w:rsidR="00932420">
        <w:t xml:space="preserve"> </w:t>
      </w:r>
      <w:r>
        <w:t>as</w:t>
      </w:r>
      <w:r w:rsidR="00932420">
        <w:t xml:space="preserve"> </w:t>
      </w:r>
      <w:r>
        <w:t>a</w:t>
      </w:r>
      <w:r w:rsidR="00932420">
        <w:t xml:space="preserve"> </w:t>
      </w:r>
      <w:r>
        <w:t>competitive</w:t>
      </w:r>
      <w:r w:rsidR="00932420">
        <w:t xml:space="preserve"> </w:t>
      </w:r>
      <w:r>
        <w:t>destination.</w:t>
      </w:r>
    </w:p>
    <w:p w14:paraId="523E37CE" w14:textId="2A63AA5E" w:rsidR="00CA3C5B" w:rsidRDefault="00260033" w:rsidP="0095528F">
      <w:pPr>
        <w:pStyle w:val="TableHeading"/>
      </w:pPr>
      <w:r>
        <w:lastRenderedPageBreak/>
        <w:t>Table</w:t>
      </w:r>
      <w:r w:rsidR="00932420">
        <w:t xml:space="preserve"> </w:t>
      </w:r>
      <w:r>
        <w:t>26:</w:t>
      </w:r>
      <w:r w:rsidR="00932420">
        <w:t xml:space="preserve"> </w:t>
      </w:r>
      <w:r>
        <w:t>Output</w:t>
      </w:r>
      <w:r w:rsidR="00932420">
        <w:t xml:space="preserve"> </w:t>
      </w:r>
      <w:r>
        <w:t>–</w:t>
      </w:r>
      <w:r w:rsidR="00932420">
        <w:t xml:space="preserve"> </w:t>
      </w:r>
      <w:r>
        <w:t>Tourism</w:t>
      </w:r>
      <w:r w:rsidR="00932420">
        <w:t xml:space="preserve"> </w:t>
      </w:r>
      <w:r>
        <w:t>and</w:t>
      </w:r>
      <w:r w:rsidR="00932420">
        <w:t xml:space="preserve"> </w:t>
      </w:r>
      <w:r>
        <w:t>Major</w:t>
      </w:r>
      <w:r w:rsidR="00932420">
        <w:t xml:space="preserve"> </w:t>
      </w:r>
      <w:r>
        <w:t>Events</w:t>
      </w:r>
    </w:p>
    <w:tbl>
      <w:tblPr>
        <w:tblStyle w:val="TableGrid"/>
        <w:tblW w:w="9918" w:type="dxa"/>
        <w:tblLayout w:type="fixed"/>
        <w:tblLook w:val="0020" w:firstRow="1" w:lastRow="0" w:firstColumn="0" w:lastColumn="0" w:noHBand="0" w:noVBand="0"/>
      </w:tblPr>
      <w:tblGrid>
        <w:gridCol w:w="4673"/>
        <w:gridCol w:w="1088"/>
        <w:gridCol w:w="963"/>
        <w:gridCol w:w="953"/>
        <w:gridCol w:w="1415"/>
        <w:gridCol w:w="826"/>
      </w:tblGrid>
      <w:tr w:rsidR="00CA3C5B" w:rsidRPr="006900AA" w14:paraId="045BD323" w14:textId="77777777" w:rsidTr="006612A8">
        <w:trPr>
          <w:cantSplit/>
          <w:tblHeader/>
        </w:trPr>
        <w:tc>
          <w:tcPr>
            <w:tcW w:w="4673" w:type="dxa"/>
          </w:tcPr>
          <w:p w14:paraId="37EFBCBE" w14:textId="2410216A" w:rsidR="00CA3C5B" w:rsidRPr="006900AA" w:rsidRDefault="00260033" w:rsidP="006900AA">
            <w:pPr>
              <w:pStyle w:val="TableColumnHeading"/>
              <w:rPr>
                <w:sz w:val="21"/>
                <w:szCs w:val="21"/>
              </w:rPr>
            </w:pPr>
            <w:bookmarkStart w:id="52" w:name="ColumnTitle_27"/>
            <w:bookmarkEnd w:id="52"/>
            <w:r w:rsidRPr="006900AA">
              <w:rPr>
                <w:sz w:val="21"/>
                <w:szCs w:val="21"/>
              </w:rPr>
              <w:t>Performance</w:t>
            </w:r>
            <w:r w:rsidR="00932420" w:rsidRPr="006900AA">
              <w:rPr>
                <w:sz w:val="21"/>
                <w:szCs w:val="21"/>
              </w:rPr>
              <w:t xml:space="preserve"> </w:t>
            </w:r>
            <w:r w:rsidRPr="006900AA">
              <w:rPr>
                <w:sz w:val="21"/>
                <w:szCs w:val="21"/>
              </w:rPr>
              <w:t>measures</w:t>
            </w:r>
          </w:p>
        </w:tc>
        <w:tc>
          <w:tcPr>
            <w:tcW w:w="1088" w:type="dxa"/>
          </w:tcPr>
          <w:p w14:paraId="032895E0" w14:textId="3BA95A31" w:rsidR="00CA3C5B" w:rsidRPr="006900AA" w:rsidRDefault="00260033" w:rsidP="006900AA">
            <w:pPr>
              <w:pStyle w:val="TableColumnHeading"/>
              <w:rPr>
                <w:sz w:val="21"/>
                <w:szCs w:val="21"/>
              </w:rPr>
            </w:pPr>
            <w:r w:rsidRPr="006900AA">
              <w:rPr>
                <w:sz w:val="21"/>
                <w:szCs w:val="21"/>
              </w:rPr>
              <w:t>Unit</w:t>
            </w:r>
            <w:r w:rsidR="00932420" w:rsidRPr="006900AA">
              <w:rPr>
                <w:sz w:val="21"/>
                <w:szCs w:val="21"/>
              </w:rPr>
              <w:t xml:space="preserve"> </w:t>
            </w:r>
            <w:r w:rsidRPr="006900AA">
              <w:rPr>
                <w:sz w:val="21"/>
                <w:szCs w:val="21"/>
              </w:rPr>
              <w:t>of</w:t>
            </w:r>
            <w:r w:rsidR="00932420" w:rsidRPr="006900AA">
              <w:rPr>
                <w:sz w:val="21"/>
                <w:szCs w:val="21"/>
              </w:rPr>
              <w:t xml:space="preserve"> </w:t>
            </w:r>
            <w:r w:rsidRPr="006900AA">
              <w:rPr>
                <w:sz w:val="21"/>
                <w:szCs w:val="21"/>
              </w:rPr>
              <w:t>Measure</w:t>
            </w:r>
          </w:p>
        </w:tc>
        <w:tc>
          <w:tcPr>
            <w:tcW w:w="963" w:type="dxa"/>
          </w:tcPr>
          <w:p w14:paraId="470A657A" w14:textId="77777777" w:rsidR="00CA3C5B" w:rsidRPr="006900AA" w:rsidRDefault="00260033" w:rsidP="006612A8">
            <w:pPr>
              <w:pStyle w:val="TableColumnHeading"/>
              <w:jc w:val="right"/>
              <w:rPr>
                <w:sz w:val="21"/>
                <w:szCs w:val="21"/>
              </w:rPr>
            </w:pPr>
            <w:r w:rsidRPr="006900AA">
              <w:rPr>
                <w:sz w:val="21"/>
                <w:szCs w:val="21"/>
              </w:rPr>
              <w:t>2022–23</w:t>
            </w:r>
            <w:r w:rsidRPr="006900AA">
              <w:rPr>
                <w:sz w:val="21"/>
                <w:szCs w:val="21"/>
              </w:rPr>
              <w:br/>
              <w:t>Actual</w:t>
            </w:r>
          </w:p>
        </w:tc>
        <w:tc>
          <w:tcPr>
            <w:tcW w:w="953" w:type="dxa"/>
          </w:tcPr>
          <w:p w14:paraId="74E3CE83" w14:textId="751128EC" w:rsidR="00CA3C5B" w:rsidRPr="006900AA" w:rsidRDefault="00260033" w:rsidP="006612A8">
            <w:pPr>
              <w:pStyle w:val="TableColumnHeading"/>
              <w:jc w:val="right"/>
              <w:rPr>
                <w:sz w:val="21"/>
                <w:szCs w:val="21"/>
              </w:rPr>
            </w:pPr>
            <w:r w:rsidRPr="006900AA">
              <w:rPr>
                <w:sz w:val="21"/>
                <w:szCs w:val="21"/>
              </w:rPr>
              <w:t>2022–23</w:t>
            </w:r>
            <w:r w:rsidR="00932420" w:rsidRPr="006900AA">
              <w:rPr>
                <w:sz w:val="21"/>
                <w:szCs w:val="21"/>
              </w:rPr>
              <w:t xml:space="preserve"> </w:t>
            </w:r>
            <w:r w:rsidRPr="006900AA">
              <w:rPr>
                <w:sz w:val="21"/>
                <w:szCs w:val="21"/>
              </w:rPr>
              <w:t>Target</w:t>
            </w:r>
          </w:p>
        </w:tc>
        <w:tc>
          <w:tcPr>
            <w:tcW w:w="1415" w:type="dxa"/>
          </w:tcPr>
          <w:p w14:paraId="62767C96" w14:textId="0AC4F0E5" w:rsidR="00CA3C5B" w:rsidRPr="006900AA" w:rsidRDefault="00260033" w:rsidP="006612A8">
            <w:pPr>
              <w:pStyle w:val="TableColumnHeading"/>
              <w:jc w:val="right"/>
              <w:rPr>
                <w:sz w:val="21"/>
                <w:szCs w:val="21"/>
              </w:rPr>
            </w:pPr>
            <w:r w:rsidRPr="006900AA">
              <w:rPr>
                <w:sz w:val="21"/>
                <w:szCs w:val="21"/>
              </w:rPr>
              <w:t>Performance</w:t>
            </w:r>
            <w:r w:rsidR="00932420" w:rsidRPr="006900AA">
              <w:rPr>
                <w:sz w:val="21"/>
                <w:szCs w:val="21"/>
              </w:rPr>
              <w:t xml:space="preserve"> </w:t>
            </w:r>
            <w:r w:rsidRPr="006900AA">
              <w:rPr>
                <w:sz w:val="21"/>
                <w:szCs w:val="21"/>
              </w:rPr>
              <w:t>variation</w:t>
            </w:r>
            <w:r w:rsidR="00932420" w:rsidRPr="006900AA">
              <w:rPr>
                <w:sz w:val="21"/>
                <w:szCs w:val="21"/>
              </w:rPr>
              <w:t xml:space="preserve"> </w:t>
            </w:r>
            <w:r w:rsidRPr="006900AA">
              <w:rPr>
                <w:sz w:val="21"/>
                <w:szCs w:val="21"/>
              </w:rPr>
              <w:t>(%)</w:t>
            </w:r>
          </w:p>
        </w:tc>
        <w:tc>
          <w:tcPr>
            <w:tcW w:w="826" w:type="dxa"/>
          </w:tcPr>
          <w:p w14:paraId="76967037" w14:textId="77777777" w:rsidR="00CA3C5B" w:rsidRPr="006900AA" w:rsidRDefault="00260033" w:rsidP="006612A8">
            <w:pPr>
              <w:pStyle w:val="TableColumnHeading"/>
              <w:jc w:val="right"/>
              <w:rPr>
                <w:sz w:val="21"/>
                <w:szCs w:val="21"/>
              </w:rPr>
            </w:pPr>
            <w:r w:rsidRPr="006900AA">
              <w:rPr>
                <w:sz w:val="21"/>
                <w:szCs w:val="21"/>
              </w:rPr>
              <w:t>Result</w:t>
            </w:r>
          </w:p>
        </w:tc>
      </w:tr>
      <w:tr w:rsidR="006900AA" w14:paraId="3A9D8E27" w14:textId="77777777" w:rsidTr="006612A8">
        <w:trPr>
          <w:cantSplit/>
        </w:trPr>
        <w:tc>
          <w:tcPr>
            <w:tcW w:w="4673" w:type="dxa"/>
          </w:tcPr>
          <w:p w14:paraId="72AE4329" w14:textId="780C5D67" w:rsidR="006900AA" w:rsidRDefault="006900AA" w:rsidP="006900AA">
            <w:pPr>
              <w:pStyle w:val="TableHeading"/>
            </w:pPr>
            <w:r>
              <w:t>Quantity</w:t>
            </w:r>
          </w:p>
        </w:tc>
        <w:tc>
          <w:tcPr>
            <w:tcW w:w="1088" w:type="dxa"/>
          </w:tcPr>
          <w:p w14:paraId="22537368" w14:textId="77777777" w:rsidR="006900AA" w:rsidRDefault="006900AA" w:rsidP="00DB772D">
            <w:pPr>
              <w:pStyle w:val="TableCopy"/>
            </w:pPr>
          </w:p>
        </w:tc>
        <w:tc>
          <w:tcPr>
            <w:tcW w:w="963" w:type="dxa"/>
          </w:tcPr>
          <w:p w14:paraId="767F2BD4" w14:textId="77777777" w:rsidR="006900AA" w:rsidRDefault="006900AA" w:rsidP="006612A8">
            <w:pPr>
              <w:pStyle w:val="TableCopy"/>
              <w:jc w:val="right"/>
            </w:pPr>
          </w:p>
        </w:tc>
        <w:tc>
          <w:tcPr>
            <w:tcW w:w="953" w:type="dxa"/>
          </w:tcPr>
          <w:p w14:paraId="07C1560F" w14:textId="77777777" w:rsidR="006900AA" w:rsidRDefault="006900AA" w:rsidP="006612A8">
            <w:pPr>
              <w:pStyle w:val="TableCopy"/>
              <w:jc w:val="right"/>
            </w:pPr>
          </w:p>
        </w:tc>
        <w:tc>
          <w:tcPr>
            <w:tcW w:w="1415" w:type="dxa"/>
          </w:tcPr>
          <w:p w14:paraId="1F0F429C" w14:textId="77777777" w:rsidR="006900AA" w:rsidRDefault="006900AA" w:rsidP="006612A8">
            <w:pPr>
              <w:pStyle w:val="TableCopy"/>
              <w:jc w:val="right"/>
            </w:pPr>
          </w:p>
        </w:tc>
        <w:tc>
          <w:tcPr>
            <w:tcW w:w="826" w:type="dxa"/>
          </w:tcPr>
          <w:p w14:paraId="277B2740" w14:textId="77777777" w:rsidR="006900AA" w:rsidRPr="006900AA" w:rsidRDefault="006900AA" w:rsidP="006612A8">
            <w:pPr>
              <w:pStyle w:val="TableCopy"/>
              <w:jc w:val="right"/>
            </w:pPr>
          </w:p>
        </w:tc>
      </w:tr>
      <w:tr w:rsidR="00CA3C5B" w14:paraId="5A7BDD78" w14:textId="77777777" w:rsidTr="006612A8">
        <w:trPr>
          <w:cantSplit/>
        </w:trPr>
        <w:tc>
          <w:tcPr>
            <w:tcW w:w="4673" w:type="dxa"/>
          </w:tcPr>
          <w:p w14:paraId="4A549F04" w14:textId="77777777" w:rsidR="00CA3C5B" w:rsidRDefault="00260033" w:rsidP="006900AA">
            <w:pPr>
              <w:pStyle w:val="TableCopy"/>
            </w:pPr>
            <w:r>
              <w:t>Always</w:t>
            </w:r>
            <w:r w:rsidR="00932420">
              <w:t xml:space="preserve"> </w:t>
            </w:r>
            <w:r>
              <w:t>Live</w:t>
            </w:r>
            <w:r w:rsidR="00932420">
              <w:t xml:space="preserve"> </w:t>
            </w:r>
            <w:r>
              <w:t>events</w:t>
            </w:r>
            <w:r w:rsidR="00932420">
              <w:t xml:space="preserve"> </w:t>
            </w:r>
            <w:r>
              <w:t>held</w:t>
            </w:r>
          </w:p>
          <w:p w14:paraId="78BA5519" w14:textId="0CF98727" w:rsidR="006900AA" w:rsidRPr="006900AA" w:rsidRDefault="006900AA" w:rsidP="006900AA">
            <w:pPr>
              <w:pStyle w:val="TableCopy"/>
              <w:rPr>
                <w:i/>
                <w:iCs/>
              </w:rPr>
            </w:pPr>
            <w:r w:rsidRPr="006900AA">
              <w:rPr>
                <w:i/>
                <w:iCs/>
              </w:rPr>
              <w:t>Higher result as the program was able to identify an increased quantity of event concepts.</w:t>
            </w:r>
          </w:p>
        </w:tc>
        <w:tc>
          <w:tcPr>
            <w:tcW w:w="1088" w:type="dxa"/>
          </w:tcPr>
          <w:p w14:paraId="1F5F9845" w14:textId="77777777" w:rsidR="00CA3C5B" w:rsidRDefault="00260033" w:rsidP="006900AA">
            <w:pPr>
              <w:pStyle w:val="TableCopy"/>
            </w:pPr>
            <w:r>
              <w:t>number</w:t>
            </w:r>
          </w:p>
        </w:tc>
        <w:tc>
          <w:tcPr>
            <w:tcW w:w="963" w:type="dxa"/>
          </w:tcPr>
          <w:p w14:paraId="31615008" w14:textId="77777777" w:rsidR="00CA3C5B" w:rsidRDefault="00260033" w:rsidP="006612A8">
            <w:pPr>
              <w:pStyle w:val="TableCopy"/>
              <w:jc w:val="right"/>
            </w:pPr>
            <w:r>
              <w:t>68</w:t>
            </w:r>
          </w:p>
        </w:tc>
        <w:tc>
          <w:tcPr>
            <w:tcW w:w="953" w:type="dxa"/>
          </w:tcPr>
          <w:p w14:paraId="7D4808E3" w14:textId="77777777" w:rsidR="00CA3C5B" w:rsidRDefault="00260033" w:rsidP="006612A8">
            <w:pPr>
              <w:pStyle w:val="TableCopy"/>
              <w:jc w:val="right"/>
            </w:pPr>
            <w:r>
              <w:t>50</w:t>
            </w:r>
          </w:p>
        </w:tc>
        <w:tc>
          <w:tcPr>
            <w:tcW w:w="1415" w:type="dxa"/>
          </w:tcPr>
          <w:p w14:paraId="4F89DF54" w14:textId="77777777" w:rsidR="00CA3C5B" w:rsidRDefault="00260033" w:rsidP="006612A8">
            <w:pPr>
              <w:pStyle w:val="TableCopy"/>
              <w:jc w:val="right"/>
            </w:pPr>
            <w:r>
              <w:t>36.0%</w:t>
            </w:r>
          </w:p>
        </w:tc>
        <w:tc>
          <w:tcPr>
            <w:tcW w:w="826" w:type="dxa"/>
          </w:tcPr>
          <w:p w14:paraId="774984E3" w14:textId="084B5F4B" w:rsidR="00CA3C5B" w:rsidRDefault="006612A8" w:rsidP="006612A8">
            <w:pPr>
              <w:pStyle w:val="TableCopy"/>
              <w:jc w:val="right"/>
            </w:pPr>
            <w:r w:rsidRPr="003E4F57">
              <w:t>1</w:t>
            </w:r>
          </w:p>
        </w:tc>
      </w:tr>
      <w:tr w:rsidR="00CA3C5B" w14:paraId="53CD11B1" w14:textId="77777777" w:rsidTr="006612A8">
        <w:trPr>
          <w:cantSplit/>
        </w:trPr>
        <w:tc>
          <w:tcPr>
            <w:tcW w:w="4673" w:type="dxa"/>
          </w:tcPr>
          <w:p w14:paraId="29F86FF3" w14:textId="77777777" w:rsidR="00CA3C5B" w:rsidRDefault="00260033" w:rsidP="006900AA">
            <w:pPr>
              <w:pStyle w:val="TableCopy"/>
            </w:pPr>
            <w:r>
              <w:t>Major</w:t>
            </w:r>
            <w:r w:rsidR="00932420">
              <w:t xml:space="preserve"> </w:t>
            </w:r>
            <w:r>
              <w:t>sporting</w:t>
            </w:r>
            <w:r w:rsidR="00932420">
              <w:t xml:space="preserve"> </w:t>
            </w:r>
            <w:r>
              <w:t>and</w:t>
            </w:r>
            <w:r w:rsidR="00932420">
              <w:t xml:space="preserve"> </w:t>
            </w:r>
            <w:r>
              <w:t>cultural</w:t>
            </w:r>
            <w:r w:rsidR="00932420">
              <w:t xml:space="preserve"> </w:t>
            </w:r>
            <w:r>
              <w:t>events</w:t>
            </w:r>
            <w:r w:rsidR="00932420">
              <w:t xml:space="preserve"> </w:t>
            </w:r>
            <w:r>
              <w:t>held</w:t>
            </w:r>
          </w:p>
          <w:p w14:paraId="4099F556" w14:textId="23896CE0" w:rsidR="006900AA" w:rsidRPr="006900AA" w:rsidRDefault="006900AA" w:rsidP="006900AA">
            <w:pPr>
              <w:pStyle w:val="TableCopy"/>
              <w:rPr>
                <w:i/>
                <w:iCs/>
              </w:rPr>
            </w:pPr>
            <w:r w:rsidRPr="006900AA">
              <w:rPr>
                <w:i/>
                <w:iCs/>
                <w:spacing w:val="-1"/>
              </w:rPr>
              <w:t>Higher result due to demand for major events and additional funding available within the period resulting in a higher number of events held.</w:t>
            </w:r>
          </w:p>
        </w:tc>
        <w:tc>
          <w:tcPr>
            <w:tcW w:w="1088" w:type="dxa"/>
          </w:tcPr>
          <w:p w14:paraId="6D65BC5B" w14:textId="77777777" w:rsidR="00CA3C5B" w:rsidRDefault="00260033" w:rsidP="006900AA">
            <w:pPr>
              <w:pStyle w:val="TableCopy"/>
            </w:pPr>
            <w:r>
              <w:t>number</w:t>
            </w:r>
          </w:p>
        </w:tc>
        <w:tc>
          <w:tcPr>
            <w:tcW w:w="963" w:type="dxa"/>
          </w:tcPr>
          <w:p w14:paraId="72F7E046" w14:textId="77777777" w:rsidR="00CA3C5B" w:rsidRDefault="00260033" w:rsidP="006612A8">
            <w:pPr>
              <w:pStyle w:val="TableCopy"/>
              <w:jc w:val="right"/>
            </w:pPr>
            <w:r>
              <w:t>40</w:t>
            </w:r>
          </w:p>
        </w:tc>
        <w:tc>
          <w:tcPr>
            <w:tcW w:w="953" w:type="dxa"/>
          </w:tcPr>
          <w:p w14:paraId="2A63C8F4" w14:textId="77777777" w:rsidR="00CA3C5B" w:rsidRDefault="00260033" w:rsidP="006612A8">
            <w:pPr>
              <w:pStyle w:val="TableCopy"/>
              <w:jc w:val="right"/>
            </w:pPr>
            <w:r>
              <w:t>27</w:t>
            </w:r>
          </w:p>
        </w:tc>
        <w:tc>
          <w:tcPr>
            <w:tcW w:w="1415" w:type="dxa"/>
          </w:tcPr>
          <w:p w14:paraId="5121054B" w14:textId="77777777" w:rsidR="00CA3C5B" w:rsidRDefault="00260033" w:rsidP="006612A8">
            <w:pPr>
              <w:pStyle w:val="TableCopy"/>
              <w:jc w:val="right"/>
            </w:pPr>
            <w:r>
              <w:t>48.1%</w:t>
            </w:r>
          </w:p>
        </w:tc>
        <w:tc>
          <w:tcPr>
            <w:tcW w:w="826" w:type="dxa"/>
          </w:tcPr>
          <w:p w14:paraId="7AD4E11D" w14:textId="08E55C3B" w:rsidR="00CA3C5B" w:rsidRDefault="006612A8" w:rsidP="006612A8">
            <w:pPr>
              <w:pStyle w:val="TableCopy"/>
              <w:jc w:val="right"/>
            </w:pPr>
            <w:r w:rsidRPr="003E4F57">
              <w:t>1</w:t>
            </w:r>
          </w:p>
        </w:tc>
      </w:tr>
      <w:tr w:rsidR="00CA3C5B" w14:paraId="3B553E4A" w14:textId="77777777" w:rsidTr="006612A8">
        <w:trPr>
          <w:cantSplit/>
        </w:trPr>
        <w:tc>
          <w:tcPr>
            <w:tcW w:w="4673" w:type="dxa"/>
          </w:tcPr>
          <w:p w14:paraId="351ECF3C" w14:textId="528715B5" w:rsidR="00CA3C5B" w:rsidRDefault="00260033" w:rsidP="006900AA">
            <w:pPr>
              <w:pStyle w:val="TableCopy"/>
            </w:pPr>
            <w:r>
              <w:t>Tourism</w:t>
            </w:r>
            <w:r w:rsidR="00932420">
              <w:t xml:space="preserve"> </w:t>
            </w:r>
            <w:r>
              <w:t>infrastructure</w:t>
            </w:r>
            <w:r w:rsidR="00932420">
              <w:t xml:space="preserve"> </w:t>
            </w:r>
            <w:r>
              <w:t>projects</w:t>
            </w:r>
            <w:r w:rsidR="00932420">
              <w:t xml:space="preserve"> </w:t>
            </w:r>
            <w:r>
              <w:t>facilitated</w:t>
            </w:r>
          </w:p>
        </w:tc>
        <w:tc>
          <w:tcPr>
            <w:tcW w:w="1088" w:type="dxa"/>
          </w:tcPr>
          <w:p w14:paraId="7A00FB46" w14:textId="77777777" w:rsidR="00CA3C5B" w:rsidRDefault="00260033" w:rsidP="006900AA">
            <w:pPr>
              <w:pStyle w:val="TableCopy"/>
            </w:pPr>
            <w:r>
              <w:t>number</w:t>
            </w:r>
          </w:p>
        </w:tc>
        <w:tc>
          <w:tcPr>
            <w:tcW w:w="963" w:type="dxa"/>
          </w:tcPr>
          <w:p w14:paraId="12B49B67" w14:textId="77777777" w:rsidR="00CA3C5B" w:rsidRDefault="00260033" w:rsidP="006612A8">
            <w:pPr>
              <w:pStyle w:val="TableCopy"/>
              <w:jc w:val="right"/>
            </w:pPr>
            <w:r>
              <w:t>38</w:t>
            </w:r>
          </w:p>
        </w:tc>
        <w:tc>
          <w:tcPr>
            <w:tcW w:w="953" w:type="dxa"/>
          </w:tcPr>
          <w:p w14:paraId="35BA7258" w14:textId="77777777" w:rsidR="00CA3C5B" w:rsidRDefault="00260033" w:rsidP="006612A8">
            <w:pPr>
              <w:pStyle w:val="TableCopy"/>
              <w:jc w:val="right"/>
            </w:pPr>
            <w:r>
              <w:t>38</w:t>
            </w:r>
          </w:p>
        </w:tc>
        <w:tc>
          <w:tcPr>
            <w:tcW w:w="1415" w:type="dxa"/>
          </w:tcPr>
          <w:p w14:paraId="4CC16F16" w14:textId="77777777" w:rsidR="00CA3C5B" w:rsidRDefault="00260033" w:rsidP="006612A8">
            <w:pPr>
              <w:pStyle w:val="TableCopy"/>
              <w:jc w:val="right"/>
            </w:pPr>
            <w:r>
              <w:t>0.0%</w:t>
            </w:r>
          </w:p>
        </w:tc>
        <w:tc>
          <w:tcPr>
            <w:tcW w:w="826" w:type="dxa"/>
          </w:tcPr>
          <w:p w14:paraId="33CF8605" w14:textId="1718F5FF" w:rsidR="00CA3C5B" w:rsidRDefault="006612A8" w:rsidP="006612A8">
            <w:pPr>
              <w:pStyle w:val="TableCopy"/>
              <w:jc w:val="right"/>
            </w:pPr>
            <w:r w:rsidRPr="003E4F57">
              <w:t>1</w:t>
            </w:r>
          </w:p>
        </w:tc>
      </w:tr>
      <w:tr w:rsidR="00CA3C5B" w14:paraId="7AF14ABA" w14:textId="77777777" w:rsidTr="006612A8">
        <w:trPr>
          <w:cantSplit/>
        </w:trPr>
        <w:tc>
          <w:tcPr>
            <w:tcW w:w="4673" w:type="dxa"/>
          </w:tcPr>
          <w:p w14:paraId="504379DE" w14:textId="5D3A94BF" w:rsidR="00CA3C5B" w:rsidRDefault="00260033" w:rsidP="006900AA">
            <w:pPr>
              <w:pStyle w:val="TableCopy"/>
            </w:pPr>
            <w:r>
              <w:t>Visit</w:t>
            </w:r>
            <w:r w:rsidR="00932420">
              <w:t xml:space="preserve"> </w:t>
            </w:r>
            <w:r>
              <w:t>Victoria’s</w:t>
            </w:r>
            <w:r w:rsidR="00932420">
              <w:t xml:space="preserve"> </w:t>
            </w:r>
            <w:r>
              <w:t>total</w:t>
            </w:r>
            <w:r w:rsidR="00932420">
              <w:t xml:space="preserve"> </w:t>
            </w:r>
            <w:r>
              <w:t>engaged</w:t>
            </w:r>
            <w:r w:rsidR="00932420">
              <w:t xml:space="preserve"> </w:t>
            </w:r>
            <w:r>
              <w:t>digital</w:t>
            </w:r>
            <w:r w:rsidR="00932420">
              <w:t xml:space="preserve"> </w:t>
            </w:r>
            <w:r>
              <w:t>audience</w:t>
            </w:r>
          </w:p>
        </w:tc>
        <w:tc>
          <w:tcPr>
            <w:tcW w:w="1088" w:type="dxa"/>
          </w:tcPr>
          <w:p w14:paraId="47A72372" w14:textId="00C8DB74" w:rsidR="00CA3C5B" w:rsidRDefault="00260033" w:rsidP="006900AA">
            <w:pPr>
              <w:pStyle w:val="TableCopy"/>
            </w:pPr>
            <w:r>
              <w:t>number</w:t>
            </w:r>
            <w:r w:rsidR="00932420">
              <w:t xml:space="preserve"> </w:t>
            </w:r>
            <w:r>
              <w:t>(million)</w:t>
            </w:r>
          </w:p>
        </w:tc>
        <w:tc>
          <w:tcPr>
            <w:tcW w:w="963" w:type="dxa"/>
          </w:tcPr>
          <w:p w14:paraId="7207B888" w14:textId="77777777" w:rsidR="00CA3C5B" w:rsidRDefault="00260033" w:rsidP="006612A8">
            <w:pPr>
              <w:pStyle w:val="TableCopy"/>
              <w:jc w:val="right"/>
            </w:pPr>
            <w:r>
              <w:t>6.7</w:t>
            </w:r>
          </w:p>
        </w:tc>
        <w:tc>
          <w:tcPr>
            <w:tcW w:w="953" w:type="dxa"/>
          </w:tcPr>
          <w:p w14:paraId="2D3F3DBB" w14:textId="77777777" w:rsidR="00CA3C5B" w:rsidRDefault="00260033" w:rsidP="006612A8">
            <w:pPr>
              <w:pStyle w:val="TableCopy"/>
              <w:jc w:val="right"/>
            </w:pPr>
            <w:r>
              <w:t>6.7</w:t>
            </w:r>
          </w:p>
        </w:tc>
        <w:tc>
          <w:tcPr>
            <w:tcW w:w="1415" w:type="dxa"/>
          </w:tcPr>
          <w:p w14:paraId="6E300061" w14:textId="77777777" w:rsidR="00CA3C5B" w:rsidRDefault="00260033" w:rsidP="006612A8">
            <w:pPr>
              <w:pStyle w:val="TableCopy"/>
              <w:jc w:val="right"/>
            </w:pPr>
            <w:r>
              <w:t>0.0%</w:t>
            </w:r>
          </w:p>
        </w:tc>
        <w:tc>
          <w:tcPr>
            <w:tcW w:w="826" w:type="dxa"/>
          </w:tcPr>
          <w:p w14:paraId="428B7416" w14:textId="65A30AC2" w:rsidR="00CA3C5B" w:rsidRDefault="006612A8" w:rsidP="006612A8">
            <w:pPr>
              <w:pStyle w:val="TableCopy"/>
              <w:jc w:val="right"/>
            </w:pPr>
            <w:r w:rsidRPr="003E4F57">
              <w:t>1</w:t>
            </w:r>
          </w:p>
        </w:tc>
      </w:tr>
      <w:tr w:rsidR="00CA3C5B" w14:paraId="0925382E" w14:textId="77777777" w:rsidTr="006612A8">
        <w:trPr>
          <w:cantSplit/>
        </w:trPr>
        <w:tc>
          <w:tcPr>
            <w:tcW w:w="4673" w:type="dxa"/>
          </w:tcPr>
          <w:p w14:paraId="79758730" w14:textId="77777777" w:rsidR="00CA3C5B" w:rsidRDefault="00260033" w:rsidP="006900AA">
            <w:pPr>
              <w:pStyle w:val="TableCopy"/>
            </w:pPr>
            <w:r>
              <w:t>Visitor</w:t>
            </w:r>
            <w:r w:rsidR="00932420">
              <w:t xml:space="preserve"> </w:t>
            </w:r>
            <w:r>
              <w:t>expenditure:</w:t>
            </w:r>
            <w:r w:rsidR="00932420">
              <w:t xml:space="preserve"> </w:t>
            </w:r>
            <w:r>
              <w:t>domestic</w:t>
            </w:r>
          </w:p>
          <w:p w14:paraId="15CCC080" w14:textId="74A4307E" w:rsidR="006900AA" w:rsidRPr="006900AA" w:rsidRDefault="006900AA" w:rsidP="006900AA">
            <w:pPr>
              <w:pStyle w:val="TableCopy"/>
              <w:rPr>
                <w:i/>
                <w:iCs/>
              </w:rPr>
            </w:pPr>
            <w:r w:rsidRPr="006900AA">
              <w:rPr>
                <w:i/>
                <w:iCs/>
              </w:rPr>
              <w:t>Higher result due to domestic tourism expenditure recovering faster than expected influenced by strong pent-up demand to travel.</w:t>
            </w:r>
          </w:p>
        </w:tc>
        <w:tc>
          <w:tcPr>
            <w:tcW w:w="1088" w:type="dxa"/>
          </w:tcPr>
          <w:p w14:paraId="6B01BCF3" w14:textId="2D93818C" w:rsidR="00CA3C5B" w:rsidRDefault="00260033" w:rsidP="006900AA">
            <w:pPr>
              <w:pStyle w:val="TableCopy"/>
            </w:pPr>
            <w:r>
              <w:t>$</w:t>
            </w:r>
            <w:r w:rsidR="00932420">
              <w:t xml:space="preserve"> </w:t>
            </w:r>
            <w:r>
              <w:t>billion</w:t>
            </w:r>
          </w:p>
        </w:tc>
        <w:tc>
          <w:tcPr>
            <w:tcW w:w="963" w:type="dxa"/>
          </w:tcPr>
          <w:p w14:paraId="3CBA96EF" w14:textId="77777777" w:rsidR="00CA3C5B" w:rsidRDefault="00260033" w:rsidP="006612A8">
            <w:pPr>
              <w:pStyle w:val="TableCopy"/>
              <w:jc w:val="right"/>
            </w:pPr>
            <w:r>
              <w:t>30.8</w:t>
            </w:r>
          </w:p>
        </w:tc>
        <w:tc>
          <w:tcPr>
            <w:tcW w:w="953" w:type="dxa"/>
          </w:tcPr>
          <w:p w14:paraId="5D3D34F3" w14:textId="77777777" w:rsidR="00CA3C5B" w:rsidRDefault="00260033" w:rsidP="006612A8">
            <w:pPr>
              <w:pStyle w:val="TableCopy"/>
              <w:jc w:val="right"/>
            </w:pPr>
            <w:r>
              <w:t>23.2</w:t>
            </w:r>
          </w:p>
        </w:tc>
        <w:tc>
          <w:tcPr>
            <w:tcW w:w="1415" w:type="dxa"/>
          </w:tcPr>
          <w:p w14:paraId="10253E39" w14:textId="77777777" w:rsidR="00CA3C5B" w:rsidRDefault="00260033" w:rsidP="006612A8">
            <w:pPr>
              <w:pStyle w:val="TableCopy"/>
              <w:jc w:val="right"/>
            </w:pPr>
            <w:r>
              <w:t>32.8%</w:t>
            </w:r>
          </w:p>
        </w:tc>
        <w:tc>
          <w:tcPr>
            <w:tcW w:w="826" w:type="dxa"/>
          </w:tcPr>
          <w:p w14:paraId="7FD0D26A" w14:textId="5558B8BB" w:rsidR="00CA3C5B" w:rsidRDefault="006612A8" w:rsidP="006612A8">
            <w:pPr>
              <w:pStyle w:val="TableCopy"/>
              <w:jc w:val="right"/>
            </w:pPr>
            <w:r w:rsidRPr="003E4F57">
              <w:t>1</w:t>
            </w:r>
          </w:p>
        </w:tc>
      </w:tr>
      <w:tr w:rsidR="00CA3C5B" w14:paraId="16A9EEBE" w14:textId="77777777" w:rsidTr="006612A8">
        <w:trPr>
          <w:cantSplit/>
        </w:trPr>
        <w:tc>
          <w:tcPr>
            <w:tcW w:w="4673" w:type="dxa"/>
          </w:tcPr>
          <w:p w14:paraId="648A63AC" w14:textId="77777777" w:rsidR="00CA3C5B" w:rsidRDefault="00260033" w:rsidP="006900AA">
            <w:pPr>
              <w:pStyle w:val="TableCopy"/>
            </w:pPr>
            <w:r>
              <w:t>Visitor</w:t>
            </w:r>
            <w:r w:rsidR="00932420">
              <w:t xml:space="preserve"> </w:t>
            </w:r>
            <w:r>
              <w:t>expenditure:</w:t>
            </w:r>
            <w:r w:rsidR="00932420">
              <w:t xml:space="preserve"> </w:t>
            </w:r>
            <w:r>
              <w:t>international</w:t>
            </w:r>
          </w:p>
          <w:p w14:paraId="69733A53" w14:textId="4C396653" w:rsidR="006900AA" w:rsidRPr="006900AA" w:rsidRDefault="006900AA" w:rsidP="006900AA">
            <w:pPr>
              <w:pStyle w:val="TableCopy"/>
              <w:rPr>
                <w:i/>
                <w:iCs/>
              </w:rPr>
            </w:pPr>
            <w:r w:rsidRPr="006900AA">
              <w:rPr>
                <w:i/>
                <w:iCs/>
              </w:rPr>
              <w:t>Lower result due to lower demand for international travel.</w:t>
            </w:r>
          </w:p>
        </w:tc>
        <w:tc>
          <w:tcPr>
            <w:tcW w:w="1088" w:type="dxa"/>
          </w:tcPr>
          <w:p w14:paraId="0491807C" w14:textId="09718795" w:rsidR="00CA3C5B" w:rsidRDefault="00260033" w:rsidP="006900AA">
            <w:pPr>
              <w:pStyle w:val="TableCopy"/>
            </w:pPr>
            <w:r>
              <w:t>$</w:t>
            </w:r>
            <w:r w:rsidR="00932420">
              <w:t xml:space="preserve"> </w:t>
            </w:r>
            <w:r>
              <w:t>billion</w:t>
            </w:r>
          </w:p>
        </w:tc>
        <w:tc>
          <w:tcPr>
            <w:tcW w:w="963" w:type="dxa"/>
          </w:tcPr>
          <w:p w14:paraId="5CFAD1F6" w14:textId="77777777" w:rsidR="00CA3C5B" w:rsidRDefault="00260033" w:rsidP="006612A8">
            <w:pPr>
              <w:pStyle w:val="TableCopy"/>
              <w:jc w:val="right"/>
            </w:pPr>
            <w:r>
              <w:t>4.2</w:t>
            </w:r>
          </w:p>
        </w:tc>
        <w:tc>
          <w:tcPr>
            <w:tcW w:w="953" w:type="dxa"/>
          </w:tcPr>
          <w:p w14:paraId="1D55BE0F" w14:textId="77777777" w:rsidR="00CA3C5B" w:rsidRDefault="00260033" w:rsidP="006612A8">
            <w:pPr>
              <w:pStyle w:val="TableCopy"/>
              <w:jc w:val="right"/>
            </w:pPr>
            <w:r>
              <w:t>9</w:t>
            </w:r>
          </w:p>
        </w:tc>
        <w:tc>
          <w:tcPr>
            <w:tcW w:w="1415" w:type="dxa"/>
          </w:tcPr>
          <w:p w14:paraId="7D690A4E" w14:textId="77777777" w:rsidR="00CA3C5B" w:rsidRDefault="00260033" w:rsidP="006612A8">
            <w:pPr>
              <w:pStyle w:val="TableCopy"/>
              <w:jc w:val="right"/>
            </w:pPr>
            <w:r>
              <w:t>-53.3%</w:t>
            </w:r>
          </w:p>
        </w:tc>
        <w:tc>
          <w:tcPr>
            <w:tcW w:w="826" w:type="dxa"/>
          </w:tcPr>
          <w:p w14:paraId="41BD4FC4" w14:textId="44A55E6B" w:rsidR="00CA3C5B" w:rsidRDefault="006612A8" w:rsidP="006612A8">
            <w:pPr>
              <w:pStyle w:val="TableCopy"/>
              <w:jc w:val="right"/>
            </w:pPr>
            <w:r>
              <w:t>3</w:t>
            </w:r>
          </w:p>
        </w:tc>
      </w:tr>
      <w:tr w:rsidR="00CA3C5B" w14:paraId="54777FA4" w14:textId="77777777" w:rsidTr="006612A8">
        <w:trPr>
          <w:cantSplit/>
        </w:trPr>
        <w:tc>
          <w:tcPr>
            <w:tcW w:w="4673" w:type="dxa"/>
          </w:tcPr>
          <w:p w14:paraId="4CDE64CC" w14:textId="77777777" w:rsidR="00CA3C5B" w:rsidRDefault="00260033" w:rsidP="006900AA">
            <w:pPr>
              <w:pStyle w:val="TableCopy"/>
            </w:pPr>
            <w:r>
              <w:t>Visitor</w:t>
            </w:r>
            <w:r w:rsidR="00932420">
              <w:t xml:space="preserve"> </w:t>
            </w:r>
            <w:r>
              <w:t>expenditure:</w:t>
            </w:r>
            <w:r w:rsidR="00932420">
              <w:t xml:space="preserve"> </w:t>
            </w:r>
            <w:r>
              <w:t>regional</w:t>
            </w:r>
            <w:r w:rsidR="00932420">
              <w:t xml:space="preserve"> </w:t>
            </w:r>
            <w:r>
              <w:t>Victoria</w:t>
            </w:r>
            <w:r w:rsidR="00932420">
              <w:t xml:space="preserve"> </w:t>
            </w:r>
            <w:r>
              <w:t>(domestic)</w:t>
            </w:r>
          </w:p>
          <w:p w14:paraId="0FB3B71E" w14:textId="27EE1B78" w:rsidR="006900AA" w:rsidRPr="006900AA" w:rsidRDefault="006900AA" w:rsidP="006900AA">
            <w:pPr>
              <w:pStyle w:val="TableCopy"/>
              <w:rPr>
                <w:i/>
                <w:iCs/>
              </w:rPr>
            </w:pPr>
            <w:r w:rsidRPr="006900AA">
              <w:rPr>
                <w:i/>
                <w:iCs/>
              </w:rPr>
              <w:t>Higher result due to domestic tourism expenditure in regional Victoria recovering faster than expected influenced by strong pent-up demand to travel.</w:t>
            </w:r>
          </w:p>
        </w:tc>
        <w:tc>
          <w:tcPr>
            <w:tcW w:w="1088" w:type="dxa"/>
          </w:tcPr>
          <w:p w14:paraId="7C84B9F5" w14:textId="243A7CC4" w:rsidR="00CA3C5B" w:rsidRDefault="00260033" w:rsidP="006900AA">
            <w:pPr>
              <w:pStyle w:val="TableCopy"/>
            </w:pPr>
            <w:r>
              <w:t>$</w:t>
            </w:r>
            <w:r w:rsidR="00932420">
              <w:t xml:space="preserve"> </w:t>
            </w:r>
            <w:r>
              <w:t>billion</w:t>
            </w:r>
          </w:p>
        </w:tc>
        <w:tc>
          <w:tcPr>
            <w:tcW w:w="963" w:type="dxa"/>
          </w:tcPr>
          <w:p w14:paraId="0ADEF7D3" w14:textId="77777777" w:rsidR="00CA3C5B" w:rsidRDefault="00260033" w:rsidP="006612A8">
            <w:pPr>
              <w:pStyle w:val="TableCopy"/>
              <w:jc w:val="right"/>
            </w:pPr>
            <w:r>
              <w:t>16.4</w:t>
            </w:r>
          </w:p>
        </w:tc>
        <w:tc>
          <w:tcPr>
            <w:tcW w:w="953" w:type="dxa"/>
          </w:tcPr>
          <w:p w14:paraId="26D60B08" w14:textId="77777777" w:rsidR="00CA3C5B" w:rsidRDefault="00260033" w:rsidP="006612A8">
            <w:pPr>
              <w:pStyle w:val="TableCopy"/>
              <w:jc w:val="right"/>
            </w:pPr>
            <w:r>
              <w:t>11.1</w:t>
            </w:r>
          </w:p>
        </w:tc>
        <w:tc>
          <w:tcPr>
            <w:tcW w:w="1415" w:type="dxa"/>
          </w:tcPr>
          <w:p w14:paraId="7C720047" w14:textId="77777777" w:rsidR="00CA3C5B" w:rsidRDefault="00260033" w:rsidP="006612A8">
            <w:pPr>
              <w:pStyle w:val="TableCopy"/>
              <w:jc w:val="right"/>
            </w:pPr>
            <w:r>
              <w:t>47.7%</w:t>
            </w:r>
          </w:p>
        </w:tc>
        <w:tc>
          <w:tcPr>
            <w:tcW w:w="826" w:type="dxa"/>
          </w:tcPr>
          <w:p w14:paraId="3C81A3D9" w14:textId="58D6C7F9" w:rsidR="00CA3C5B" w:rsidRDefault="006612A8" w:rsidP="006612A8">
            <w:pPr>
              <w:pStyle w:val="TableCopy"/>
              <w:jc w:val="right"/>
            </w:pPr>
            <w:r w:rsidRPr="003E4F57">
              <w:t>1</w:t>
            </w:r>
          </w:p>
        </w:tc>
      </w:tr>
      <w:tr w:rsidR="00CA3C5B" w14:paraId="3A57B5E4" w14:textId="77777777" w:rsidTr="006612A8">
        <w:trPr>
          <w:cantSplit/>
        </w:trPr>
        <w:tc>
          <w:tcPr>
            <w:tcW w:w="4673" w:type="dxa"/>
          </w:tcPr>
          <w:p w14:paraId="11AE2789" w14:textId="77777777" w:rsidR="00CA3C5B" w:rsidRDefault="00260033" w:rsidP="006900AA">
            <w:pPr>
              <w:pStyle w:val="TableCopy"/>
            </w:pPr>
            <w:r>
              <w:lastRenderedPageBreak/>
              <w:t>Visitor</w:t>
            </w:r>
            <w:r w:rsidR="00932420">
              <w:t xml:space="preserve"> </w:t>
            </w:r>
            <w:r>
              <w:t>expenditure:</w:t>
            </w:r>
            <w:r w:rsidR="00932420">
              <w:t xml:space="preserve"> </w:t>
            </w:r>
            <w:r>
              <w:t>regional</w:t>
            </w:r>
            <w:r w:rsidR="00932420">
              <w:t xml:space="preserve"> </w:t>
            </w:r>
            <w:r>
              <w:t>Victoria</w:t>
            </w:r>
            <w:r w:rsidR="00932420">
              <w:t xml:space="preserve"> </w:t>
            </w:r>
            <w:r>
              <w:t>(international)</w:t>
            </w:r>
          </w:p>
          <w:p w14:paraId="0C916C5A" w14:textId="4C67BA7C" w:rsidR="006900AA" w:rsidRPr="006900AA" w:rsidRDefault="006900AA" w:rsidP="006900AA">
            <w:pPr>
              <w:pStyle w:val="TableCopy"/>
              <w:rPr>
                <w:i/>
                <w:iCs/>
              </w:rPr>
            </w:pPr>
            <w:r w:rsidRPr="006900AA">
              <w:rPr>
                <w:i/>
                <w:iCs/>
              </w:rPr>
              <w:t xml:space="preserve">Result not available as international regional expenditure estimates from the International Visitor Survey (IVS) are not currently available due to survey methodology and data limitations. IVS survey interviews are progressively </w:t>
            </w:r>
            <w:proofErr w:type="gramStart"/>
            <w:r w:rsidRPr="006900AA">
              <w:rPr>
                <w:i/>
                <w:iCs/>
              </w:rPr>
              <w:t>returning</w:t>
            </w:r>
            <w:proofErr w:type="gramEnd"/>
            <w:r w:rsidRPr="006900AA">
              <w:rPr>
                <w:i/>
                <w:iCs/>
              </w:rPr>
              <w:t xml:space="preserve"> and regional metrics will be available later in 2023–24.</w:t>
            </w:r>
          </w:p>
        </w:tc>
        <w:tc>
          <w:tcPr>
            <w:tcW w:w="1088" w:type="dxa"/>
          </w:tcPr>
          <w:p w14:paraId="41F65DA3" w14:textId="2DBAD38E" w:rsidR="00CA3C5B" w:rsidRDefault="00260033" w:rsidP="006900AA">
            <w:pPr>
              <w:pStyle w:val="TableCopy"/>
            </w:pPr>
            <w:r>
              <w:t>$</w:t>
            </w:r>
            <w:r w:rsidR="00932420">
              <w:t xml:space="preserve"> </w:t>
            </w:r>
            <w:r>
              <w:t>million</w:t>
            </w:r>
          </w:p>
        </w:tc>
        <w:tc>
          <w:tcPr>
            <w:tcW w:w="963" w:type="dxa"/>
          </w:tcPr>
          <w:p w14:paraId="2372FEBF" w14:textId="77777777" w:rsidR="00CA3C5B" w:rsidRDefault="00260033" w:rsidP="006612A8">
            <w:pPr>
              <w:pStyle w:val="TableCopy"/>
              <w:jc w:val="right"/>
            </w:pPr>
            <w:r>
              <w:t>N/A</w:t>
            </w:r>
          </w:p>
        </w:tc>
        <w:tc>
          <w:tcPr>
            <w:tcW w:w="953" w:type="dxa"/>
          </w:tcPr>
          <w:p w14:paraId="0DA3B8A3" w14:textId="77777777" w:rsidR="00CA3C5B" w:rsidRDefault="00260033" w:rsidP="006612A8">
            <w:pPr>
              <w:pStyle w:val="TableCopy"/>
              <w:jc w:val="right"/>
            </w:pPr>
            <w:r>
              <w:t>600</w:t>
            </w:r>
          </w:p>
        </w:tc>
        <w:tc>
          <w:tcPr>
            <w:tcW w:w="1415" w:type="dxa"/>
          </w:tcPr>
          <w:p w14:paraId="5CEEF11F" w14:textId="77777777" w:rsidR="00CA3C5B" w:rsidRDefault="00260033" w:rsidP="006612A8">
            <w:pPr>
              <w:pStyle w:val="TableCopy"/>
              <w:jc w:val="right"/>
            </w:pPr>
            <w:r>
              <w:t>n/a</w:t>
            </w:r>
          </w:p>
        </w:tc>
        <w:tc>
          <w:tcPr>
            <w:tcW w:w="826" w:type="dxa"/>
          </w:tcPr>
          <w:p w14:paraId="55A51D09" w14:textId="2FCB1731" w:rsidR="00CA3C5B" w:rsidRDefault="006612A8" w:rsidP="006612A8">
            <w:pPr>
              <w:pStyle w:val="TableCopy"/>
              <w:jc w:val="right"/>
            </w:pPr>
            <w:r>
              <w:t>3</w:t>
            </w:r>
          </w:p>
        </w:tc>
      </w:tr>
      <w:tr w:rsidR="00CA3C5B" w14:paraId="089682E4" w14:textId="77777777" w:rsidTr="006612A8">
        <w:trPr>
          <w:cantSplit/>
        </w:trPr>
        <w:tc>
          <w:tcPr>
            <w:tcW w:w="4673" w:type="dxa"/>
          </w:tcPr>
          <w:p w14:paraId="04F73C99" w14:textId="77777777" w:rsidR="00CA3C5B" w:rsidRDefault="00260033" w:rsidP="006900AA">
            <w:pPr>
              <w:pStyle w:val="TableCopy"/>
            </w:pPr>
            <w:r>
              <w:t>Visitor</w:t>
            </w:r>
            <w:r w:rsidR="00932420">
              <w:t xml:space="preserve"> </w:t>
            </w:r>
            <w:r>
              <w:t>expenditure:</w:t>
            </w:r>
            <w:r w:rsidR="00932420">
              <w:t xml:space="preserve"> </w:t>
            </w:r>
            <w:r>
              <w:t>regional</w:t>
            </w:r>
            <w:r w:rsidR="00932420">
              <w:t xml:space="preserve"> </w:t>
            </w:r>
            <w:r>
              <w:t>Victoria</w:t>
            </w:r>
            <w:r w:rsidR="00932420">
              <w:t xml:space="preserve"> </w:t>
            </w:r>
            <w:r>
              <w:t>(intrastate</w:t>
            </w:r>
            <w:r w:rsidR="00932420">
              <w:t xml:space="preserve"> </w:t>
            </w:r>
            <w:r>
              <w:t>overnight)</w:t>
            </w:r>
          </w:p>
          <w:p w14:paraId="4E2FC751" w14:textId="344915C3" w:rsidR="006900AA" w:rsidRPr="006900AA" w:rsidRDefault="006900AA" w:rsidP="006900AA">
            <w:pPr>
              <w:pStyle w:val="TableCopy"/>
              <w:rPr>
                <w:i/>
                <w:iCs/>
              </w:rPr>
            </w:pPr>
            <w:r w:rsidRPr="006900AA">
              <w:rPr>
                <w:i/>
                <w:iCs/>
              </w:rPr>
              <w:t>Higher result due to intrastate overnight regional expenditure recovering faster than expected reflecting strong pent-up demand by Victorians to travel locally.</w:t>
            </w:r>
          </w:p>
        </w:tc>
        <w:tc>
          <w:tcPr>
            <w:tcW w:w="1088" w:type="dxa"/>
          </w:tcPr>
          <w:p w14:paraId="19FE51EF" w14:textId="2496BE60" w:rsidR="00CA3C5B" w:rsidRDefault="00260033" w:rsidP="006900AA">
            <w:pPr>
              <w:pStyle w:val="TableCopy"/>
            </w:pPr>
            <w:r>
              <w:t>$</w:t>
            </w:r>
            <w:r w:rsidR="00932420">
              <w:t xml:space="preserve"> </w:t>
            </w:r>
            <w:r>
              <w:t>billion</w:t>
            </w:r>
          </w:p>
        </w:tc>
        <w:tc>
          <w:tcPr>
            <w:tcW w:w="963" w:type="dxa"/>
          </w:tcPr>
          <w:p w14:paraId="4C99F9B1" w14:textId="77777777" w:rsidR="00CA3C5B" w:rsidRDefault="00260033" w:rsidP="006612A8">
            <w:pPr>
              <w:pStyle w:val="TableCopy"/>
              <w:jc w:val="right"/>
            </w:pPr>
            <w:r>
              <w:t>8.5</w:t>
            </w:r>
          </w:p>
        </w:tc>
        <w:tc>
          <w:tcPr>
            <w:tcW w:w="953" w:type="dxa"/>
          </w:tcPr>
          <w:p w14:paraId="4A0CDA29" w14:textId="77777777" w:rsidR="00CA3C5B" w:rsidRDefault="00260033" w:rsidP="006612A8">
            <w:pPr>
              <w:pStyle w:val="TableCopy"/>
              <w:jc w:val="right"/>
            </w:pPr>
            <w:r>
              <w:t>5.7</w:t>
            </w:r>
          </w:p>
        </w:tc>
        <w:tc>
          <w:tcPr>
            <w:tcW w:w="1415" w:type="dxa"/>
          </w:tcPr>
          <w:p w14:paraId="6A1A2F15" w14:textId="77777777" w:rsidR="00CA3C5B" w:rsidRDefault="00260033" w:rsidP="006612A8">
            <w:pPr>
              <w:pStyle w:val="TableCopy"/>
              <w:jc w:val="right"/>
            </w:pPr>
            <w:r>
              <w:t>49.1%</w:t>
            </w:r>
          </w:p>
        </w:tc>
        <w:tc>
          <w:tcPr>
            <w:tcW w:w="826" w:type="dxa"/>
          </w:tcPr>
          <w:p w14:paraId="098D30D1" w14:textId="3C8A4EB5" w:rsidR="00CA3C5B" w:rsidRDefault="006612A8" w:rsidP="006612A8">
            <w:pPr>
              <w:pStyle w:val="TableCopy"/>
              <w:jc w:val="right"/>
            </w:pPr>
            <w:r w:rsidRPr="003E4F57">
              <w:t>1</w:t>
            </w:r>
          </w:p>
        </w:tc>
      </w:tr>
      <w:tr w:rsidR="00CA3C5B" w14:paraId="7A246CE9" w14:textId="77777777" w:rsidTr="006612A8">
        <w:trPr>
          <w:cantSplit/>
        </w:trPr>
        <w:tc>
          <w:tcPr>
            <w:tcW w:w="4673" w:type="dxa"/>
          </w:tcPr>
          <w:p w14:paraId="30C6C063" w14:textId="77777777" w:rsidR="00CA3C5B" w:rsidRDefault="00260033" w:rsidP="006900AA">
            <w:pPr>
              <w:pStyle w:val="TableCopy"/>
            </w:pPr>
            <w:r>
              <w:t>Visitors</w:t>
            </w:r>
            <w:r w:rsidR="00932420">
              <w:t xml:space="preserve"> </w:t>
            </w:r>
            <w:r>
              <w:t>(domestic</w:t>
            </w:r>
            <w:r w:rsidR="00932420">
              <w:t xml:space="preserve"> </w:t>
            </w:r>
            <w:r>
              <w:t>overnight)</w:t>
            </w:r>
          </w:p>
          <w:p w14:paraId="7663631B" w14:textId="6BCF9BCD" w:rsidR="006900AA" w:rsidRPr="006900AA" w:rsidRDefault="006900AA" w:rsidP="006900AA">
            <w:pPr>
              <w:pStyle w:val="TableCopy"/>
              <w:rPr>
                <w:i/>
                <w:iCs/>
              </w:rPr>
            </w:pPr>
            <w:r w:rsidRPr="006900AA">
              <w:rPr>
                <w:i/>
                <w:iCs/>
              </w:rPr>
              <w:t>Lower result as domestic interstate travel continues to recover post-pandemic.</w:t>
            </w:r>
          </w:p>
        </w:tc>
        <w:tc>
          <w:tcPr>
            <w:tcW w:w="1088" w:type="dxa"/>
          </w:tcPr>
          <w:p w14:paraId="5DDE0735" w14:textId="3A0E1549" w:rsidR="00CA3C5B" w:rsidRDefault="00260033" w:rsidP="006900AA">
            <w:pPr>
              <w:pStyle w:val="TableCopy"/>
            </w:pPr>
            <w:r>
              <w:t>number</w:t>
            </w:r>
            <w:r w:rsidR="00932420">
              <w:t xml:space="preserve"> </w:t>
            </w:r>
            <w:r>
              <w:t>(million)</w:t>
            </w:r>
          </w:p>
        </w:tc>
        <w:tc>
          <w:tcPr>
            <w:tcW w:w="963" w:type="dxa"/>
          </w:tcPr>
          <w:p w14:paraId="29C75499" w14:textId="77777777" w:rsidR="00CA3C5B" w:rsidRDefault="00260033" w:rsidP="006612A8">
            <w:pPr>
              <w:pStyle w:val="TableCopy"/>
              <w:jc w:val="right"/>
            </w:pPr>
            <w:r>
              <w:t>27.5</w:t>
            </w:r>
          </w:p>
        </w:tc>
        <w:tc>
          <w:tcPr>
            <w:tcW w:w="953" w:type="dxa"/>
          </w:tcPr>
          <w:p w14:paraId="5F052AFA" w14:textId="77777777" w:rsidR="00CA3C5B" w:rsidRDefault="00260033" w:rsidP="006612A8">
            <w:pPr>
              <w:pStyle w:val="TableCopy"/>
              <w:jc w:val="right"/>
            </w:pPr>
            <w:r>
              <w:t>29.5</w:t>
            </w:r>
          </w:p>
        </w:tc>
        <w:tc>
          <w:tcPr>
            <w:tcW w:w="1415" w:type="dxa"/>
          </w:tcPr>
          <w:p w14:paraId="644E97E7" w14:textId="77777777" w:rsidR="00CA3C5B" w:rsidRDefault="00260033" w:rsidP="006612A8">
            <w:pPr>
              <w:pStyle w:val="TableCopy"/>
              <w:jc w:val="right"/>
            </w:pPr>
            <w:r>
              <w:t>-6.8%</w:t>
            </w:r>
          </w:p>
        </w:tc>
        <w:tc>
          <w:tcPr>
            <w:tcW w:w="826" w:type="dxa"/>
          </w:tcPr>
          <w:p w14:paraId="36266604" w14:textId="10EEF8B8" w:rsidR="00CA3C5B" w:rsidRDefault="006612A8" w:rsidP="006612A8">
            <w:pPr>
              <w:pStyle w:val="TableCopy"/>
              <w:jc w:val="right"/>
            </w:pPr>
            <w:r>
              <w:t>3</w:t>
            </w:r>
          </w:p>
        </w:tc>
      </w:tr>
      <w:tr w:rsidR="00CA3C5B" w14:paraId="45919CA5" w14:textId="77777777" w:rsidTr="006612A8">
        <w:trPr>
          <w:cantSplit/>
        </w:trPr>
        <w:tc>
          <w:tcPr>
            <w:tcW w:w="4673" w:type="dxa"/>
          </w:tcPr>
          <w:p w14:paraId="3D900A10" w14:textId="77777777" w:rsidR="00CA3C5B" w:rsidRDefault="00260033" w:rsidP="006900AA">
            <w:pPr>
              <w:pStyle w:val="TableCopy"/>
            </w:pPr>
            <w:r>
              <w:t>Visitors</w:t>
            </w:r>
            <w:r w:rsidR="00932420">
              <w:t xml:space="preserve"> </w:t>
            </w:r>
            <w:r>
              <w:t>(international)</w:t>
            </w:r>
          </w:p>
          <w:p w14:paraId="51A7E2A7" w14:textId="27286B8D" w:rsidR="006900AA" w:rsidRPr="006900AA" w:rsidRDefault="006900AA" w:rsidP="006900AA">
            <w:pPr>
              <w:pStyle w:val="TableCopy"/>
              <w:rPr>
                <w:i/>
                <w:iCs/>
              </w:rPr>
            </w:pPr>
            <w:r w:rsidRPr="006900AA">
              <w:rPr>
                <w:i/>
                <w:iCs/>
              </w:rPr>
              <w:t>Lower result due to lower demand for international travel.</w:t>
            </w:r>
          </w:p>
        </w:tc>
        <w:tc>
          <w:tcPr>
            <w:tcW w:w="1088" w:type="dxa"/>
          </w:tcPr>
          <w:p w14:paraId="30AF097E" w14:textId="358910D0" w:rsidR="00CA3C5B" w:rsidRDefault="00260033" w:rsidP="006900AA">
            <w:pPr>
              <w:pStyle w:val="TableCopy"/>
            </w:pPr>
            <w:r>
              <w:t>number</w:t>
            </w:r>
            <w:r w:rsidR="00932420">
              <w:t xml:space="preserve"> </w:t>
            </w:r>
            <w:r>
              <w:t>(million)</w:t>
            </w:r>
          </w:p>
        </w:tc>
        <w:tc>
          <w:tcPr>
            <w:tcW w:w="963" w:type="dxa"/>
          </w:tcPr>
          <w:p w14:paraId="460C0508" w14:textId="77777777" w:rsidR="00CA3C5B" w:rsidRDefault="00260033" w:rsidP="006612A8">
            <w:pPr>
              <w:pStyle w:val="TableCopy"/>
              <w:jc w:val="right"/>
            </w:pPr>
            <w:r>
              <w:t>1.4</w:t>
            </w:r>
          </w:p>
        </w:tc>
        <w:tc>
          <w:tcPr>
            <w:tcW w:w="953" w:type="dxa"/>
          </w:tcPr>
          <w:p w14:paraId="5629F113" w14:textId="77777777" w:rsidR="00CA3C5B" w:rsidRDefault="00260033" w:rsidP="006612A8">
            <w:pPr>
              <w:pStyle w:val="TableCopy"/>
              <w:jc w:val="right"/>
            </w:pPr>
            <w:r>
              <w:t>3.2</w:t>
            </w:r>
          </w:p>
        </w:tc>
        <w:tc>
          <w:tcPr>
            <w:tcW w:w="1415" w:type="dxa"/>
          </w:tcPr>
          <w:p w14:paraId="221258B2" w14:textId="77777777" w:rsidR="00CA3C5B" w:rsidRDefault="00260033" w:rsidP="006612A8">
            <w:pPr>
              <w:pStyle w:val="TableCopy"/>
              <w:jc w:val="right"/>
            </w:pPr>
            <w:r>
              <w:t>-56.3%</w:t>
            </w:r>
          </w:p>
        </w:tc>
        <w:tc>
          <w:tcPr>
            <w:tcW w:w="826" w:type="dxa"/>
          </w:tcPr>
          <w:p w14:paraId="34E162A1" w14:textId="3341C830" w:rsidR="00CA3C5B" w:rsidRDefault="006612A8" w:rsidP="006612A8">
            <w:pPr>
              <w:pStyle w:val="TableCopy"/>
              <w:jc w:val="right"/>
            </w:pPr>
            <w:r>
              <w:t>3</w:t>
            </w:r>
          </w:p>
        </w:tc>
      </w:tr>
      <w:tr w:rsidR="00CA3C5B" w14:paraId="787B9AA9" w14:textId="77777777" w:rsidTr="006612A8">
        <w:trPr>
          <w:cantSplit/>
        </w:trPr>
        <w:tc>
          <w:tcPr>
            <w:tcW w:w="4673" w:type="dxa"/>
          </w:tcPr>
          <w:p w14:paraId="0D3987C0" w14:textId="02D313E9" w:rsidR="00CA3C5B" w:rsidRDefault="00260033" w:rsidP="006900AA">
            <w:pPr>
              <w:pStyle w:val="TableCopy"/>
            </w:pPr>
            <w:r>
              <w:t>Visitors:</w:t>
            </w:r>
            <w:r w:rsidR="00932420">
              <w:t xml:space="preserve"> </w:t>
            </w:r>
            <w:r>
              <w:t>regional</w:t>
            </w:r>
            <w:r w:rsidR="00932420">
              <w:t xml:space="preserve"> </w:t>
            </w:r>
            <w:r>
              <w:t>Victoria</w:t>
            </w:r>
            <w:r w:rsidR="00932420">
              <w:t xml:space="preserve"> </w:t>
            </w:r>
            <w:r>
              <w:t>(intrastate</w:t>
            </w:r>
            <w:r w:rsidR="00932420">
              <w:t xml:space="preserve"> </w:t>
            </w:r>
            <w:r>
              <w:t>overnight)</w:t>
            </w:r>
          </w:p>
        </w:tc>
        <w:tc>
          <w:tcPr>
            <w:tcW w:w="1088" w:type="dxa"/>
          </w:tcPr>
          <w:p w14:paraId="7319953B" w14:textId="44E0BB77" w:rsidR="00CA3C5B" w:rsidRDefault="00260033" w:rsidP="006900AA">
            <w:pPr>
              <w:pStyle w:val="TableCopy"/>
            </w:pPr>
            <w:r>
              <w:t>number</w:t>
            </w:r>
            <w:r w:rsidR="00932420">
              <w:t xml:space="preserve"> </w:t>
            </w:r>
            <w:r>
              <w:t>(million)</w:t>
            </w:r>
          </w:p>
        </w:tc>
        <w:tc>
          <w:tcPr>
            <w:tcW w:w="963" w:type="dxa"/>
          </w:tcPr>
          <w:p w14:paraId="377EF963" w14:textId="77777777" w:rsidR="00CA3C5B" w:rsidRDefault="00260033" w:rsidP="006612A8">
            <w:pPr>
              <w:pStyle w:val="TableCopy"/>
              <w:jc w:val="right"/>
            </w:pPr>
            <w:r>
              <w:t>16.2</w:t>
            </w:r>
          </w:p>
        </w:tc>
        <w:tc>
          <w:tcPr>
            <w:tcW w:w="953" w:type="dxa"/>
          </w:tcPr>
          <w:p w14:paraId="1D3215AC" w14:textId="77777777" w:rsidR="00CA3C5B" w:rsidRDefault="00260033" w:rsidP="006612A8">
            <w:pPr>
              <w:pStyle w:val="TableCopy"/>
              <w:jc w:val="right"/>
            </w:pPr>
            <w:r>
              <w:t>16.4</w:t>
            </w:r>
          </w:p>
        </w:tc>
        <w:tc>
          <w:tcPr>
            <w:tcW w:w="1415" w:type="dxa"/>
          </w:tcPr>
          <w:p w14:paraId="25761EA2" w14:textId="77777777" w:rsidR="00CA3C5B" w:rsidRDefault="00260033" w:rsidP="006612A8">
            <w:pPr>
              <w:pStyle w:val="TableCopy"/>
              <w:jc w:val="right"/>
            </w:pPr>
            <w:r>
              <w:t>-1.2%</w:t>
            </w:r>
          </w:p>
        </w:tc>
        <w:tc>
          <w:tcPr>
            <w:tcW w:w="826" w:type="dxa"/>
          </w:tcPr>
          <w:p w14:paraId="3F81FAB4" w14:textId="2715E7DC" w:rsidR="00CA3C5B" w:rsidRDefault="006612A8" w:rsidP="006612A8">
            <w:pPr>
              <w:pStyle w:val="TableCopy"/>
              <w:jc w:val="right"/>
            </w:pPr>
            <w:r>
              <w:t>2</w:t>
            </w:r>
          </w:p>
        </w:tc>
      </w:tr>
      <w:tr w:rsidR="006900AA" w:rsidRPr="006900AA" w14:paraId="090960B9" w14:textId="77777777" w:rsidTr="006612A8">
        <w:trPr>
          <w:cantSplit/>
        </w:trPr>
        <w:tc>
          <w:tcPr>
            <w:tcW w:w="4673" w:type="dxa"/>
          </w:tcPr>
          <w:p w14:paraId="4A7321F5" w14:textId="20C0CA3F" w:rsidR="006900AA" w:rsidRPr="006900AA" w:rsidRDefault="006900AA" w:rsidP="006900AA">
            <w:pPr>
              <w:pStyle w:val="TableHeading"/>
            </w:pPr>
            <w:r>
              <w:t>Quality</w:t>
            </w:r>
          </w:p>
        </w:tc>
        <w:tc>
          <w:tcPr>
            <w:tcW w:w="1088" w:type="dxa"/>
          </w:tcPr>
          <w:p w14:paraId="3DEA9EC7" w14:textId="77777777" w:rsidR="006900AA" w:rsidRPr="006900AA" w:rsidRDefault="006900AA" w:rsidP="006900AA">
            <w:pPr>
              <w:pStyle w:val="TableCopy"/>
            </w:pPr>
          </w:p>
        </w:tc>
        <w:tc>
          <w:tcPr>
            <w:tcW w:w="963" w:type="dxa"/>
          </w:tcPr>
          <w:p w14:paraId="6CDA0BE9" w14:textId="77777777" w:rsidR="006900AA" w:rsidRPr="006900AA" w:rsidRDefault="006900AA" w:rsidP="006612A8">
            <w:pPr>
              <w:pStyle w:val="TableCopy"/>
              <w:jc w:val="right"/>
            </w:pPr>
          </w:p>
        </w:tc>
        <w:tc>
          <w:tcPr>
            <w:tcW w:w="953" w:type="dxa"/>
          </w:tcPr>
          <w:p w14:paraId="0407DEC3" w14:textId="77777777" w:rsidR="006900AA" w:rsidRPr="006900AA" w:rsidRDefault="006900AA" w:rsidP="006612A8">
            <w:pPr>
              <w:pStyle w:val="TableCopy"/>
              <w:jc w:val="right"/>
            </w:pPr>
          </w:p>
        </w:tc>
        <w:tc>
          <w:tcPr>
            <w:tcW w:w="1415" w:type="dxa"/>
          </w:tcPr>
          <w:p w14:paraId="3CF98EB8" w14:textId="77777777" w:rsidR="006900AA" w:rsidRPr="006900AA" w:rsidRDefault="006900AA" w:rsidP="006612A8">
            <w:pPr>
              <w:pStyle w:val="TableCopy"/>
              <w:jc w:val="right"/>
            </w:pPr>
          </w:p>
        </w:tc>
        <w:tc>
          <w:tcPr>
            <w:tcW w:w="826" w:type="dxa"/>
          </w:tcPr>
          <w:p w14:paraId="4CE5054E" w14:textId="77777777" w:rsidR="006900AA" w:rsidRPr="006900AA" w:rsidRDefault="006900AA" w:rsidP="006612A8">
            <w:pPr>
              <w:pStyle w:val="TableCopy"/>
              <w:jc w:val="right"/>
            </w:pPr>
          </w:p>
        </w:tc>
      </w:tr>
      <w:tr w:rsidR="00CA3C5B" w14:paraId="2705CF9E" w14:textId="77777777" w:rsidTr="006612A8">
        <w:trPr>
          <w:cantSplit/>
        </w:trPr>
        <w:tc>
          <w:tcPr>
            <w:tcW w:w="4673" w:type="dxa"/>
          </w:tcPr>
          <w:p w14:paraId="6C494108" w14:textId="58E1AC9D" w:rsidR="00CA3C5B" w:rsidRDefault="00260033" w:rsidP="006900AA">
            <w:pPr>
              <w:pStyle w:val="TableCopy"/>
            </w:pPr>
            <w:r>
              <w:t>Value</w:t>
            </w:r>
            <w:r w:rsidR="00932420">
              <w:t xml:space="preserve"> </w:t>
            </w:r>
            <w:r>
              <w:t>of</w:t>
            </w:r>
            <w:r w:rsidR="00932420">
              <w:t xml:space="preserve"> </w:t>
            </w:r>
            <w:r>
              <w:t>media</w:t>
            </w:r>
            <w:r w:rsidR="00932420">
              <w:t xml:space="preserve"> </w:t>
            </w:r>
            <w:r>
              <w:t>coverage</w:t>
            </w:r>
            <w:r w:rsidR="00932420">
              <w:t xml:space="preserve"> </w:t>
            </w:r>
            <w:r>
              <w:t>generated:</w:t>
            </w:r>
            <w:r w:rsidR="00932420">
              <w:t xml:space="preserve"> </w:t>
            </w:r>
            <w:r>
              <w:t>domestic</w:t>
            </w:r>
          </w:p>
        </w:tc>
        <w:tc>
          <w:tcPr>
            <w:tcW w:w="1088" w:type="dxa"/>
          </w:tcPr>
          <w:p w14:paraId="5150BBBA" w14:textId="1AD0A102" w:rsidR="00CA3C5B" w:rsidRDefault="00260033" w:rsidP="006900AA">
            <w:pPr>
              <w:pStyle w:val="TableCopy"/>
            </w:pPr>
            <w:r>
              <w:t>$</w:t>
            </w:r>
            <w:r w:rsidR="00932420">
              <w:t xml:space="preserve"> </w:t>
            </w:r>
            <w:r>
              <w:t>million</w:t>
            </w:r>
          </w:p>
        </w:tc>
        <w:tc>
          <w:tcPr>
            <w:tcW w:w="963" w:type="dxa"/>
          </w:tcPr>
          <w:p w14:paraId="213EB719" w14:textId="77777777" w:rsidR="00CA3C5B" w:rsidRDefault="00260033" w:rsidP="006612A8">
            <w:pPr>
              <w:pStyle w:val="TableCopy"/>
              <w:jc w:val="right"/>
            </w:pPr>
            <w:r>
              <w:t>24</w:t>
            </w:r>
          </w:p>
        </w:tc>
        <w:tc>
          <w:tcPr>
            <w:tcW w:w="953" w:type="dxa"/>
          </w:tcPr>
          <w:p w14:paraId="7E02FC77" w14:textId="77777777" w:rsidR="00CA3C5B" w:rsidRDefault="00260033" w:rsidP="006612A8">
            <w:pPr>
              <w:pStyle w:val="TableCopy"/>
              <w:jc w:val="right"/>
            </w:pPr>
            <w:r>
              <w:t>24</w:t>
            </w:r>
          </w:p>
        </w:tc>
        <w:tc>
          <w:tcPr>
            <w:tcW w:w="1415" w:type="dxa"/>
          </w:tcPr>
          <w:p w14:paraId="539C5EE2" w14:textId="77777777" w:rsidR="00CA3C5B" w:rsidRDefault="00260033" w:rsidP="006612A8">
            <w:pPr>
              <w:pStyle w:val="TableCopy"/>
              <w:jc w:val="right"/>
            </w:pPr>
            <w:r>
              <w:t>0.0%</w:t>
            </w:r>
          </w:p>
        </w:tc>
        <w:tc>
          <w:tcPr>
            <w:tcW w:w="826" w:type="dxa"/>
          </w:tcPr>
          <w:p w14:paraId="30F0F578" w14:textId="3E78C422" w:rsidR="00CA3C5B" w:rsidRDefault="006612A8" w:rsidP="006612A8">
            <w:pPr>
              <w:pStyle w:val="TableCopy"/>
              <w:jc w:val="right"/>
            </w:pPr>
            <w:r w:rsidRPr="003E4F57">
              <w:t>1</w:t>
            </w:r>
          </w:p>
        </w:tc>
      </w:tr>
      <w:tr w:rsidR="00CA3C5B" w14:paraId="2A848DA9" w14:textId="77777777" w:rsidTr="006612A8">
        <w:trPr>
          <w:cantSplit/>
        </w:trPr>
        <w:tc>
          <w:tcPr>
            <w:tcW w:w="4673" w:type="dxa"/>
          </w:tcPr>
          <w:p w14:paraId="222A0514" w14:textId="77777777" w:rsidR="00CA3C5B" w:rsidRDefault="00260033" w:rsidP="006900AA">
            <w:pPr>
              <w:pStyle w:val="TableCopy"/>
            </w:pPr>
            <w:r>
              <w:t>Value</w:t>
            </w:r>
            <w:r w:rsidR="00932420">
              <w:t xml:space="preserve"> </w:t>
            </w:r>
            <w:r>
              <w:t>of</w:t>
            </w:r>
            <w:r w:rsidR="00932420">
              <w:t xml:space="preserve"> </w:t>
            </w:r>
            <w:r>
              <w:t>media</w:t>
            </w:r>
            <w:r w:rsidR="00932420">
              <w:t xml:space="preserve"> </w:t>
            </w:r>
            <w:r>
              <w:t>coverage</w:t>
            </w:r>
            <w:r w:rsidR="00932420">
              <w:t xml:space="preserve"> </w:t>
            </w:r>
            <w:r>
              <w:t>generated:</w:t>
            </w:r>
            <w:r w:rsidR="00932420">
              <w:t xml:space="preserve"> </w:t>
            </w:r>
            <w:r>
              <w:t>international</w:t>
            </w:r>
          </w:p>
          <w:p w14:paraId="24FA9DC4" w14:textId="004DF1A3" w:rsidR="006612A8" w:rsidRPr="006612A8" w:rsidRDefault="006612A8" w:rsidP="006900AA">
            <w:pPr>
              <w:pStyle w:val="TableCopy"/>
              <w:rPr>
                <w:i/>
                <w:iCs/>
              </w:rPr>
            </w:pPr>
            <w:r w:rsidRPr="006612A8">
              <w:rPr>
                <w:i/>
                <w:iCs/>
              </w:rPr>
              <w:t>Higher result due to Visit Victoria being able to generate significant global media coverage by hosting more journalists from around the world as international borders reopened.</w:t>
            </w:r>
          </w:p>
        </w:tc>
        <w:tc>
          <w:tcPr>
            <w:tcW w:w="1088" w:type="dxa"/>
          </w:tcPr>
          <w:p w14:paraId="3D8338FA" w14:textId="013A5BC1" w:rsidR="00CA3C5B" w:rsidRDefault="00260033" w:rsidP="006900AA">
            <w:pPr>
              <w:pStyle w:val="TableCopy"/>
            </w:pPr>
            <w:r>
              <w:t>$</w:t>
            </w:r>
            <w:r w:rsidR="00932420">
              <w:t xml:space="preserve"> </w:t>
            </w:r>
            <w:r>
              <w:t>million</w:t>
            </w:r>
          </w:p>
        </w:tc>
        <w:tc>
          <w:tcPr>
            <w:tcW w:w="963" w:type="dxa"/>
          </w:tcPr>
          <w:p w14:paraId="6E2DA150" w14:textId="77777777" w:rsidR="00CA3C5B" w:rsidRDefault="00260033" w:rsidP="006612A8">
            <w:pPr>
              <w:pStyle w:val="TableCopy"/>
              <w:jc w:val="right"/>
            </w:pPr>
            <w:r>
              <w:t>113</w:t>
            </w:r>
          </w:p>
        </w:tc>
        <w:tc>
          <w:tcPr>
            <w:tcW w:w="953" w:type="dxa"/>
          </w:tcPr>
          <w:p w14:paraId="679279BD" w14:textId="77777777" w:rsidR="00CA3C5B" w:rsidRDefault="00260033" w:rsidP="006612A8">
            <w:pPr>
              <w:pStyle w:val="TableCopy"/>
              <w:jc w:val="right"/>
            </w:pPr>
            <w:r>
              <w:t>48</w:t>
            </w:r>
          </w:p>
        </w:tc>
        <w:tc>
          <w:tcPr>
            <w:tcW w:w="1415" w:type="dxa"/>
          </w:tcPr>
          <w:p w14:paraId="79553547" w14:textId="77777777" w:rsidR="00CA3C5B" w:rsidRDefault="00260033" w:rsidP="006612A8">
            <w:pPr>
              <w:pStyle w:val="TableCopy"/>
              <w:jc w:val="right"/>
            </w:pPr>
            <w:r>
              <w:t>135.4%</w:t>
            </w:r>
          </w:p>
        </w:tc>
        <w:tc>
          <w:tcPr>
            <w:tcW w:w="826" w:type="dxa"/>
          </w:tcPr>
          <w:p w14:paraId="54E9DB07" w14:textId="096A55BD" w:rsidR="00CA3C5B" w:rsidRDefault="006612A8" w:rsidP="006612A8">
            <w:pPr>
              <w:pStyle w:val="TableCopy"/>
              <w:jc w:val="right"/>
            </w:pPr>
            <w:r w:rsidRPr="003E4F57">
              <w:t>1</w:t>
            </w:r>
          </w:p>
        </w:tc>
      </w:tr>
      <w:tr w:rsidR="006612A8" w14:paraId="500CE297" w14:textId="77777777" w:rsidTr="006612A8">
        <w:trPr>
          <w:cantSplit/>
        </w:trPr>
        <w:tc>
          <w:tcPr>
            <w:tcW w:w="4673" w:type="dxa"/>
          </w:tcPr>
          <w:p w14:paraId="0BCEDF37" w14:textId="726B86A0" w:rsidR="006612A8" w:rsidRDefault="006612A8" w:rsidP="006612A8">
            <w:pPr>
              <w:pStyle w:val="TableHeading"/>
            </w:pPr>
            <w:r>
              <w:lastRenderedPageBreak/>
              <w:t>Timeliness</w:t>
            </w:r>
          </w:p>
        </w:tc>
        <w:tc>
          <w:tcPr>
            <w:tcW w:w="1088" w:type="dxa"/>
          </w:tcPr>
          <w:p w14:paraId="1A55E58C" w14:textId="77777777" w:rsidR="006612A8" w:rsidRDefault="006612A8" w:rsidP="006900AA">
            <w:pPr>
              <w:pStyle w:val="TableCopy"/>
            </w:pPr>
          </w:p>
        </w:tc>
        <w:tc>
          <w:tcPr>
            <w:tcW w:w="963" w:type="dxa"/>
          </w:tcPr>
          <w:p w14:paraId="6C53F7E9" w14:textId="77777777" w:rsidR="006612A8" w:rsidRDefault="006612A8" w:rsidP="006612A8">
            <w:pPr>
              <w:pStyle w:val="TableCopy"/>
              <w:jc w:val="right"/>
            </w:pPr>
          </w:p>
        </w:tc>
        <w:tc>
          <w:tcPr>
            <w:tcW w:w="953" w:type="dxa"/>
          </w:tcPr>
          <w:p w14:paraId="6C5A8D7E" w14:textId="77777777" w:rsidR="006612A8" w:rsidRDefault="006612A8" w:rsidP="006612A8">
            <w:pPr>
              <w:pStyle w:val="TableCopy"/>
              <w:jc w:val="right"/>
            </w:pPr>
          </w:p>
        </w:tc>
        <w:tc>
          <w:tcPr>
            <w:tcW w:w="1415" w:type="dxa"/>
          </w:tcPr>
          <w:p w14:paraId="68F311AF" w14:textId="77777777" w:rsidR="006612A8" w:rsidRDefault="006612A8" w:rsidP="006612A8">
            <w:pPr>
              <w:pStyle w:val="TableCopy"/>
              <w:jc w:val="right"/>
            </w:pPr>
          </w:p>
        </w:tc>
        <w:tc>
          <w:tcPr>
            <w:tcW w:w="826" w:type="dxa"/>
          </w:tcPr>
          <w:p w14:paraId="4FFA4A9A" w14:textId="77777777" w:rsidR="006612A8" w:rsidRPr="006612A8" w:rsidRDefault="006612A8" w:rsidP="006612A8">
            <w:pPr>
              <w:pStyle w:val="TableCopy"/>
              <w:jc w:val="right"/>
            </w:pPr>
          </w:p>
        </w:tc>
      </w:tr>
      <w:tr w:rsidR="00CA3C5B" w14:paraId="64959B0D" w14:textId="77777777" w:rsidTr="006612A8">
        <w:trPr>
          <w:cantSplit/>
        </w:trPr>
        <w:tc>
          <w:tcPr>
            <w:tcW w:w="4673" w:type="dxa"/>
          </w:tcPr>
          <w:p w14:paraId="4C39466B" w14:textId="76CB8709" w:rsidR="00CA3C5B" w:rsidRDefault="00260033" w:rsidP="006900AA">
            <w:pPr>
              <w:pStyle w:val="TableCopy"/>
            </w:pPr>
            <w:r>
              <w:t>Completion</w:t>
            </w:r>
            <w:r w:rsidR="00932420">
              <w:t xml:space="preserve"> </w:t>
            </w:r>
            <w:r>
              <w:t>of</w:t>
            </w:r>
            <w:r w:rsidR="00932420">
              <w:t xml:space="preserve"> </w:t>
            </w:r>
            <w:r>
              <w:t>post-event</w:t>
            </w:r>
            <w:r w:rsidR="00932420">
              <w:t xml:space="preserve"> </w:t>
            </w:r>
            <w:r>
              <w:t>reports</w:t>
            </w:r>
            <w:r w:rsidR="00932420">
              <w:t xml:space="preserve"> </w:t>
            </w:r>
            <w:r>
              <w:t>and</w:t>
            </w:r>
            <w:r w:rsidR="00932420">
              <w:t xml:space="preserve"> </w:t>
            </w:r>
            <w:r>
              <w:t>economic</w:t>
            </w:r>
            <w:r w:rsidR="00932420">
              <w:t xml:space="preserve"> </w:t>
            </w:r>
            <w:r>
              <w:t>impact</w:t>
            </w:r>
            <w:r w:rsidR="00932420">
              <w:t xml:space="preserve"> </w:t>
            </w:r>
            <w:r>
              <w:t>assessments</w:t>
            </w:r>
            <w:r w:rsidR="00932420">
              <w:t xml:space="preserve"> </w:t>
            </w:r>
            <w:r>
              <w:t>of</w:t>
            </w:r>
            <w:r w:rsidR="00932420">
              <w:t xml:space="preserve"> </w:t>
            </w:r>
            <w:r>
              <w:t>each</w:t>
            </w:r>
            <w:r w:rsidR="00932420">
              <w:t xml:space="preserve"> </w:t>
            </w:r>
            <w:r>
              <w:t>event</w:t>
            </w:r>
            <w:r w:rsidR="00932420">
              <w:t xml:space="preserve"> </w:t>
            </w:r>
            <w:r>
              <w:t>(where</w:t>
            </w:r>
            <w:r w:rsidR="00932420">
              <w:t xml:space="preserve"> </w:t>
            </w:r>
            <w:r>
              <w:t>required)</w:t>
            </w:r>
            <w:r w:rsidR="00932420">
              <w:t xml:space="preserve"> </w:t>
            </w:r>
            <w:r>
              <w:t>within</w:t>
            </w:r>
            <w:r w:rsidR="00932420">
              <w:t xml:space="preserve"> </w:t>
            </w:r>
            <w:r>
              <w:t>agreed</w:t>
            </w:r>
            <w:r w:rsidR="00932420">
              <w:t xml:space="preserve"> </w:t>
            </w:r>
            <w:r>
              <w:t>timeframes</w:t>
            </w:r>
          </w:p>
        </w:tc>
        <w:tc>
          <w:tcPr>
            <w:tcW w:w="1088" w:type="dxa"/>
          </w:tcPr>
          <w:p w14:paraId="4C4F50DC" w14:textId="4E1534F8" w:rsidR="00CA3C5B" w:rsidRDefault="00260033" w:rsidP="006900AA">
            <w:pPr>
              <w:pStyle w:val="TableCopy"/>
            </w:pPr>
            <w:r>
              <w:t>per</w:t>
            </w:r>
            <w:r w:rsidR="00932420">
              <w:t xml:space="preserve"> </w:t>
            </w:r>
            <w:r>
              <w:t>cent</w:t>
            </w:r>
          </w:p>
        </w:tc>
        <w:tc>
          <w:tcPr>
            <w:tcW w:w="963" w:type="dxa"/>
          </w:tcPr>
          <w:p w14:paraId="19DDE788" w14:textId="77777777" w:rsidR="00CA3C5B" w:rsidRDefault="00260033" w:rsidP="006612A8">
            <w:pPr>
              <w:pStyle w:val="TableCopy"/>
              <w:jc w:val="right"/>
            </w:pPr>
            <w:r>
              <w:t>100</w:t>
            </w:r>
          </w:p>
        </w:tc>
        <w:tc>
          <w:tcPr>
            <w:tcW w:w="953" w:type="dxa"/>
          </w:tcPr>
          <w:p w14:paraId="71081D8D" w14:textId="77777777" w:rsidR="00CA3C5B" w:rsidRDefault="00260033" w:rsidP="006612A8">
            <w:pPr>
              <w:pStyle w:val="TableCopy"/>
              <w:jc w:val="right"/>
            </w:pPr>
            <w:r>
              <w:t>100</w:t>
            </w:r>
          </w:p>
        </w:tc>
        <w:tc>
          <w:tcPr>
            <w:tcW w:w="1415" w:type="dxa"/>
          </w:tcPr>
          <w:p w14:paraId="5F629F8F" w14:textId="77777777" w:rsidR="00CA3C5B" w:rsidRDefault="00260033" w:rsidP="006612A8">
            <w:pPr>
              <w:pStyle w:val="TableCopy"/>
              <w:jc w:val="right"/>
            </w:pPr>
            <w:r>
              <w:t>0.0%</w:t>
            </w:r>
          </w:p>
        </w:tc>
        <w:tc>
          <w:tcPr>
            <w:tcW w:w="826" w:type="dxa"/>
          </w:tcPr>
          <w:p w14:paraId="65901C2B" w14:textId="60D2F31C" w:rsidR="00CA3C5B" w:rsidRDefault="006612A8" w:rsidP="006612A8">
            <w:pPr>
              <w:pStyle w:val="TableCopy"/>
              <w:jc w:val="right"/>
            </w:pPr>
            <w:r w:rsidRPr="003E4F57">
              <w:t>1</w:t>
            </w:r>
          </w:p>
        </w:tc>
      </w:tr>
      <w:tr w:rsidR="006612A8" w14:paraId="76591E4D" w14:textId="77777777" w:rsidTr="006612A8">
        <w:trPr>
          <w:cantSplit/>
        </w:trPr>
        <w:tc>
          <w:tcPr>
            <w:tcW w:w="4673" w:type="dxa"/>
          </w:tcPr>
          <w:p w14:paraId="3A24DA7A" w14:textId="68C6030F" w:rsidR="006612A8" w:rsidRDefault="006612A8" w:rsidP="006612A8">
            <w:pPr>
              <w:pStyle w:val="TableHeading"/>
            </w:pPr>
            <w:r>
              <w:t>Cost</w:t>
            </w:r>
          </w:p>
        </w:tc>
        <w:tc>
          <w:tcPr>
            <w:tcW w:w="1088" w:type="dxa"/>
          </w:tcPr>
          <w:p w14:paraId="32DE47DF" w14:textId="77777777" w:rsidR="006612A8" w:rsidRDefault="006612A8" w:rsidP="006900AA">
            <w:pPr>
              <w:pStyle w:val="TableCopy"/>
            </w:pPr>
          </w:p>
        </w:tc>
        <w:tc>
          <w:tcPr>
            <w:tcW w:w="963" w:type="dxa"/>
          </w:tcPr>
          <w:p w14:paraId="14780FC7" w14:textId="77777777" w:rsidR="006612A8" w:rsidRDefault="006612A8" w:rsidP="006612A8">
            <w:pPr>
              <w:pStyle w:val="TableCopy"/>
              <w:jc w:val="right"/>
            </w:pPr>
          </w:p>
        </w:tc>
        <w:tc>
          <w:tcPr>
            <w:tcW w:w="953" w:type="dxa"/>
          </w:tcPr>
          <w:p w14:paraId="5D020FFF" w14:textId="77777777" w:rsidR="006612A8" w:rsidRDefault="006612A8" w:rsidP="006612A8">
            <w:pPr>
              <w:pStyle w:val="TableCopy"/>
              <w:jc w:val="right"/>
            </w:pPr>
          </w:p>
        </w:tc>
        <w:tc>
          <w:tcPr>
            <w:tcW w:w="1415" w:type="dxa"/>
          </w:tcPr>
          <w:p w14:paraId="332C8726" w14:textId="77777777" w:rsidR="006612A8" w:rsidRDefault="006612A8" w:rsidP="006612A8">
            <w:pPr>
              <w:pStyle w:val="TableCopy"/>
              <w:jc w:val="right"/>
            </w:pPr>
          </w:p>
        </w:tc>
        <w:tc>
          <w:tcPr>
            <w:tcW w:w="826" w:type="dxa"/>
          </w:tcPr>
          <w:p w14:paraId="4E498AA8" w14:textId="77777777" w:rsidR="006612A8" w:rsidRPr="006612A8" w:rsidRDefault="006612A8" w:rsidP="006612A8">
            <w:pPr>
              <w:pStyle w:val="TableCopy"/>
              <w:jc w:val="right"/>
            </w:pPr>
          </w:p>
        </w:tc>
      </w:tr>
      <w:tr w:rsidR="00CA3C5B" w:rsidRPr="006900AA" w14:paraId="136E1F1E" w14:textId="77777777" w:rsidTr="006612A8">
        <w:trPr>
          <w:cantSplit/>
        </w:trPr>
        <w:tc>
          <w:tcPr>
            <w:tcW w:w="4673" w:type="dxa"/>
          </w:tcPr>
          <w:p w14:paraId="2F479138" w14:textId="25458358" w:rsidR="00CA3C5B" w:rsidRPr="006900AA" w:rsidRDefault="00260033" w:rsidP="006900AA">
            <w:pPr>
              <w:pStyle w:val="TableCopy"/>
              <w:rPr>
                <w:b/>
                <w:bCs/>
              </w:rPr>
            </w:pPr>
            <w:r w:rsidRPr="006900AA">
              <w:rPr>
                <w:b/>
                <w:bCs/>
              </w:rPr>
              <w:t>Total</w:t>
            </w:r>
            <w:r w:rsidR="00932420" w:rsidRPr="006900AA">
              <w:rPr>
                <w:b/>
                <w:bCs/>
              </w:rPr>
              <w:t xml:space="preserve"> </w:t>
            </w:r>
            <w:r w:rsidRPr="006900AA">
              <w:rPr>
                <w:b/>
                <w:bCs/>
              </w:rPr>
              <w:t>output</w:t>
            </w:r>
            <w:r w:rsidR="00932420" w:rsidRPr="006900AA">
              <w:rPr>
                <w:b/>
                <w:bCs/>
              </w:rPr>
              <w:t xml:space="preserve"> </w:t>
            </w:r>
            <w:r w:rsidRPr="006900AA">
              <w:rPr>
                <w:b/>
                <w:bCs/>
              </w:rPr>
              <w:t>cost</w:t>
            </w:r>
          </w:p>
        </w:tc>
        <w:tc>
          <w:tcPr>
            <w:tcW w:w="1088" w:type="dxa"/>
          </w:tcPr>
          <w:p w14:paraId="679AEC4E" w14:textId="202E5A4F" w:rsidR="00CA3C5B" w:rsidRPr="006900AA" w:rsidRDefault="00260033" w:rsidP="006900AA">
            <w:pPr>
              <w:pStyle w:val="TableCopy"/>
              <w:rPr>
                <w:b/>
                <w:bCs/>
              </w:rPr>
            </w:pPr>
            <w:r w:rsidRPr="006900AA">
              <w:rPr>
                <w:b/>
                <w:bCs/>
              </w:rPr>
              <w:t>$</w:t>
            </w:r>
            <w:r w:rsidR="00932420" w:rsidRPr="006900AA">
              <w:rPr>
                <w:b/>
                <w:bCs/>
              </w:rPr>
              <w:t xml:space="preserve"> </w:t>
            </w:r>
            <w:r w:rsidRPr="006900AA">
              <w:rPr>
                <w:b/>
                <w:bCs/>
              </w:rPr>
              <w:t>million</w:t>
            </w:r>
          </w:p>
        </w:tc>
        <w:tc>
          <w:tcPr>
            <w:tcW w:w="963" w:type="dxa"/>
          </w:tcPr>
          <w:p w14:paraId="3D6859CF" w14:textId="77777777" w:rsidR="00CA3C5B" w:rsidRPr="006900AA" w:rsidRDefault="00260033" w:rsidP="006612A8">
            <w:pPr>
              <w:pStyle w:val="TableCopy"/>
              <w:jc w:val="right"/>
              <w:rPr>
                <w:b/>
                <w:bCs/>
              </w:rPr>
            </w:pPr>
            <w:r w:rsidRPr="006900AA">
              <w:rPr>
                <w:b/>
                <w:bCs/>
              </w:rPr>
              <w:t>441.8</w:t>
            </w:r>
          </w:p>
        </w:tc>
        <w:tc>
          <w:tcPr>
            <w:tcW w:w="953" w:type="dxa"/>
          </w:tcPr>
          <w:p w14:paraId="674A1C22" w14:textId="77777777" w:rsidR="00CA3C5B" w:rsidRPr="006900AA" w:rsidRDefault="00260033" w:rsidP="006612A8">
            <w:pPr>
              <w:pStyle w:val="TableCopy"/>
              <w:jc w:val="right"/>
              <w:rPr>
                <w:b/>
                <w:bCs/>
              </w:rPr>
            </w:pPr>
            <w:r w:rsidRPr="006900AA">
              <w:rPr>
                <w:b/>
                <w:bCs/>
              </w:rPr>
              <w:t>298.4</w:t>
            </w:r>
          </w:p>
        </w:tc>
        <w:tc>
          <w:tcPr>
            <w:tcW w:w="1415" w:type="dxa"/>
          </w:tcPr>
          <w:p w14:paraId="21263E90" w14:textId="77777777" w:rsidR="00CA3C5B" w:rsidRPr="006900AA" w:rsidRDefault="00260033" w:rsidP="006612A8">
            <w:pPr>
              <w:pStyle w:val="TableCopy"/>
              <w:jc w:val="right"/>
              <w:rPr>
                <w:b/>
                <w:bCs/>
              </w:rPr>
            </w:pPr>
            <w:r w:rsidRPr="006900AA">
              <w:rPr>
                <w:b/>
                <w:bCs/>
              </w:rPr>
              <w:t>48.1%</w:t>
            </w:r>
          </w:p>
        </w:tc>
        <w:tc>
          <w:tcPr>
            <w:tcW w:w="826" w:type="dxa"/>
          </w:tcPr>
          <w:p w14:paraId="533AD79A" w14:textId="7B928205" w:rsidR="00CA3C5B" w:rsidRPr="006612A8" w:rsidRDefault="006612A8" w:rsidP="006612A8">
            <w:pPr>
              <w:pStyle w:val="TableCopy"/>
              <w:jc w:val="right"/>
              <w:rPr>
                <w:b/>
                <w:bCs/>
              </w:rPr>
            </w:pPr>
            <w:r w:rsidRPr="006612A8">
              <w:rPr>
                <w:b/>
                <w:bCs/>
              </w:rPr>
              <w:t>3</w:t>
            </w:r>
          </w:p>
        </w:tc>
      </w:tr>
      <w:tr w:rsidR="006612A8" w:rsidRPr="006612A8" w14:paraId="76FD08E5" w14:textId="77777777" w:rsidTr="006612A8">
        <w:trPr>
          <w:cantSplit/>
        </w:trPr>
        <w:tc>
          <w:tcPr>
            <w:tcW w:w="4673" w:type="dxa"/>
          </w:tcPr>
          <w:p w14:paraId="1D55F564" w14:textId="2A45258B" w:rsidR="006612A8" w:rsidRPr="006612A8" w:rsidRDefault="006612A8" w:rsidP="006612A8">
            <w:pPr>
              <w:pStyle w:val="TableCopy"/>
              <w:rPr>
                <w:i/>
                <w:iCs/>
              </w:rPr>
            </w:pPr>
            <w:r w:rsidRPr="006612A8">
              <w:rPr>
                <w:i/>
                <w:iCs/>
              </w:rPr>
              <w:t>The 2022–23 result is higher than the 2022–23 budget due to additional Major Events funding that was held centrally until contractual arrangements were finalised.</w:t>
            </w:r>
          </w:p>
        </w:tc>
        <w:tc>
          <w:tcPr>
            <w:tcW w:w="1088" w:type="dxa"/>
          </w:tcPr>
          <w:p w14:paraId="05B3AE43" w14:textId="77777777" w:rsidR="006612A8" w:rsidRPr="006612A8" w:rsidRDefault="006612A8" w:rsidP="006612A8">
            <w:pPr>
              <w:pStyle w:val="TableCopy"/>
            </w:pPr>
          </w:p>
        </w:tc>
        <w:tc>
          <w:tcPr>
            <w:tcW w:w="963" w:type="dxa"/>
          </w:tcPr>
          <w:p w14:paraId="5930E4E7" w14:textId="77777777" w:rsidR="006612A8" w:rsidRPr="006612A8" w:rsidRDefault="006612A8" w:rsidP="006612A8">
            <w:pPr>
              <w:pStyle w:val="TableCopy"/>
              <w:jc w:val="right"/>
            </w:pPr>
          </w:p>
        </w:tc>
        <w:tc>
          <w:tcPr>
            <w:tcW w:w="953" w:type="dxa"/>
          </w:tcPr>
          <w:p w14:paraId="43CA6455" w14:textId="77777777" w:rsidR="006612A8" w:rsidRPr="006612A8" w:rsidRDefault="006612A8" w:rsidP="006612A8">
            <w:pPr>
              <w:pStyle w:val="TableCopy"/>
              <w:jc w:val="right"/>
            </w:pPr>
          </w:p>
        </w:tc>
        <w:tc>
          <w:tcPr>
            <w:tcW w:w="1415" w:type="dxa"/>
          </w:tcPr>
          <w:p w14:paraId="4677F8BB" w14:textId="77777777" w:rsidR="006612A8" w:rsidRPr="006612A8" w:rsidRDefault="006612A8" w:rsidP="006612A8">
            <w:pPr>
              <w:pStyle w:val="TableCopy"/>
              <w:jc w:val="right"/>
            </w:pPr>
          </w:p>
        </w:tc>
        <w:tc>
          <w:tcPr>
            <w:tcW w:w="826" w:type="dxa"/>
          </w:tcPr>
          <w:p w14:paraId="038DEE56" w14:textId="77777777" w:rsidR="006612A8" w:rsidRPr="006612A8" w:rsidRDefault="006612A8" w:rsidP="006612A8">
            <w:pPr>
              <w:pStyle w:val="TableCopy"/>
              <w:jc w:val="right"/>
            </w:pPr>
          </w:p>
        </w:tc>
      </w:tr>
    </w:tbl>
    <w:p w14:paraId="2F0924D4" w14:textId="77777777" w:rsidR="006612A8" w:rsidRDefault="006612A8" w:rsidP="006612A8">
      <w:pPr>
        <w:pStyle w:val="FootnoteText"/>
        <w:spacing w:before="120"/>
      </w:pPr>
      <w:r>
        <w:t>Note:</w:t>
      </w:r>
    </w:p>
    <w:p w14:paraId="0CD693FD" w14:textId="77777777" w:rsidR="006612A8" w:rsidRDefault="006612A8" w:rsidP="006612A8">
      <w:pPr>
        <w:pStyle w:val="FootnoteText"/>
      </w:pPr>
      <w:r>
        <w:t>1</w:t>
      </w:r>
      <w:r w:rsidRPr="00A517F3">
        <w:t xml:space="preserve"> </w:t>
      </w:r>
      <w:r>
        <w:t>Performance target achieved or exceeded</w:t>
      </w:r>
    </w:p>
    <w:p w14:paraId="1EF80284" w14:textId="77777777" w:rsidR="006612A8" w:rsidRDefault="006612A8" w:rsidP="006612A8">
      <w:pPr>
        <w:pStyle w:val="FootnoteText"/>
      </w:pPr>
      <w:r>
        <w:t>2</w:t>
      </w:r>
      <w:r w:rsidRPr="00A517F3">
        <w:t xml:space="preserve"> </w:t>
      </w:r>
      <w:r>
        <w:t>Performance target not achieved – but within 5% variance</w:t>
      </w:r>
    </w:p>
    <w:p w14:paraId="2B853EDF" w14:textId="77777777" w:rsidR="006612A8" w:rsidRDefault="006612A8" w:rsidP="006612A8">
      <w:pPr>
        <w:pStyle w:val="FootnoteText"/>
        <w:spacing w:after="280"/>
      </w:pPr>
      <w:r>
        <w:t>3</w:t>
      </w:r>
      <w:r w:rsidRPr="00A517F3">
        <w:t xml:space="preserve"> </w:t>
      </w:r>
      <w:r>
        <w:t>Performance target not achieved – exceeds 5% variance</w:t>
      </w:r>
    </w:p>
    <w:p w14:paraId="50F06661" w14:textId="3C7B5909" w:rsidR="00CA3C5B" w:rsidRDefault="00260033" w:rsidP="006900AA">
      <w:pPr>
        <w:pStyle w:val="Heading2"/>
      </w:pPr>
      <w:bookmarkStart w:id="53" w:name="_Toc152067234"/>
      <w:r>
        <w:t>Objective</w:t>
      </w:r>
      <w:r w:rsidR="00932420">
        <w:t xml:space="preserve"> </w:t>
      </w:r>
      <w:r>
        <w:t>6:</w:t>
      </w:r>
      <w:r w:rsidR="00932420">
        <w:t xml:space="preserve"> </w:t>
      </w:r>
      <w:r>
        <w:t>Deliver</w:t>
      </w:r>
      <w:r w:rsidR="00932420">
        <w:t xml:space="preserve"> </w:t>
      </w:r>
      <w:r>
        <w:t>high-quality</w:t>
      </w:r>
      <w:r w:rsidR="00932420">
        <w:t xml:space="preserve"> </w:t>
      </w:r>
      <w:r>
        <w:t>training</w:t>
      </w:r>
      <w:r w:rsidR="00932420">
        <w:t xml:space="preserve"> </w:t>
      </w:r>
      <w:r>
        <w:t>and</w:t>
      </w:r>
      <w:r w:rsidR="00932420">
        <w:t xml:space="preserve"> </w:t>
      </w:r>
      <w:r>
        <w:t>skills</w:t>
      </w:r>
      <w:r w:rsidR="00932420">
        <w:t xml:space="preserve"> </w:t>
      </w:r>
      <w:r>
        <w:t>to</w:t>
      </w:r>
      <w:r w:rsidR="00932420">
        <w:t xml:space="preserve"> </w:t>
      </w:r>
      <w:r>
        <w:t>meet</w:t>
      </w:r>
      <w:r w:rsidR="00932420">
        <w:t xml:space="preserve"> </w:t>
      </w:r>
      <w:r>
        <w:t>industry</w:t>
      </w:r>
      <w:r w:rsidR="00932420">
        <w:t xml:space="preserve"> </w:t>
      </w:r>
      <w:r>
        <w:t>needs</w:t>
      </w:r>
      <w:r w:rsidR="00932420">
        <w:t xml:space="preserve"> </w:t>
      </w:r>
      <w:r>
        <w:t>and</w:t>
      </w:r>
      <w:r w:rsidR="00932420">
        <w:t xml:space="preserve"> </w:t>
      </w:r>
      <w:r>
        <w:t>jobs</w:t>
      </w:r>
      <w:r w:rsidR="00932420">
        <w:t xml:space="preserve"> </w:t>
      </w:r>
      <w:r>
        <w:t>for</w:t>
      </w:r>
      <w:r w:rsidR="00932420">
        <w:t xml:space="preserve"> </w:t>
      </w:r>
      <w:r>
        <w:t>a</w:t>
      </w:r>
      <w:r w:rsidR="00932420">
        <w:t xml:space="preserve"> </w:t>
      </w:r>
      <w:r>
        <w:t>growing</w:t>
      </w:r>
      <w:r w:rsidR="00932420">
        <w:t xml:space="preserve"> </w:t>
      </w:r>
      <w:r>
        <w:t>economy</w:t>
      </w:r>
      <w:bookmarkEnd w:id="53"/>
    </w:p>
    <w:p w14:paraId="3194689D" w14:textId="09450B04" w:rsidR="00CA3C5B" w:rsidRDefault="00260033" w:rsidP="006900AA">
      <w:r>
        <w:t>This</w:t>
      </w:r>
      <w:r w:rsidR="00932420">
        <w:t xml:space="preserve"> </w:t>
      </w:r>
      <w:r>
        <w:t>objective</w:t>
      </w:r>
      <w:r w:rsidR="00932420">
        <w:t xml:space="preserve"> </w:t>
      </w:r>
      <w:r>
        <w:t>seeks</w:t>
      </w:r>
      <w:r w:rsidR="00932420">
        <w:t xml:space="preserve"> </w:t>
      </w:r>
      <w:r>
        <w:t>to</w:t>
      </w:r>
      <w:r w:rsidR="00932420">
        <w:t xml:space="preserve"> </w:t>
      </w:r>
      <w:r>
        <w:t>develop</w:t>
      </w:r>
      <w:r w:rsidR="00932420">
        <w:t xml:space="preserve"> </w:t>
      </w:r>
      <w:r>
        <w:t>the</w:t>
      </w:r>
      <w:r w:rsidR="00932420">
        <w:t xml:space="preserve"> </w:t>
      </w:r>
      <w:r>
        <w:t>skills</w:t>
      </w:r>
      <w:r w:rsidR="00932420">
        <w:t xml:space="preserve"> </w:t>
      </w:r>
      <w:r>
        <w:t>of</w:t>
      </w:r>
      <w:r w:rsidR="00932420">
        <w:t xml:space="preserve"> </w:t>
      </w:r>
      <w:r>
        <w:t>Victorians</w:t>
      </w:r>
      <w:r w:rsidR="00932420">
        <w:t xml:space="preserve"> </w:t>
      </w:r>
      <w:r>
        <w:t>to</w:t>
      </w:r>
      <w:r w:rsidR="00932420">
        <w:t xml:space="preserve"> </w:t>
      </w:r>
      <w:r>
        <w:t>meet</w:t>
      </w:r>
      <w:r w:rsidR="00932420">
        <w:t xml:space="preserve"> </w:t>
      </w:r>
      <w:r>
        <w:t>the</w:t>
      </w:r>
      <w:r w:rsidR="00932420">
        <w:t xml:space="preserve"> </w:t>
      </w:r>
      <w:r>
        <w:t>current</w:t>
      </w:r>
      <w:r w:rsidR="00932420">
        <w:t xml:space="preserve"> </w:t>
      </w:r>
      <w:r>
        <w:t>and</w:t>
      </w:r>
      <w:r w:rsidR="00932420">
        <w:t xml:space="preserve"> </w:t>
      </w:r>
      <w:r>
        <w:t>future</w:t>
      </w:r>
      <w:r w:rsidR="00932420">
        <w:t xml:space="preserve"> </w:t>
      </w:r>
      <w:r>
        <w:t>needs</w:t>
      </w:r>
      <w:r w:rsidR="00932420">
        <w:t xml:space="preserve"> </w:t>
      </w:r>
      <w:r>
        <w:t>of</w:t>
      </w:r>
      <w:r w:rsidR="00932420">
        <w:t xml:space="preserve"> </w:t>
      </w:r>
      <w:r>
        <w:t>industry</w:t>
      </w:r>
      <w:r w:rsidR="00932420">
        <w:t xml:space="preserve"> </w:t>
      </w:r>
      <w:r>
        <w:t>and</w:t>
      </w:r>
      <w:r w:rsidR="00932420">
        <w:t xml:space="preserve"> </w:t>
      </w:r>
      <w:r>
        <w:t>business</w:t>
      </w:r>
      <w:r w:rsidR="00932420">
        <w:t xml:space="preserve"> </w:t>
      </w:r>
      <w:r>
        <w:t>by</w:t>
      </w:r>
      <w:r w:rsidR="00932420">
        <w:t xml:space="preserve"> </w:t>
      </w:r>
      <w:r>
        <w:t>ensuring</w:t>
      </w:r>
      <w:r w:rsidR="00932420">
        <w:t xml:space="preserve"> </w:t>
      </w:r>
      <w:r>
        <w:t>that</w:t>
      </w:r>
      <w:r w:rsidR="00932420">
        <w:t xml:space="preserve"> </w:t>
      </w:r>
      <w:r>
        <w:t>TAFEs</w:t>
      </w:r>
      <w:r w:rsidR="00932420">
        <w:t xml:space="preserve"> </w:t>
      </w:r>
      <w:r>
        <w:t>and</w:t>
      </w:r>
      <w:r w:rsidR="00932420">
        <w:t xml:space="preserve"> </w:t>
      </w:r>
      <w:r>
        <w:t>training</w:t>
      </w:r>
      <w:r w:rsidR="00932420">
        <w:t xml:space="preserve"> </w:t>
      </w:r>
      <w:r>
        <w:t>providers</w:t>
      </w:r>
      <w:r w:rsidR="00932420">
        <w:t xml:space="preserve"> </w:t>
      </w:r>
      <w:r>
        <w:t>deliver</w:t>
      </w:r>
      <w:r w:rsidR="00932420">
        <w:t xml:space="preserve"> </w:t>
      </w:r>
      <w:r>
        <w:t>high-quality</w:t>
      </w:r>
      <w:r w:rsidR="00932420">
        <w:t xml:space="preserve"> </w:t>
      </w:r>
      <w:r>
        <w:t>and</w:t>
      </w:r>
      <w:r w:rsidR="00932420">
        <w:t xml:space="preserve"> </w:t>
      </w:r>
      <w:r>
        <w:t>accessible</w:t>
      </w:r>
      <w:r w:rsidR="00932420">
        <w:t xml:space="preserve"> </w:t>
      </w:r>
      <w:r>
        <w:t>training.</w:t>
      </w:r>
    </w:p>
    <w:p w14:paraId="6FB45BEE" w14:textId="2010E818" w:rsidR="00CA3C5B" w:rsidRDefault="00260033" w:rsidP="006612A8">
      <w:pPr>
        <w:pStyle w:val="Heading3"/>
      </w:pPr>
      <w:r>
        <w:t>Progress</w:t>
      </w:r>
      <w:r w:rsidR="00932420">
        <w:t xml:space="preserve"> </w:t>
      </w:r>
      <w:r>
        <w:t>towards</w:t>
      </w:r>
      <w:r w:rsidR="00932420">
        <w:t xml:space="preserve"> </w:t>
      </w:r>
      <w:r>
        <w:t>achieving</w:t>
      </w:r>
      <w:r w:rsidR="00932420">
        <w:t xml:space="preserve"> </w:t>
      </w:r>
      <w:r>
        <w:t>this</w:t>
      </w:r>
      <w:r w:rsidR="00932420">
        <w:t xml:space="preserve"> </w:t>
      </w:r>
      <w:r>
        <w:t>objective</w:t>
      </w:r>
    </w:p>
    <w:p w14:paraId="7537AA13" w14:textId="5A61FC8E" w:rsidR="00CA3C5B" w:rsidRDefault="00260033" w:rsidP="006612A8">
      <w:pPr>
        <w:pStyle w:val="Normalbeforebullets"/>
        <w:rPr>
          <w:lang w:val="en-US"/>
        </w:rPr>
      </w:pPr>
      <w:r>
        <w:t>In</w:t>
      </w:r>
      <w:r w:rsidR="00932420">
        <w:t xml:space="preserve"> </w:t>
      </w:r>
      <w:r>
        <w:t>2022–23,</w:t>
      </w:r>
      <w:r w:rsidR="00932420">
        <w:t xml:space="preserve"> </w:t>
      </w:r>
      <w:r>
        <w:t>the</w:t>
      </w:r>
      <w:r w:rsidR="00932420">
        <w:t xml:space="preserve"> </w:t>
      </w:r>
      <w:r>
        <w:t>department</w:t>
      </w:r>
      <w:r w:rsidR="00932420">
        <w:t xml:space="preserve"> </w:t>
      </w:r>
      <w:r>
        <w:t>reported</w:t>
      </w:r>
      <w:r w:rsidR="00932420">
        <w:t xml:space="preserve"> </w:t>
      </w:r>
      <w:r>
        <w:t>progress</w:t>
      </w:r>
      <w:r w:rsidR="00932420">
        <w:t xml:space="preserve"> </w:t>
      </w:r>
      <w:r>
        <w:t>against</w:t>
      </w:r>
      <w:r w:rsidR="00932420">
        <w:t xml:space="preserve"> </w:t>
      </w:r>
      <w:r>
        <w:t>this</w:t>
      </w:r>
      <w:r w:rsidR="00932420">
        <w:t xml:space="preserve"> </w:t>
      </w:r>
      <w:r>
        <w:t>objective</w:t>
      </w:r>
      <w:r w:rsidR="00932420">
        <w:t xml:space="preserve"> </w:t>
      </w:r>
      <w:r>
        <w:t>using</w:t>
      </w:r>
      <w:r w:rsidR="00932420">
        <w:t xml:space="preserve"> </w:t>
      </w:r>
      <w:r>
        <w:t>the</w:t>
      </w:r>
      <w:r w:rsidR="00932420">
        <w:t xml:space="preserve"> </w:t>
      </w:r>
      <w:r>
        <w:t>following</w:t>
      </w:r>
      <w:r w:rsidR="00932420">
        <w:t xml:space="preserve"> </w:t>
      </w:r>
      <w:r>
        <w:rPr>
          <w:lang w:val="en-US"/>
        </w:rPr>
        <w:t>objective</w:t>
      </w:r>
      <w:r w:rsidR="00932420">
        <w:rPr>
          <w:lang w:val="en-US"/>
        </w:rPr>
        <w:t xml:space="preserve"> </w:t>
      </w:r>
      <w:r>
        <w:rPr>
          <w:lang w:val="en-US"/>
        </w:rPr>
        <w:t>indicators</w:t>
      </w:r>
      <w:r w:rsidR="00932420">
        <w:rPr>
          <w:lang w:val="en-US"/>
        </w:rPr>
        <w:t xml:space="preserve"> </w:t>
      </w:r>
      <w:r>
        <w:rPr>
          <w:lang w:val="en-US"/>
        </w:rPr>
        <w:t>and</w:t>
      </w:r>
      <w:r w:rsidR="00932420">
        <w:rPr>
          <w:lang w:val="en-US"/>
        </w:rPr>
        <w:t xml:space="preserve"> </w:t>
      </w:r>
      <w:r>
        <w:rPr>
          <w:lang w:val="en-US"/>
        </w:rPr>
        <w:t>outputs:</w:t>
      </w:r>
    </w:p>
    <w:p w14:paraId="73849B67" w14:textId="59332278" w:rsidR="00CA3C5B" w:rsidRPr="006612A8" w:rsidRDefault="00260033" w:rsidP="006612A8">
      <w:pPr>
        <w:pStyle w:val="Normalbeforebullets"/>
        <w:rPr>
          <w:b/>
          <w:bCs/>
        </w:rPr>
      </w:pPr>
      <w:r w:rsidRPr="006612A8">
        <w:rPr>
          <w:b/>
          <w:bCs/>
        </w:rPr>
        <w:t>Objective</w:t>
      </w:r>
      <w:r w:rsidR="00932420" w:rsidRPr="006612A8">
        <w:rPr>
          <w:b/>
          <w:bCs/>
        </w:rPr>
        <w:t xml:space="preserve"> </w:t>
      </w:r>
      <w:r w:rsidRPr="006612A8">
        <w:rPr>
          <w:b/>
          <w:bCs/>
        </w:rPr>
        <w:t>Indicators</w:t>
      </w:r>
    </w:p>
    <w:p w14:paraId="414AAC0A" w14:textId="60FADBD9" w:rsidR="00CA3C5B" w:rsidRDefault="00260033" w:rsidP="006612A8">
      <w:pPr>
        <w:pStyle w:val="Bullet"/>
      </w:pP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p>
    <w:p w14:paraId="68B6CB94" w14:textId="33D82E3F" w:rsidR="00CA3C5B" w:rsidRDefault="00260033" w:rsidP="006612A8">
      <w:pPr>
        <w:pStyle w:val="Bullet"/>
      </w:pPr>
      <w:r>
        <w:t>Proportion</w:t>
      </w:r>
      <w:r w:rsidR="00932420">
        <w:t xml:space="preserve"> </w:t>
      </w:r>
      <w:r>
        <w:t>of</w:t>
      </w:r>
      <w:r w:rsidR="00932420">
        <w:t xml:space="preserve"> </w:t>
      </w:r>
      <w:r>
        <w:t>VET</w:t>
      </w:r>
      <w:r w:rsidR="00932420">
        <w:t xml:space="preserve"> </w:t>
      </w:r>
      <w:r>
        <w:t>students</w:t>
      </w:r>
      <w:r w:rsidR="00932420">
        <w:t xml:space="preserve"> </w:t>
      </w:r>
      <w:r>
        <w:t>with</w:t>
      </w:r>
      <w:r w:rsidR="00932420">
        <w:t xml:space="preserve"> </w:t>
      </w:r>
      <w:r>
        <w:t>an</w:t>
      </w:r>
      <w:r w:rsidR="00932420">
        <w:t xml:space="preserve"> </w:t>
      </w:r>
      <w:r>
        <w:t>improved</w:t>
      </w:r>
      <w:r w:rsidR="00932420">
        <w:t xml:space="preserve"> </w:t>
      </w:r>
      <w:r>
        <w:t>employment</w:t>
      </w:r>
      <w:r w:rsidR="00932420">
        <w:t xml:space="preserve"> </w:t>
      </w:r>
      <w:r>
        <w:t>status</w:t>
      </w:r>
      <w:r w:rsidR="00932420">
        <w:t xml:space="preserve"> </w:t>
      </w:r>
      <w:r>
        <w:t>after</w:t>
      </w:r>
      <w:r w:rsidR="00932420">
        <w:t xml:space="preserve"> </w:t>
      </w:r>
      <w:r>
        <w:t>training</w:t>
      </w:r>
    </w:p>
    <w:p w14:paraId="47ACE5B3" w14:textId="1023D7A1" w:rsidR="00CA3C5B" w:rsidRDefault="00260033" w:rsidP="006612A8">
      <w:pPr>
        <w:pStyle w:val="Bulletlast"/>
      </w:pPr>
      <w:r>
        <w:t>Proportion</w:t>
      </w:r>
      <w:r w:rsidR="00932420">
        <w:t xml:space="preserve"> </w:t>
      </w:r>
      <w:r>
        <w:t>of</w:t>
      </w:r>
      <w:r w:rsidR="00932420">
        <w:t xml:space="preserve"> </w:t>
      </w:r>
      <w:r>
        <w:t>VET</w:t>
      </w:r>
      <w:r w:rsidR="00932420">
        <w:t xml:space="preserve"> </w:t>
      </w:r>
      <w:r>
        <w:t>students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p>
    <w:p w14:paraId="4EF4E44F" w14:textId="77777777" w:rsidR="00CA3C5B" w:rsidRPr="006612A8" w:rsidRDefault="00260033" w:rsidP="006612A8">
      <w:pPr>
        <w:pStyle w:val="Normalbeforebullets"/>
        <w:rPr>
          <w:b/>
          <w:bCs/>
        </w:rPr>
      </w:pPr>
      <w:r w:rsidRPr="006612A8">
        <w:rPr>
          <w:b/>
          <w:bCs/>
        </w:rPr>
        <w:t>Outputs</w:t>
      </w:r>
    </w:p>
    <w:p w14:paraId="23E79433" w14:textId="3BA40E20" w:rsidR="00CA3C5B" w:rsidRDefault="00260033" w:rsidP="006612A8">
      <w:pPr>
        <w:pStyle w:val="Bulletlast"/>
      </w:pPr>
      <w:r>
        <w:t>Training,</w:t>
      </w:r>
      <w:r w:rsidR="00932420">
        <w:t xml:space="preserve"> </w:t>
      </w:r>
      <w:r>
        <w:t>Higher</w:t>
      </w:r>
      <w:r w:rsidR="00932420">
        <w:t xml:space="preserve"> </w:t>
      </w:r>
      <w:r>
        <w:t>Education</w:t>
      </w:r>
      <w:r w:rsidR="00932420">
        <w:t xml:space="preserve"> </w:t>
      </w:r>
      <w:r>
        <w:t>and</w:t>
      </w:r>
      <w:r w:rsidR="00932420">
        <w:t xml:space="preserve"> </w:t>
      </w:r>
      <w:r>
        <w:t>Workforce</w:t>
      </w:r>
      <w:r w:rsidR="00932420">
        <w:t xml:space="preserve"> </w:t>
      </w:r>
      <w:r>
        <w:t>Development</w:t>
      </w:r>
    </w:p>
    <w:p w14:paraId="0FE7F261" w14:textId="1D86A41D" w:rsidR="00CA3C5B" w:rsidRDefault="00260033" w:rsidP="006612A8">
      <w:pPr>
        <w:pStyle w:val="Heading2"/>
      </w:pPr>
      <w:bookmarkStart w:id="54" w:name="_Toc152067235"/>
      <w:r>
        <w:lastRenderedPageBreak/>
        <w:t>Indicator:</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bookmarkEnd w:id="54"/>
    </w:p>
    <w:p w14:paraId="504A1CAC" w14:textId="512154CA" w:rsidR="00CA3C5B" w:rsidRDefault="00260033" w:rsidP="006612A8">
      <w:pPr>
        <w:pStyle w:val="TableHeading"/>
      </w:pPr>
      <w:r>
        <w:t>Table</w:t>
      </w:r>
      <w:r w:rsidR="00932420">
        <w:t xml:space="preserve"> </w:t>
      </w:r>
      <w:r>
        <w:t>27:</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46BBEB6B" w14:textId="77777777" w:rsidTr="006612A8">
        <w:trPr>
          <w:cantSplit/>
        </w:trPr>
        <w:tc>
          <w:tcPr>
            <w:tcW w:w="5102" w:type="dxa"/>
          </w:tcPr>
          <w:p w14:paraId="463ADD7B" w14:textId="094CB7A5" w:rsidR="00CA3C5B" w:rsidRDefault="00260033" w:rsidP="006612A8">
            <w:pPr>
              <w:pStyle w:val="TableColumnHeading"/>
            </w:pPr>
            <w:bookmarkStart w:id="55" w:name="ColumnTitle_28"/>
            <w:bookmarkEnd w:id="55"/>
            <w:r>
              <w:t>Measure</w:t>
            </w:r>
            <w:r w:rsidR="00932420">
              <w:t xml:space="preserve"> </w:t>
            </w:r>
            <w:r>
              <w:t>(unit</w:t>
            </w:r>
            <w:r w:rsidR="00932420">
              <w:t xml:space="preserve"> </w:t>
            </w:r>
            <w:r>
              <w:t>of</w:t>
            </w:r>
            <w:r w:rsidR="00932420">
              <w:t xml:space="preserve"> </w:t>
            </w:r>
            <w:r>
              <w:t>measure)</w:t>
            </w:r>
          </w:p>
        </w:tc>
        <w:tc>
          <w:tcPr>
            <w:tcW w:w="1134" w:type="dxa"/>
          </w:tcPr>
          <w:p w14:paraId="5B4FA035" w14:textId="77777777" w:rsidR="00CA3C5B" w:rsidRDefault="00260033" w:rsidP="0032347F">
            <w:pPr>
              <w:pStyle w:val="TableColumnHeading"/>
              <w:jc w:val="right"/>
            </w:pPr>
            <w:r>
              <w:t>2019–20</w:t>
            </w:r>
          </w:p>
        </w:tc>
        <w:tc>
          <w:tcPr>
            <w:tcW w:w="1134" w:type="dxa"/>
          </w:tcPr>
          <w:p w14:paraId="18C1FA02" w14:textId="77777777" w:rsidR="00CA3C5B" w:rsidRDefault="00260033" w:rsidP="0032347F">
            <w:pPr>
              <w:pStyle w:val="TableColumnHeading"/>
              <w:jc w:val="right"/>
            </w:pPr>
            <w:r>
              <w:t>2020–21</w:t>
            </w:r>
          </w:p>
        </w:tc>
        <w:tc>
          <w:tcPr>
            <w:tcW w:w="1134" w:type="dxa"/>
          </w:tcPr>
          <w:p w14:paraId="64A0CFA7" w14:textId="77777777" w:rsidR="00CA3C5B" w:rsidRDefault="00260033" w:rsidP="0032347F">
            <w:pPr>
              <w:pStyle w:val="TableColumnHeading"/>
              <w:jc w:val="right"/>
            </w:pPr>
            <w:r>
              <w:t>2021–22</w:t>
            </w:r>
          </w:p>
        </w:tc>
        <w:tc>
          <w:tcPr>
            <w:tcW w:w="1134" w:type="dxa"/>
          </w:tcPr>
          <w:p w14:paraId="084B2AF7" w14:textId="77777777" w:rsidR="00CA3C5B" w:rsidRDefault="00260033" w:rsidP="0032347F">
            <w:pPr>
              <w:pStyle w:val="TableColumnHeading"/>
              <w:jc w:val="right"/>
            </w:pPr>
            <w:r>
              <w:rPr>
                <w:lang w:val="en-US"/>
              </w:rPr>
              <w:t>2022–23</w:t>
            </w:r>
          </w:p>
        </w:tc>
      </w:tr>
      <w:tr w:rsidR="00CA3C5B" w14:paraId="0C485228" w14:textId="77777777" w:rsidTr="006612A8">
        <w:trPr>
          <w:cantSplit/>
        </w:trPr>
        <w:tc>
          <w:tcPr>
            <w:tcW w:w="5102" w:type="dxa"/>
          </w:tcPr>
          <w:p w14:paraId="32434FB9" w14:textId="04311F0F" w:rsidR="00CA3C5B" w:rsidRDefault="00260033" w:rsidP="006612A8">
            <w:pPr>
              <w:pStyle w:val="TableCopy"/>
            </w:pP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r w:rsidR="00932420">
              <w:t xml:space="preserve"> </w:t>
            </w:r>
            <w:r>
              <w:t>(%)</w:t>
            </w:r>
          </w:p>
        </w:tc>
        <w:tc>
          <w:tcPr>
            <w:tcW w:w="1134" w:type="dxa"/>
          </w:tcPr>
          <w:p w14:paraId="5B563C9B" w14:textId="77777777" w:rsidR="00CA3C5B" w:rsidRDefault="00260033" w:rsidP="0032347F">
            <w:pPr>
              <w:pStyle w:val="TableCopy"/>
              <w:jc w:val="right"/>
            </w:pPr>
            <w:r>
              <w:t>85.3</w:t>
            </w:r>
          </w:p>
        </w:tc>
        <w:tc>
          <w:tcPr>
            <w:tcW w:w="1134" w:type="dxa"/>
          </w:tcPr>
          <w:p w14:paraId="165FDC54" w14:textId="77777777" w:rsidR="00CA3C5B" w:rsidRDefault="00260033" w:rsidP="0032347F">
            <w:pPr>
              <w:pStyle w:val="TableCopy"/>
              <w:jc w:val="right"/>
            </w:pPr>
            <w:r>
              <w:t>86.7</w:t>
            </w:r>
          </w:p>
        </w:tc>
        <w:tc>
          <w:tcPr>
            <w:tcW w:w="1134" w:type="dxa"/>
          </w:tcPr>
          <w:p w14:paraId="76944A12" w14:textId="77777777" w:rsidR="00CA3C5B" w:rsidRDefault="00260033" w:rsidP="0032347F">
            <w:pPr>
              <w:pStyle w:val="TableCopy"/>
              <w:jc w:val="right"/>
            </w:pPr>
            <w:r>
              <w:t>86.5</w:t>
            </w:r>
          </w:p>
        </w:tc>
        <w:tc>
          <w:tcPr>
            <w:tcW w:w="1134" w:type="dxa"/>
          </w:tcPr>
          <w:p w14:paraId="31EA804A" w14:textId="77777777" w:rsidR="00CA3C5B" w:rsidRDefault="00260033" w:rsidP="0032347F">
            <w:pPr>
              <w:pStyle w:val="TableCopy"/>
              <w:jc w:val="right"/>
            </w:pPr>
            <w:r>
              <w:rPr>
                <w:lang w:val="en-US"/>
              </w:rPr>
              <w:t>86.4</w:t>
            </w:r>
          </w:p>
        </w:tc>
      </w:tr>
    </w:tbl>
    <w:p w14:paraId="4D846FA5" w14:textId="77777777" w:rsidR="00CA3C5B" w:rsidRDefault="00CA3C5B" w:rsidP="0032347F"/>
    <w:p w14:paraId="6CBBDFBC" w14:textId="352AEB83" w:rsidR="00CA3C5B" w:rsidRDefault="00260033" w:rsidP="0032347F">
      <w:pPr>
        <w:pStyle w:val="FigureHeading"/>
      </w:pPr>
      <w:r>
        <w:t>Figure</w:t>
      </w:r>
      <w:r w:rsidR="00932420">
        <w:t xml:space="preserve"> </w:t>
      </w:r>
      <w:r>
        <w:t>26:</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p>
    <w:p w14:paraId="7E83247B" w14:textId="75208F4E" w:rsidR="00CA3C5B" w:rsidRDefault="0032347F" w:rsidP="0032347F">
      <w:r>
        <w:rPr>
          <w:noProof/>
        </w:rPr>
        <w:drawing>
          <wp:inline distT="0" distB="0" distL="0" distR="0" wp14:anchorId="7D269633" wp14:editId="73C2F99F">
            <wp:extent cx="3229337" cy="2160553"/>
            <wp:effectExtent l="0" t="0" r="0" b="0"/>
            <wp:docPr id="26" name="Picture 26" descr="Figure 26: Proportion of VET students satisfied with training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igure 26: Proportion of VET students satisfied with training graph. Data in table above."/>
                    <pic:cNvPicPr/>
                  </pic:nvPicPr>
                  <pic:blipFill>
                    <a:blip r:embed="rId35"/>
                    <a:stretch>
                      <a:fillRect/>
                    </a:stretch>
                  </pic:blipFill>
                  <pic:spPr>
                    <a:xfrm>
                      <a:off x="0" y="0"/>
                      <a:ext cx="3240623" cy="2168104"/>
                    </a:xfrm>
                    <a:prstGeom prst="rect">
                      <a:avLst/>
                    </a:prstGeom>
                  </pic:spPr>
                </pic:pic>
              </a:graphicData>
            </a:graphic>
          </wp:inline>
        </w:drawing>
      </w:r>
    </w:p>
    <w:p w14:paraId="081B8630" w14:textId="60B5578C" w:rsidR="00CA3C5B" w:rsidRDefault="00260033" w:rsidP="0032347F">
      <w:r>
        <w:t>The</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r w:rsidR="00932420">
        <w:t xml:space="preserve"> </w:t>
      </w:r>
      <w:r>
        <w:t>has</w:t>
      </w:r>
      <w:r w:rsidR="00932420">
        <w:t xml:space="preserve"> </w:t>
      </w:r>
      <w:r>
        <w:t>remained</w:t>
      </w:r>
      <w:r w:rsidR="00932420">
        <w:t xml:space="preserve"> </w:t>
      </w:r>
      <w:r>
        <w:t>strong</w:t>
      </w:r>
      <w:r w:rsidR="00932420">
        <w:t xml:space="preserve"> </w:t>
      </w:r>
      <w:r>
        <w:t>over</w:t>
      </w:r>
      <w:r w:rsidR="00932420">
        <w:t xml:space="preserve"> </w:t>
      </w:r>
      <w:r>
        <w:t>the</w:t>
      </w:r>
      <w:r w:rsidR="00932420">
        <w:t xml:space="preserve"> </w:t>
      </w:r>
      <w:r>
        <w:t>past</w:t>
      </w:r>
      <w:r w:rsidR="00932420">
        <w:t xml:space="preserve"> </w:t>
      </w:r>
      <w:r>
        <w:t>4</w:t>
      </w:r>
      <w:r w:rsidR="00932420">
        <w:t xml:space="preserve"> </w:t>
      </w:r>
      <w:r>
        <w:t>years.</w:t>
      </w:r>
      <w:r w:rsidR="00932420">
        <w:t xml:space="preserve"> </w:t>
      </w:r>
      <w:r>
        <w:t>The</w:t>
      </w:r>
      <w:r w:rsidR="00932420">
        <w:t xml:space="preserve"> </w:t>
      </w:r>
      <w:r>
        <w:t>2022–23</w:t>
      </w:r>
      <w:r w:rsidR="00932420">
        <w:t xml:space="preserve"> </w:t>
      </w:r>
      <w:r>
        <w:t>result</w:t>
      </w:r>
      <w:r w:rsidR="00932420">
        <w:t xml:space="preserve"> </w:t>
      </w:r>
      <w:r>
        <w:t>of</w:t>
      </w:r>
      <w:r w:rsidR="00932420">
        <w:t xml:space="preserve"> </w:t>
      </w:r>
      <w:r>
        <w:t>86.4%</w:t>
      </w:r>
      <w:r w:rsidR="00932420">
        <w:t xml:space="preserve"> </w:t>
      </w:r>
      <w:r>
        <w:t>satisfaction</w:t>
      </w:r>
      <w:r w:rsidR="00932420">
        <w:t xml:space="preserve"> </w:t>
      </w:r>
      <w:r>
        <w:t>is</w:t>
      </w:r>
      <w:r w:rsidR="00932420">
        <w:t xml:space="preserve"> </w:t>
      </w:r>
      <w:r>
        <w:t>a</w:t>
      </w:r>
      <w:r w:rsidR="00932420">
        <w:t xml:space="preserve"> </w:t>
      </w:r>
      <w:r>
        <w:t>1.3%</w:t>
      </w:r>
      <w:r w:rsidR="00932420">
        <w:t xml:space="preserve"> </w:t>
      </w:r>
      <w:r>
        <w:t>increase</w:t>
      </w:r>
      <w:r w:rsidR="00932420">
        <w:t xml:space="preserve"> </w:t>
      </w:r>
      <w:r>
        <w:t>over</w:t>
      </w:r>
      <w:r w:rsidR="00932420">
        <w:t xml:space="preserve"> </w:t>
      </w:r>
      <w:r>
        <w:t>the</w:t>
      </w:r>
      <w:r w:rsidR="00932420">
        <w:t xml:space="preserve"> </w:t>
      </w:r>
      <w:r>
        <w:t>2019–20</w:t>
      </w:r>
      <w:r w:rsidR="00932420">
        <w:t xml:space="preserve"> </w:t>
      </w:r>
      <w:r>
        <w:t>result</w:t>
      </w:r>
      <w:r w:rsidR="00932420">
        <w:t xml:space="preserve"> </w:t>
      </w:r>
      <w:r>
        <w:t>of</w:t>
      </w:r>
      <w:r w:rsidR="00932420">
        <w:t xml:space="preserve"> </w:t>
      </w:r>
      <w:r>
        <w:t>85.3%</w:t>
      </w:r>
      <w:r w:rsidR="00932420">
        <w:t xml:space="preserve"> </w:t>
      </w:r>
      <w:r>
        <w:t>satisfaction.</w:t>
      </w:r>
    </w:p>
    <w:p w14:paraId="22F78A86" w14:textId="66395C9C" w:rsidR="00CA3C5B" w:rsidRDefault="00260033" w:rsidP="0032347F">
      <w:r>
        <w:t>This</w:t>
      </w:r>
      <w:r w:rsidR="00932420">
        <w:t xml:space="preserve"> </w:t>
      </w:r>
      <w:r>
        <w:t>measure</w:t>
      </w:r>
      <w:r w:rsidR="00932420">
        <w:t xml:space="preserve"> </w:t>
      </w:r>
      <w:r>
        <w:t>has</w:t>
      </w:r>
      <w:r w:rsidR="00932420">
        <w:t xml:space="preserve"> </w:t>
      </w:r>
      <w:r>
        <w:t>improved</w:t>
      </w:r>
      <w:r w:rsidR="00932420">
        <w:t xml:space="preserve"> </w:t>
      </w:r>
      <w:r>
        <w:t>since</w:t>
      </w:r>
      <w:r w:rsidR="00932420">
        <w:t xml:space="preserve"> </w:t>
      </w:r>
      <w:r>
        <w:t>Skills</w:t>
      </w:r>
      <w:r w:rsidR="00932420">
        <w:t xml:space="preserve"> </w:t>
      </w:r>
      <w:r>
        <w:t>First</w:t>
      </w:r>
      <w:r w:rsidR="00932420">
        <w:t xml:space="preserve"> </w:t>
      </w:r>
      <w:r>
        <w:t>reforms</w:t>
      </w:r>
      <w:r w:rsidR="00932420">
        <w:t xml:space="preserve"> </w:t>
      </w:r>
      <w:r>
        <w:t>were</w:t>
      </w:r>
      <w:r w:rsidR="00932420">
        <w:t xml:space="preserve"> </w:t>
      </w:r>
      <w:r>
        <w:t>introduced</w:t>
      </w:r>
      <w:r w:rsidR="00932420">
        <w:t xml:space="preserve"> </w:t>
      </w:r>
      <w:r>
        <w:t>in</w:t>
      </w:r>
      <w:r w:rsidR="00932420">
        <w:t xml:space="preserve"> </w:t>
      </w:r>
      <w:r>
        <w:t>2017.</w:t>
      </w:r>
      <w:r w:rsidR="00932420">
        <w:t xml:space="preserve"> </w:t>
      </w:r>
      <w:r>
        <w:t>Framed</w:t>
      </w:r>
      <w:r w:rsidR="00932420">
        <w:t xml:space="preserve"> </w:t>
      </w:r>
      <w:r>
        <w:t>by</w:t>
      </w:r>
      <w:r w:rsidR="00932420">
        <w:t xml:space="preserve"> </w:t>
      </w:r>
      <w:r>
        <w:t>healthy</w:t>
      </w:r>
      <w:r w:rsidR="00932420">
        <w:t xml:space="preserve"> </w:t>
      </w:r>
      <w:r>
        <w:t>increases</w:t>
      </w:r>
      <w:r w:rsidR="00932420">
        <w:t xml:space="preserve"> </w:t>
      </w:r>
      <w:r>
        <w:t>in</w:t>
      </w:r>
      <w:r w:rsidR="00932420">
        <w:t xml:space="preserve"> </w:t>
      </w:r>
      <w:r>
        <w:t>students’</w:t>
      </w:r>
      <w:r w:rsidR="00932420">
        <w:t xml:space="preserve"> </w:t>
      </w:r>
      <w:r>
        <w:t>perceptions</w:t>
      </w:r>
      <w:r w:rsidR="00932420">
        <w:t xml:space="preserve"> </w:t>
      </w:r>
      <w:r>
        <w:t>of</w:t>
      </w:r>
      <w:r w:rsidR="00932420">
        <w:t xml:space="preserve"> </w:t>
      </w:r>
      <w:r>
        <w:t>positive</w:t>
      </w:r>
      <w:r w:rsidR="00932420">
        <w:t xml:space="preserve"> </w:t>
      </w:r>
      <w:r>
        <w:t>teaching</w:t>
      </w:r>
      <w:r w:rsidR="00932420">
        <w:t xml:space="preserve"> </w:t>
      </w:r>
      <w:r>
        <w:t>and</w:t>
      </w:r>
      <w:r w:rsidR="00932420">
        <w:t xml:space="preserve"> </w:t>
      </w:r>
      <w:r>
        <w:t>assessment</w:t>
      </w:r>
      <w:r w:rsidR="00932420">
        <w:t xml:space="preserve"> </w:t>
      </w:r>
      <w:r>
        <w:t>practices,</w:t>
      </w:r>
      <w:r w:rsidR="00932420">
        <w:t xml:space="preserve"> </w:t>
      </w:r>
      <w:r>
        <w:t>the</w:t>
      </w:r>
      <w:r w:rsidR="00932420">
        <w:t xml:space="preserve"> </w:t>
      </w:r>
      <w:r>
        <w:t>high</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satisfied</w:t>
      </w:r>
      <w:r w:rsidR="00932420">
        <w:t xml:space="preserve"> </w:t>
      </w:r>
      <w:r>
        <w:t>with</w:t>
      </w:r>
      <w:r w:rsidR="00932420">
        <w:t xml:space="preserve"> </w:t>
      </w:r>
      <w:r>
        <w:t>training</w:t>
      </w:r>
      <w:r w:rsidR="00932420">
        <w:t xml:space="preserve"> </w:t>
      </w:r>
      <w:r>
        <w:t>speaks</w:t>
      </w:r>
      <w:r w:rsidR="00932420">
        <w:t xml:space="preserve"> </w:t>
      </w:r>
      <w:r>
        <w:t>to</w:t>
      </w:r>
      <w:r w:rsidR="00932420">
        <w:t xml:space="preserve"> </w:t>
      </w:r>
      <w:r>
        <w:t>the</w:t>
      </w:r>
      <w:r w:rsidR="00932420">
        <w:t xml:space="preserve"> </w:t>
      </w:r>
      <w:r>
        <w:t>quality</w:t>
      </w:r>
      <w:r w:rsidR="00932420">
        <w:t xml:space="preserve"> </w:t>
      </w:r>
      <w:r>
        <w:t>of</w:t>
      </w:r>
      <w:r w:rsidR="00932420">
        <w:t xml:space="preserve"> </w:t>
      </w:r>
      <w:r>
        <w:t>the</w:t>
      </w:r>
      <w:r w:rsidR="00932420">
        <w:t xml:space="preserve"> </w:t>
      </w:r>
      <w:r>
        <w:t>training</w:t>
      </w:r>
      <w:r w:rsidR="00932420">
        <w:t xml:space="preserve"> </w:t>
      </w:r>
      <w:r>
        <w:t>system</w:t>
      </w:r>
      <w:r w:rsidR="00932420">
        <w:t xml:space="preserve"> </w:t>
      </w:r>
      <w:r>
        <w:t>in</w:t>
      </w:r>
      <w:r w:rsidR="00932420">
        <w:t xml:space="preserve"> </w:t>
      </w:r>
      <w:r>
        <w:t>Victoria.</w:t>
      </w:r>
    </w:p>
    <w:p w14:paraId="0D89FB2B" w14:textId="6CCD72CE" w:rsidR="00CA3C5B" w:rsidRDefault="00260033" w:rsidP="0032347F">
      <w:r>
        <w:t>The</w:t>
      </w:r>
      <w:r w:rsidR="00932420">
        <w:t xml:space="preserve"> </w:t>
      </w:r>
      <w:r>
        <w:t>measure</w:t>
      </w:r>
      <w:r w:rsidR="00932420">
        <w:t xml:space="preserve"> </w:t>
      </w:r>
      <w:r>
        <w:t>remained</w:t>
      </w:r>
      <w:r w:rsidR="00932420">
        <w:t xml:space="preserve"> </w:t>
      </w:r>
      <w:r>
        <w:t>strong</w:t>
      </w:r>
      <w:r w:rsidR="00932420">
        <w:t xml:space="preserve"> </w:t>
      </w:r>
      <w:r>
        <w:t>despite</w:t>
      </w:r>
      <w:r w:rsidR="00932420">
        <w:t xml:space="preserve"> </w:t>
      </w:r>
      <w:r>
        <w:t>COVID-19-related</w:t>
      </w:r>
      <w:r w:rsidR="00932420">
        <w:t xml:space="preserve"> </w:t>
      </w:r>
      <w:r>
        <w:t>disruptions</w:t>
      </w:r>
      <w:r w:rsidR="00932420">
        <w:t xml:space="preserve"> </w:t>
      </w:r>
      <w:r>
        <w:t>to</w:t>
      </w:r>
      <w:r w:rsidR="00932420">
        <w:t xml:space="preserve"> </w:t>
      </w:r>
      <w:r>
        <w:t>students’</w:t>
      </w:r>
      <w:r w:rsidR="00932420">
        <w:t xml:space="preserve"> </w:t>
      </w:r>
      <w:r>
        <w:t>studies.</w:t>
      </w:r>
      <w:r w:rsidR="00932420">
        <w:t xml:space="preserve"> </w:t>
      </w:r>
      <w:r>
        <w:t>Business</w:t>
      </w:r>
      <w:r w:rsidR="00932420">
        <w:t xml:space="preserve"> </w:t>
      </w:r>
      <w:r>
        <w:t>continuity</w:t>
      </w:r>
      <w:r w:rsidR="00932420">
        <w:t xml:space="preserve"> </w:t>
      </w:r>
      <w:r>
        <w:t>support</w:t>
      </w:r>
      <w:r w:rsidR="00932420">
        <w:t xml:space="preserve"> </w:t>
      </w:r>
      <w:r>
        <w:t>provided</w:t>
      </w:r>
      <w:r w:rsidR="00932420">
        <w:t xml:space="preserve"> </w:t>
      </w:r>
      <w:r>
        <w:t>by</w:t>
      </w:r>
      <w:r w:rsidR="00932420">
        <w:t xml:space="preserve"> </w:t>
      </w:r>
      <w:r>
        <w:t>the</w:t>
      </w:r>
      <w:r w:rsidR="00932420">
        <w:t xml:space="preserve"> </w:t>
      </w:r>
      <w:r>
        <w:t>Victorian</w:t>
      </w:r>
      <w:r w:rsidR="00932420">
        <w:t xml:space="preserve"> </w:t>
      </w:r>
      <w:r>
        <w:t>Government</w:t>
      </w:r>
      <w:r w:rsidR="00932420">
        <w:t xml:space="preserve"> </w:t>
      </w:r>
      <w:r>
        <w:t>to</w:t>
      </w:r>
      <w:r w:rsidR="00932420">
        <w:t xml:space="preserve"> </w:t>
      </w:r>
      <w:r>
        <w:t>training</w:t>
      </w:r>
      <w:r w:rsidR="00932420">
        <w:t xml:space="preserve"> </w:t>
      </w:r>
      <w:r>
        <w:t>providers</w:t>
      </w:r>
      <w:r w:rsidR="00932420">
        <w:t xml:space="preserve"> </w:t>
      </w:r>
      <w:r>
        <w:t>has</w:t>
      </w:r>
      <w:r w:rsidR="00932420">
        <w:t xml:space="preserve"> </w:t>
      </w:r>
      <w:r>
        <w:t>allowed</w:t>
      </w:r>
      <w:r w:rsidR="00932420">
        <w:t xml:space="preserve"> </w:t>
      </w:r>
      <w:r>
        <w:t>them</w:t>
      </w:r>
      <w:r w:rsidR="00932420">
        <w:t xml:space="preserve"> </w:t>
      </w:r>
      <w:r>
        <w:t>to</w:t>
      </w:r>
      <w:r w:rsidR="00932420">
        <w:t xml:space="preserve"> </w:t>
      </w:r>
      <w:r>
        <w:t>maintain</w:t>
      </w:r>
      <w:r w:rsidR="00932420">
        <w:t xml:space="preserve"> </w:t>
      </w:r>
      <w:r>
        <w:t>suitable</w:t>
      </w:r>
      <w:r w:rsidR="00932420">
        <w:t xml:space="preserve"> </w:t>
      </w:r>
      <w:r>
        <w:t>levels</w:t>
      </w:r>
      <w:r w:rsidR="00932420">
        <w:t xml:space="preserve"> </w:t>
      </w:r>
      <w:r>
        <w:t>of</w:t>
      </w:r>
      <w:r w:rsidR="00932420">
        <w:t xml:space="preserve"> </w:t>
      </w:r>
      <w:r>
        <w:t>training</w:t>
      </w:r>
      <w:r w:rsidR="00932420">
        <w:t xml:space="preserve"> </w:t>
      </w:r>
      <w:r>
        <w:t>post-pandemic</w:t>
      </w:r>
      <w:r w:rsidR="00932420">
        <w:t xml:space="preserve"> </w:t>
      </w:r>
      <w:r>
        <w:t>and</w:t>
      </w:r>
      <w:r w:rsidR="00932420">
        <w:t xml:space="preserve"> </w:t>
      </w:r>
      <w:r>
        <w:t>facilitate</w:t>
      </w:r>
      <w:r w:rsidR="00932420">
        <w:t xml:space="preserve"> </w:t>
      </w:r>
      <w:r>
        <w:t>student</w:t>
      </w:r>
      <w:r w:rsidR="00932420">
        <w:t xml:space="preserve"> </w:t>
      </w:r>
      <w:r>
        <w:t>success.</w:t>
      </w:r>
    </w:p>
    <w:p w14:paraId="017554DA" w14:textId="2CCB14DE" w:rsidR="00CA3C5B" w:rsidRDefault="00260033" w:rsidP="0032347F">
      <w:r>
        <w:t>The</w:t>
      </w:r>
      <w:r w:rsidR="00932420">
        <w:t xml:space="preserve"> </w:t>
      </w:r>
      <w:r>
        <w:t>Victorian</w:t>
      </w:r>
      <w:r w:rsidR="00932420">
        <w:t xml:space="preserve"> </w:t>
      </w:r>
      <w:r>
        <w:t>Government</w:t>
      </w:r>
      <w:r w:rsidR="00932420">
        <w:t xml:space="preserve"> </w:t>
      </w:r>
      <w:r>
        <w:t>has</w:t>
      </w:r>
      <w:r w:rsidR="00932420">
        <w:t xml:space="preserve"> </w:t>
      </w:r>
      <w:r>
        <w:t>invested</w:t>
      </w:r>
      <w:r w:rsidR="00932420">
        <w:t xml:space="preserve"> </w:t>
      </w:r>
      <w:r>
        <w:t>in</w:t>
      </w:r>
      <w:r w:rsidR="00932420">
        <w:t xml:space="preserve"> </w:t>
      </w:r>
      <w:r>
        <w:t>learning</w:t>
      </w:r>
      <w:r w:rsidR="00932420">
        <w:t xml:space="preserve"> </w:t>
      </w:r>
      <w:r>
        <w:t>environments,</w:t>
      </w:r>
      <w:r w:rsidR="00932420">
        <w:t xml:space="preserve"> </w:t>
      </w:r>
      <w:r>
        <w:t>quality</w:t>
      </w:r>
      <w:r w:rsidR="00932420">
        <w:t xml:space="preserve"> </w:t>
      </w:r>
      <w:r>
        <w:t>teaching</w:t>
      </w:r>
      <w:r w:rsidR="00932420">
        <w:t xml:space="preserve"> </w:t>
      </w:r>
      <w:r>
        <w:t>and</w:t>
      </w:r>
      <w:r w:rsidR="00932420">
        <w:t xml:space="preserve"> </w:t>
      </w:r>
      <w:r>
        <w:t>contemporary</w:t>
      </w:r>
      <w:r w:rsidR="00932420">
        <w:t xml:space="preserve"> </w:t>
      </w:r>
      <w:r>
        <w:t>curriculum</w:t>
      </w:r>
      <w:r w:rsidR="00932420">
        <w:t xml:space="preserve"> </w:t>
      </w:r>
      <w:r>
        <w:t>support</w:t>
      </w:r>
      <w:r w:rsidR="00932420">
        <w:t xml:space="preserve"> </w:t>
      </w:r>
      <w:r>
        <w:t>to</w:t>
      </w:r>
      <w:r w:rsidR="00932420">
        <w:t xml:space="preserve"> </w:t>
      </w:r>
      <w:r>
        <w:t>ensure</w:t>
      </w:r>
      <w:r w:rsidR="00932420">
        <w:t xml:space="preserve"> </w:t>
      </w:r>
      <w:r>
        <w:t>high</w:t>
      </w:r>
      <w:r w:rsidR="00932420">
        <w:t xml:space="preserve"> </w:t>
      </w:r>
      <w:r>
        <w:t>levels</w:t>
      </w:r>
      <w:r w:rsidR="00932420">
        <w:t xml:space="preserve"> </w:t>
      </w:r>
      <w:r>
        <w:t>of</w:t>
      </w:r>
      <w:r w:rsidR="00932420">
        <w:t xml:space="preserve"> </w:t>
      </w:r>
      <w:r>
        <w:t>quality</w:t>
      </w:r>
      <w:r w:rsidR="00932420">
        <w:t xml:space="preserve"> </w:t>
      </w:r>
      <w:r>
        <w:t>training</w:t>
      </w:r>
      <w:r w:rsidR="00932420">
        <w:t xml:space="preserve"> </w:t>
      </w:r>
      <w:r>
        <w:t>and</w:t>
      </w:r>
      <w:r w:rsidR="00932420">
        <w:t xml:space="preserve"> </w:t>
      </w:r>
      <w:r>
        <w:t>student</w:t>
      </w:r>
      <w:r w:rsidR="00932420">
        <w:t xml:space="preserve"> </w:t>
      </w:r>
      <w:r>
        <w:t>satisfaction</w:t>
      </w:r>
      <w:r w:rsidR="00932420">
        <w:t xml:space="preserve"> </w:t>
      </w:r>
      <w:r>
        <w:t>are</w:t>
      </w:r>
      <w:r w:rsidR="00932420">
        <w:t xml:space="preserve"> </w:t>
      </w:r>
      <w:r>
        <w:t>maintained</w:t>
      </w:r>
      <w:r w:rsidR="00932420">
        <w:t xml:space="preserve"> </w:t>
      </w:r>
      <w:r>
        <w:t>and</w:t>
      </w:r>
      <w:r w:rsidR="00932420">
        <w:t xml:space="preserve"> </w:t>
      </w:r>
      <w:r>
        <w:t>realised.</w:t>
      </w:r>
      <w:r w:rsidR="00932420">
        <w:t xml:space="preserve"> </w:t>
      </w:r>
      <w:r>
        <w:t>The</w:t>
      </w:r>
      <w:r w:rsidR="00932420">
        <w:t xml:space="preserve"> </w:t>
      </w:r>
      <w:r>
        <w:t>stability</w:t>
      </w:r>
      <w:r w:rsidR="00932420">
        <w:t xml:space="preserve"> </w:t>
      </w:r>
      <w:r>
        <w:t>of</w:t>
      </w:r>
      <w:r w:rsidR="00932420">
        <w:t xml:space="preserve"> </w:t>
      </w:r>
      <w:r>
        <w:t>quality</w:t>
      </w:r>
      <w:r w:rsidR="00932420">
        <w:t xml:space="preserve"> </w:t>
      </w:r>
      <w:r>
        <w:t>and</w:t>
      </w:r>
      <w:r w:rsidR="00932420">
        <w:t xml:space="preserve"> </w:t>
      </w:r>
      <w:r>
        <w:t>student</w:t>
      </w:r>
      <w:r w:rsidR="00932420">
        <w:t xml:space="preserve"> </w:t>
      </w:r>
      <w:r>
        <w:t>satisfaction</w:t>
      </w:r>
      <w:r w:rsidR="00932420">
        <w:t xml:space="preserve"> </w:t>
      </w:r>
      <w:r>
        <w:t>with</w:t>
      </w:r>
      <w:r w:rsidR="00932420">
        <w:t xml:space="preserve"> </w:t>
      </w:r>
      <w:r>
        <w:t>training</w:t>
      </w:r>
      <w:r w:rsidR="00932420">
        <w:t xml:space="preserve"> </w:t>
      </w:r>
      <w:r>
        <w:t>benefitted</w:t>
      </w:r>
      <w:r w:rsidR="00932420">
        <w:t xml:space="preserve"> </w:t>
      </w:r>
      <w:r>
        <w:t>through</w:t>
      </w:r>
      <w:r w:rsidR="00932420">
        <w:t xml:space="preserve"> </w:t>
      </w:r>
      <w:r>
        <w:t>investments</w:t>
      </w:r>
      <w:r w:rsidR="00932420">
        <w:t xml:space="preserve"> </w:t>
      </w:r>
      <w:r>
        <w:t>in</w:t>
      </w:r>
      <w:r w:rsidR="00932420">
        <w:t xml:space="preserve"> </w:t>
      </w:r>
      <w:r>
        <w:t>state-of-the-art</w:t>
      </w:r>
      <w:r w:rsidR="00932420">
        <w:t xml:space="preserve"> </w:t>
      </w:r>
      <w:r>
        <w:t>facilities,</w:t>
      </w:r>
      <w:r w:rsidR="00932420">
        <w:t xml:space="preserve"> </w:t>
      </w:r>
      <w:r>
        <w:t>including</w:t>
      </w:r>
      <w:r w:rsidR="00932420">
        <w:t xml:space="preserve"> </w:t>
      </w:r>
      <w:r>
        <w:t>the</w:t>
      </w:r>
      <w:r w:rsidR="00932420">
        <w:t xml:space="preserve"> </w:t>
      </w:r>
      <w:r>
        <w:t>award-winning</w:t>
      </w:r>
      <w:r w:rsidR="00932420">
        <w:t xml:space="preserve"> </w:t>
      </w:r>
      <w:r>
        <w:t>Warrnambool</w:t>
      </w:r>
      <w:r w:rsidR="00932420">
        <w:t xml:space="preserve"> </w:t>
      </w:r>
      <w:r>
        <w:t>Library</w:t>
      </w:r>
      <w:r w:rsidR="00932420">
        <w:t xml:space="preserve"> </w:t>
      </w:r>
      <w:r>
        <w:t>and</w:t>
      </w:r>
      <w:r w:rsidR="00932420">
        <w:t xml:space="preserve"> </w:t>
      </w:r>
      <w:r>
        <w:t>Learning</w:t>
      </w:r>
      <w:r w:rsidR="00932420">
        <w:t xml:space="preserve"> </w:t>
      </w:r>
      <w:r>
        <w:t>Centre</w:t>
      </w:r>
      <w:r w:rsidR="00932420">
        <w:t xml:space="preserve"> </w:t>
      </w:r>
      <w:r>
        <w:t>at</w:t>
      </w:r>
      <w:r w:rsidR="00932420">
        <w:t xml:space="preserve"> </w:t>
      </w:r>
      <w:proofErr w:type="gramStart"/>
      <w:r>
        <w:t>South</w:t>
      </w:r>
      <w:r w:rsidR="00932420">
        <w:t xml:space="preserve"> </w:t>
      </w:r>
      <w:r>
        <w:t>West</w:t>
      </w:r>
      <w:proofErr w:type="gramEnd"/>
      <w:r w:rsidR="00932420">
        <w:t xml:space="preserve"> </w:t>
      </w:r>
      <w:r>
        <w:t>TAFE.</w:t>
      </w:r>
      <w:r w:rsidR="00932420">
        <w:t xml:space="preserve"> </w:t>
      </w:r>
      <w:r>
        <w:t>Additionally,</w:t>
      </w:r>
      <w:r w:rsidR="00932420">
        <w:t xml:space="preserve"> </w:t>
      </w:r>
      <w:r>
        <w:t>including</w:t>
      </w:r>
      <w:r w:rsidR="00932420">
        <w:t xml:space="preserve"> </w:t>
      </w:r>
      <w:r>
        <w:t>the</w:t>
      </w:r>
      <w:r w:rsidR="00932420">
        <w:t xml:space="preserve"> </w:t>
      </w:r>
      <w:r>
        <w:t>Certificate</w:t>
      </w:r>
      <w:r w:rsidR="00932420">
        <w:t xml:space="preserve"> </w:t>
      </w:r>
      <w:r>
        <w:t>IV</w:t>
      </w:r>
      <w:r w:rsidR="00932420">
        <w:t xml:space="preserve"> </w:t>
      </w:r>
      <w:r>
        <w:t>in</w:t>
      </w:r>
      <w:r w:rsidR="00932420">
        <w:t xml:space="preserve"> </w:t>
      </w:r>
      <w:r>
        <w:t>Training</w:t>
      </w:r>
      <w:r w:rsidR="00932420">
        <w:t xml:space="preserve"> </w:t>
      </w:r>
      <w:r>
        <w:t>and</w:t>
      </w:r>
      <w:r w:rsidR="00932420">
        <w:t xml:space="preserve"> </w:t>
      </w:r>
      <w:r>
        <w:t>Assessment</w:t>
      </w:r>
      <w:r w:rsidR="00932420">
        <w:t xml:space="preserve"> </w:t>
      </w:r>
      <w:r>
        <w:t>on</w:t>
      </w:r>
      <w:r w:rsidR="00932420">
        <w:t xml:space="preserve"> </w:t>
      </w:r>
      <w:r>
        <w:t>the</w:t>
      </w:r>
      <w:r w:rsidR="00932420">
        <w:t xml:space="preserve"> </w:t>
      </w:r>
      <w:r>
        <w:t>free</w:t>
      </w:r>
      <w:r w:rsidR="00932420">
        <w:t xml:space="preserve"> </w:t>
      </w:r>
      <w:r>
        <w:t>TAFE</w:t>
      </w:r>
      <w:r w:rsidR="00932420">
        <w:t xml:space="preserve"> </w:t>
      </w:r>
      <w:r>
        <w:t>course</w:t>
      </w:r>
      <w:r w:rsidR="00932420">
        <w:t xml:space="preserve"> </w:t>
      </w:r>
      <w:r>
        <w:t>list,</w:t>
      </w:r>
      <w:r w:rsidR="00932420">
        <w:t xml:space="preserve"> </w:t>
      </w:r>
      <w:r>
        <w:t>and</w:t>
      </w:r>
      <w:r w:rsidR="00932420">
        <w:t xml:space="preserve"> </w:t>
      </w:r>
      <w:r>
        <w:t>funding</w:t>
      </w:r>
      <w:r w:rsidR="00932420">
        <w:t xml:space="preserve"> </w:t>
      </w:r>
      <w:r>
        <w:t>curriculum</w:t>
      </w:r>
      <w:r w:rsidR="00932420">
        <w:t xml:space="preserve"> </w:t>
      </w:r>
      <w:r>
        <w:t>resource</w:t>
      </w:r>
      <w:r w:rsidR="00932420">
        <w:t xml:space="preserve"> </w:t>
      </w:r>
      <w:r>
        <w:t>development</w:t>
      </w:r>
      <w:r w:rsidR="00932420">
        <w:t xml:space="preserve"> </w:t>
      </w:r>
      <w:r>
        <w:t>have</w:t>
      </w:r>
      <w:r w:rsidR="00932420">
        <w:t xml:space="preserve"> </w:t>
      </w:r>
      <w:r>
        <w:t>contributed</w:t>
      </w:r>
      <w:r w:rsidR="00932420">
        <w:t xml:space="preserve"> </w:t>
      </w:r>
      <w:r>
        <w:t>to</w:t>
      </w:r>
      <w:r w:rsidR="00932420">
        <w:t xml:space="preserve"> </w:t>
      </w:r>
      <w:r>
        <w:t>high</w:t>
      </w:r>
      <w:r w:rsidR="00932420">
        <w:t xml:space="preserve"> </w:t>
      </w:r>
      <w:r>
        <w:t>levels</w:t>
      </w:r>
      <w:r w:rsidR="00932420">
        <w:t xml:space="preserve"> </w:t>
      </w:r>
      <w:r>
        <w:t>of</w:t>
      </w:r>
      <w:r w:rsidR="00932420">
        <w:t xml:space="preserve"> </w:t>
      </w:r>
      <w:r>
        <w:t>stability</w:t>
      </w:r>
      <w:r w:rsidR="00932420">
        <w:t xml:space="preserve"> </w:t>
      </w:r>
      <w:r>
        <w:t>and</w:t>
      </w:r>
      <w:r w:rsidR="00932420">
        <w:t xml:space="preserve"> </w:t>
      </w:r>
      <w:r>
        <w:t>satisfaction.</w:t>
      </w:r>
    </w:p>
    <w:p w14:paraId="0D44D377" w14:textId="76DA2B56" w:rsidR="00CA3C5B" w:rsidRDefault="00260033" w:rsidP="0032347F">
      <w:pPr>
        <w:pStyle w:val="Heading2"/>
      </w:pPr>
      <w:bookmarkStart w:id="56" w:name="_Toc152067236"/>
      <w:r>
        <w:lastRenderedPageBreak/>
        <w:t>Indicator:</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with</w:t>
      </w:r>
      <w:r w:rsidR="00932420">
        <w:t xml:space="preserve"> </w:t>
      </w:r>
      <w:r>
        <w:t>an</w:t>
      </w:r>
      <w:r w:rsidR="00932420">
        <w:t xml:space="preserve"> </w:t>
      </w:r>
      <w:r>
        <w:t>improved</w:t>
      </w:r>
      <w:r w:rsidR="00932420">
        <w:t xml:space="preserve"> </w:t>
      </w:r>
      <w:r>
        <w:t>employment</w:t>
      </w:r>
      <w:r w:rsidR="00932420">
        <w:t xml:space="preserve"> </w:t>
      </w:r>
      <w:r>
        <w:t>status</w:t>
      </w:r>
      <w:r w:rsidR="00932420">
        <w:t xml:space="preserve"> </w:t>
      </w:r>
      <w:r>
        <w:t>after</w:t>
      </w:r>
      <w:r w:rsidR="00932420">
        <w:t xml:space="preserve"> </w:t>
      </w:r>
      <w:r>
        <w:t>training</w:t>
      </w:r>
      <w:bookmarkEnd w:id="56"/>
    </w:p>
    <w:p w14:paraId="24712C6A" w14:textId="4314F22F" w:rsidR="00CA3C5B" w:rsidRDefault="00260033" w:rsidP="0032347F">
      <w:pPr>
        <w:pStyle w:val="TableColumnHeading"/>
      </w:pPr>
      <w:r>
        <w:t>Table</w:t>
      </w:r>
      <w:r w:rsidR="00932420">
        <w:t xml:space="preserve"> </w:t>
      </w:r>
      <w:r>
        <w:t>28:</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with</w:t>
      </w:r>
      <w:r w:rsidR="00932420">
        <w:t xml:space="preserve"> </w:t>
      </w:r>
      <w:r>
        <w:t>an</w:t>
      </w:r>
      <w:r w:rsidR="00932420">
        <w:t xml:space="preserve"> </w:t>
      </w:r>
      <w:r>
        <w:t>improved</w:t>
      </w:r>
      <w:r w:rsidR="00932420">
        <w:t xml:space="preserve"> </w:t>
      </w:r>
      <w:r>
        <w:t>employment</w:t>
      </w:r>
      <w:r w:rsidR="00932420">
        <w:t xml:space="preserve"> </w:t>
      </w:r>
      <w:r>
        <w:t>status</w:t>
      </w:r>
      <w:r w:rsidR="00932420">
        <w:t xml:space="preserve"> </w:t>
      </w:r>
      <w:r>
        <w:t>after</w:t>
      </w:r>
      <w:r w:rsidR="00932420">
        <w:t xml:space="preserve"> </w:t>
      </w:r>
      <w:r>
        <w:t>training</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786E4832" w14:textId="77777777" w:rsidTr="0032347F">
        <w:trPr>
          <w:cantSplit/>
        </w:trPr>
        <w:tc>
          <w:tcPr>
            <w:tcW w:w="5102" w:type="dxa"/>
          </w:tcPr>
          <w:p w14:paraId="24C1959F" w14:textId="35B98DB0" w:rsidR="00CA3C5B" w:rsidRDefault="00260033" w:rsidP="0032347F">
            <w:pPr>
              <w:pStyle w:val="TableColumnHeading"/>
            </w:pPr>
            <w:bookmarkStart w:id="57" w:name="ColumnTitle_29"/>
            <w:bookmarkEnd w:id="57"/>
            <w:r>
              <w:t>Measure</w:t>
            </w:r>
            <w:r w:rsidR="00932420">
              <w:t xml:space="preserve"> </w:t>
            </w:r>
            <w:r>
              <w:t>(unit</w:t>
            </w:r>
            <w:r w:rsidR="00932420">
              <w:t xml:space="preserve"> </w:t>
            </w:r>
            <w:r>
              <w:t>of</w:t>
            </w:r>
            <w:r w:rsidR="00932420">
              <w:t xml:space="preserve"> </w:t>
            </w:r>
            <w:r>
              <w:t>measure)</w:t>
            </w:r>
          </w:p>
        </w:tc>
        <w:tc>
          <w:tcPr>
            <w:tcW w:w="1134" w:type="dxa"/>
          </w:tcPr>
          <w:p w14:paraId="3195ABF3" w14:textId="77777777" w:rsidR="00CA3C5B" w:rsidRDefault="00260033" w:rsidP="0032347F">
            <w:pPr>
              <w:pStyle w:val="TableColumnHeading"/>
              <w:jc w:val="right"/>
            </w:pPr>
            <w:r>
              <w:t>2019–20</w:t>
            </w:r>
          </w:p>
        </w:tc>
        <w:tc>
          <w:tcPr>
            <w:tcW w:w="1134" w:type="dxa"/>
          </w:tcPr>
          <w:p w14:paraId="55F2476E" w14:textId="77777777" w:rsidR="00CA3C5B" w:rsidRDefault="00260033" w:rsidP="0032347F">
            <w:pPr>
              <w:pStyle w:val="TableColumnHeading"/>
              <w:jc w:val="right"/>
            </w:pPr>
            <w:r>
              <w:t>2020–21</w:t>
            </w:r>
          </w:p>
        </w:tc>
        <w:tc>
          <w:tcPr>
            <w:tcW w:w="1134" w:type="dxa"/>
          </w:tcPr>
          <w:p w14:paraId="4AAB275B" w14:textId="77777777" w:rsidR="00CA3C5B" w:rsidRDefault="00260033" w:rsidP="0032347F">
            <w:pPr>
              <w:pStyle w:val="TableColumnHeading"/>
              <w:jc w:val="right"/>
            </w:pPr>
            <w:r>
              <w:t>2021–22</w:t>
            </w:r>
          </w:p>
        </w:tc>
        <w:tc>
          <w:tcPr>
            <w:tcW w:w="1134" w:type="dxa"/>
          </w:tcPr>
          <w:p w14:paraId="2311AEDE" w14:textId="77777777" w:rsidR="00CA3C5B" w:rsidRDefault="00260033" w:rsidP="0032347F">
            <w:pPr>
              <w:pStyle w:val="TableColumnHeading"/>
              <w:jc w:val="right"/>
            </w:pPr>
            <w:r>
              <w:rPr>
                <w:lang w:val="en-US"/>
              </w:rPr>
              <w:t>2022–23</w:t>
            </w:r>
          </w:p>
        </w:tc>
      </w:tr>
      <w:tr w:rsidR="00CA3C5B" w14:paraId="48266DDC" w14:textId="77777777" w:rsidTr="0032347F">
        <w:trPr>
          <w:cantSplit/>
        </w:trPr>
        <w:tc>
          <w:tcPr>
            <w:tcW w:w="5102" w:type="dxa"/>
          </w:tcPr>
          <w:p w14:paraId="39D4A64B" w14:textId="19EF5089" w:rsidR="00CA3C5B" w:rsidRDefault="00260033" w:rsidP="0032347F">
            <w:pPr>
              <w:pStyle w:val="TableCopy"/>
            </w:pPr>
            <w:r>
              <w:t>Proportion</w:t>
            </w:r>
            <w:r w:rsidR="00932420">
              <w:t xml:space="preserve"> </w:t>
            </w:r>
            <w:r>
              <w:t>of</w:t>
            </w:r>
            <w:r w:rsidR="00932420">
              <w:t xml:space="preserve"> </w:t>
            </w:r>
            <w:r>
              <w:t>VET</w:t>
            </w:r>
            <w:r w:rsidR="00932420">
              <w:t xml:space="preserve"> </w:t>
            </w:r>
            <w:r>
              <w:t>students</w:t>
            </w:r>
            <w:r w:rsidR="00932420">
              <w:t xml:space="preserve"> </w:t>
            </w:r>
            <w:r>
              <w:t>with</w:t>
            </w:r>
            <w:r w:rsidR="00932420">
              <w:t xml:space="preserve"> </w:t>
            </w:r>
            <w:r>
              <w:t>an</w:t>
            </w:r>
            <w:r w:rsidR="00932420">
              <w:t xml:space="preserve"> </w:t>
            </w:r>
            <w:r>
              <w:t>improved</w:t>
            </w:r>
            <w:r w:rsidR="00932420">
              <w:t xml:space="preserve"> </w:t>
            </w:r>
            <w:r>
              <w:t>employment</w:t>
            </w:r>
            <w:r w:rsidR="00932420">
              <w:t xml:space="preserve"> </w:t>
            </w:r>
            <w:r>
              <w:t>status</w:t>
            </w:r>
            <w:r w:rsidR="00932420">
              <w:t xml:space="preserve"> </w:t>
            </w:r>
            <w:r>
              <w:t>after</w:t>
            </w:r>
            <w:r w:rsidR="00932420">
              <w:t xml:space="preserve"> </w:t>
            </w:r>
            <w:r>
              <w:t>training</w:t>
            </w:r>
            <w:r w:rsidR="00932420">
              <w:t xml:space="preserve"> </w:t>
            </w:r>
            <w:r>
              <w:t>(%)</w:t>
            </w:r>
          </w:p>
        </w:tc>
        <w:tc>
          <w:tcPr>
            <w:tcW w:w="1134" w:type="dxa"/>
          </w:tcPr>
          <w:p w14:paraId="2DFC561A" w14:textId="77777777" w:rsidR="00CA3C5B" w:rsidRDefault="00260033" w:rsidP="0032347F">
            <w:pPr>
              <w:pStyle w:val="TableCopy"/>
              <w:jc w:val="right"/>
            </w:pPr>
            <w:r>
              <w:t>50.1</w:t>
            </w:r>
          </w:p>
        </w:tc>
        <w:tc>
          <w:tcPr>
            <w:tcW w:w="1134" w:type="dxa"/>
          </w:tcPr>
          <w:p w14:paraId="447FE887" w14:textId="77777777" w:rsidR="00CA3C5B" w:rsidRDefault="00260033" w:rsidP="0032347F">
            <w:pPr>
              <w:pStyle w:val="TableCopy"/>
              <w:jc w:val="right"/>
            </w:pPr>
            <w:r>
              <w:t>55.4</w:t>
            </w:r>
          </w:p>
        </w:tc>
        <w:tc>
          <w:tcPr>
            <w:tcW w:w="1134" w:type="dxa"/>
          </w:tcPr>
          <w:p w14:paraId="7A086F03" w14:textId="77777777" w:rsidR="00CA3C5B" w:rsidRDefault="00260033" w:rsidP="0032347F">
            <w:pPr>
              <w:pStyle w:val="TableCopy"/>
              <w:jc w:val="right"/>
            </w:pPr>
            <w:r>
              <w:t>55.7</w:t>
            </w:r>
          </w:p>
        </w:tc>
        <w:tc>
          <w:tcPr>
            <w:tcW w:w="1134" w:type="dxa"/>
          </w:tcPr>
          <w:p w14:paraId="3097BC7A" w14:textId="77777777" w:rsidR="00CA3C5B" w:rsidRDefault="00260033" w:rsidP="0032347F">
            <w:pPr>
              <w:pStyle w:val="TableCopy"/>
              <w:jc w:val="right"/>
            </w:pPr>
            <w:r>
              <w:rPr>
                <w:lang w:val="en-US"/>
              </w:rPr>
              <w:t>64.8</w:t>
            </w:r>
          </w:p>
        </w:tc>
      </w:tr>
    </w:tbl>
    <w:p w14:paraId="05516D16" w14:textId="77777777" w:rsidR="00CA3C5B" w:rsidRDefault="00CA3C5B" w:rsidP="0032347F"/>
    <w:p w14:paraId="1FD2A881" w14:textId="2EF83FAF" w:rsidR="00CA3C5B" w:rsidRDefault="00260033" w:rsidP="0032347F">
      <w:pPr>
        <w:pStyle w:val="FigureHeading"/>
      </w:pPr>
      <w:r>
        <w:t>Figure</w:t>
      </w:r>
      <w:r w:rsidR="00932420">
        <w:t xml:space="preserve"> </w:t>
      </w:r>
      <w:r>
        <w:t>27:</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with</w:t>
      </w:r>
      <w:r w:rsidR="00932420">
        <w:t xml:space="preserve"> </w:t>
      </w:r>
      <w:r>
        <w:t>an</w:t>
      </w:r>
      <w:r w:rsidR="00932420">
        <w:t xml:space="preserve"> </w:t>
      </w:r>
      <w:r>
        <w:t>improved</w:t>
      </w:r>
      <w:r w:rsidR="00932420">
        <w:t xml:space="preserve"> </w:t>
      </w:r>
      <w:r>
        <w:t>employment</w:t>
      </w:r>
      <w:r w:rsidR="00932420">
        <w:t xml:space="preserve"> </w:t>
      </w:r>
      <w:r>
        <w:t>status</w:t>
      </w:r>
      <w:r w:rsidR="00932420">
        <w:t xml:space="preserve"> </w:t>
      </w:r>
      <w:r>
        <w:t>after</w:t>
      </w:r>
      <w:r w:rsidR="00932420">
        <w:t xml:space="preserve"> </w:t>
      </w:r>
      <w:r>
        <w:t>training</w:t>
      </w:r>
    </w:p>
    <w:p w14:paraId="6F972996" w14:textId="20A3F8C4" w:rsidR="00CA3C5B" w:rsidRDefault="0032347F" w:rsidP="0032347F">
      <w:r>
        <w:rPr>
          <w:noProof/>
        </w:rPr>
        <w:drawing>
          <wp:inline distT="0" distB="0" distL="0" distR="0" wp14:anchorId="4D8B44E7" wp14:editId="59A6036F">
            <wp:extent cx="3261136" cy="2181828"/>
            <wp:effectExtent l="0" t="0" r="0" b="9525"/>
            <wp:docPr id="27" name="Picture 27" descr="Figure 27: Proportion of VET students with an improved employment status after training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27: Proportion of VET students with an improved employment status after training graph. Data in table above."/>
                    <pic:cNvPicPr/>
                  </pic:nvPicPr>
                  <pic:blipFill>
                    <a:blip r:embed="rId36"/>
                    <a:stretch>
                      <a:fillRect/>
                    </a:stretch>
                  </pic:blipFill>
                  <pic:spPr>
                    <a:xfrm>
                      <a:off x="0" y="0"/>
                      <a:ext cx="3278763" cy="2193621"/>
                    </a:xfrm>
                    <a:prstGeom prst="rect">
                      <a:avLst/>
                    </a:prstGeom>
                  </pic:spPr>
                </pic:pic>
              </a:graphicData>
            </a:graphic>
          </wp:inline>
        </w:drawing>
      </w:r>
    </w:p>
    <w:p w14:paraId="15235FB3" w14:textId="0D2AD412" w:rsidR="00CA3C5B" w:rsidRDefault="00260033" w:rsidP="0032347F">
      <w:r>
        <w:t>Victorian</w:t>
      </w:r>
      <w:r w:rsidR="00932420">
        <w:t xml:space="preserve"> </w:t>
      </w:r>
      <w:r>
        <w:t>VET</w:t>
      </w:r>
      <w:r w:rsidR="00932420">
        <w:t xml:space="preserve"> </w:t>
      </w:r>
      <w:r>
        <w:t>students</w:t>
      </w:r>
      <w:r w:rsidR="00932420">
        <w:t xml:space="preserve"> </w:t>
      </w:r>
      <w:r>
        <w:t>have</w:t>
      </w:r>
      <w:r w:rsidR="00932420">
        <w:t xml:space="preserve"> </w:t>
      </w:r>
      <w:r>
        <w:t>experienced</w:t>
      </w:r>
      <w:r w:rsidR="00932420">
        <w:t xml:space="preserve"> </w:t>
      </w:r>
      <w:r>
        <w:t>increasingly</w:t>
      </w:r>
      <w:r w:rsidR="00932420">
        <w:t xml:space="preserve"> </w:t>
      </w:r>
      <w:r>
        <w:t>positive</w:t>
      </w:r>
      <w:r w:rsidR="00932420">
        <w:t xml:space="preserve"> </w:t>
      </w:r>
      <w:r>
        <w:t>employment</w:t>
      </w:r>
      <w:r w:rsidR="00932420">
        <w:t xml:space="preserve"> </w:t>
      </w:r>
      <w:r>
        <w:t>outcomes</w:t>
      </w:r>
      <w:r w:rsidR="00932420">
        <w:t xml:space="preserve"> </w:t>
      </w:r>
      <w:proofErr w:type="gramStart"/>
      <w:r>
        <w:t>as</w:t>
      </w:r>
      <w:r w:rsidR="00932420">
        <w:t xml:space="preserve"> </w:t>
      </w:r>
      <w:r>
        <w:t>a</w:t>
      </w:r>
      <w:r w:rsidR="00932420">
        <w:t xml:space="preserve"> </w:t>
      </w:r>
      <w:r>
        <w:t>result</w:t>
      </w:r>
      <w:r w:rsidR="00932420">
        <w:t xml:space="preserve"> </w:t>
      </w:r>
      <w:r>
        <w:t>of</w:t>
      </w:r>
      <w:proofErr w:type="gramEnd"/>
      <w:r w:rsidR="00932420">
        <w:t xml:space="preserve"> </w:t>
      </w:r>
      <w:r>
        <w:t>Victorian</w:t>
      </w:r>
      <w:r w:rsidR="00932420">
        <w:t xml:space="preserve"> </w:t>
      </w:r>
      <w:r>
        <w:t>Government</w:t>
      </w:r>
      <w:r w:rsidR="00932420">
        <w:t xml:space="preserve"> </w:t>
      </w:r>
      <w:r>
        <w:t>measures</w:t>
      </w:r>
      <w:r w:rsidR="00932420">
        <w:t xml:space="preserve"> </w:t>
      </w:r>
      <w:r>
        <w:t>to</w:t>
      </w:r>
      <w:r w:rsidR="00932420">
        <w:t xml:space="preserve"> </w:t>
      </w:r>
      <w:r>
        <w:t>improve</w:t>
      </w:r>
      <w:r w:rsidR="00932420">
        <w:t xml:space="preserve"> </w:t>
      </w:r>
      <w:r>
        <w:t>the</w:t>
      </w:r>
      <w:r w:rsidR="00932420">
        <w:t xml:space="preserve"> </w:t>
      </w:r>
      <w:r>
        <w:t>quality</w:t>
      </w:r>
      <w:r w:rsidR="00932420">
        <w:t xml:space="preserve"> </w:t>
      </w:r>
      <w:r>
        <w:t>and</w:t>
      </w:r>
      <w:r w:rsidR="00932420">
        <w:t xml:space="preserve"> </w:t>
      </w:r>
      <w:r>
        <w:t>relevance</w:t>
      </w:r>
      <w:r w:rsidR="00932420">
        <w:t xml:space="preserve"> </w:t>
      </w:r>
      <w:r>
        <w:t>of</w:t>
      </w:r>
      <w:r w:rsidR="00932420">
        <w:t xml:space="preserve"> </w:t>
      </w:r>
      <w:r>
        <w:t>training,</w:t>
      </w:r>
      <w:r w:rsidR="00932420">
        <w:t xml:space="preserve"> </w:t>
      </w:r>
      <w:r>
        <w:t>and</w:t>
      </w:r>
      <w:r w:rsidR="00932420">
        <w:t xml:space="preserve"> </w:t>
      </w:r>
      <w:r>
        <w:t>the</w:t>
      </w:r>
      <w:r w:rsidR="00932420">
        <w:t xml:space="preserve"> </w:t>
      </w:r>
      <w:r>
        <w:t>strong</w:t>
      </w:r>
      <w:r w:rsidR="00932420">
        <w:t xml:space="preserve"> </w:t>
      </w:r>
      <w:r>
        <w:t>labour</w:t>
      </w:r>
      <w:r w:rsidR="00932420">
        <w:t xml:space="preserve"> </w:t>
      </w:r>
      <w:r>
        <w:t>market.</w:t>
      </w:r>
      <w:r w:rsidR="00932420">
        <w:t xml:space="preserve"> </w:t>
      </w:r>
      <w:r>
        <w:t>The</w:t>
      </w:r>
      <w:r w:rsidR="00932420">
        <w:t xml:space="preserve"> </w:t>
      </w:r>
      <w:r>
        <w:t>2022–23</w:t>
      </w:r>
      <w:r w:rsidR="00932420">
        <w:t xml:space="preserve"> </w:t>
      </w:r>
      <w:r>
        <w:t>result</w:t>
      </w:r>
      <w:r w:rsidR="00932420">
        <w:t xml:space="preserve"> </w:t>
      </w:r>
      <w:r>
        <w:t>of</w:t>
      </w:r>
      <w:r w:rsidR="00932420">
        <w:t xml:space="preserve"> </w:t>
      </w:r>
      <w:r>
        <w:t>64.8%</w:t>
      </w:r>
      <w:r w:rsidR="00932420">
        <w:t xml:space="preserve"> </w:t>
      </w:r>
      <w:r>
        <w:t>is</w:t>
      </w:r>
      <w:r w:rsidR="00932420">
        <w:t xml:space="preserve"> </w:t>
      </w:r>
      <w:r>
        <w:t>an</w:t>
      </w:r>
      <w:r w:rsidR="00932420">
        <w:t xml:space="preserve"> </w:t>
      </w:r>
      <w:r>
        <w:t>increase</w:t>
      </w:r>
      <w:r w:rsidR="00932420">
        <w:t xml:space="preserve"> </w:t>
      </w:r>
      <w:r>
        <w:t>of</w:t>
      </w:r>
      <w:r w:rsidR="00932420">
        <w:t xml:space="preserve"> </w:t>
      </w:r>
      <w:r>
        <w:t>29.3%</w:t>
      </w:r>
      <w:r w:rsidR="00932420">
        <w:t xml:space="preserve"> </w:t>
      </w:r>
      <w:r>
        <w:t>over</w:t>
      </w:r>
      <w:r w:rsidR="00932420">
        <w:t xml:space="preserve"> </w:t>
      </w:r>
      <w:r>
        <w:t>the</w:t>
      </w:r>
      <w:r w:rsidR="00932420">
        <w:t xml:space="preserve"> </w:t>
      </w:r>
      <w:r>
        <w:t>2019–20</w:t>
      </w:r>
      <w:r w:rsidR="00932420">
        <w:t xml:space="preserve"> </w:t>
      </w:r>
      <w:r>
        <w:t>result</w:t>
      </w:r>
      <w:r w:rsidR="00932420">
        <w:t xml:space="preserve"> </w:t>
      </w:r>
      <w:r>
        <w:t>of</w:t>
      </w:r>
      <w:r w:rsidR="00932420">
        <w:t xml:space="preserve"> </w:t>
      </w:r>
      <w:r>
        <w:t>50.1%.</w:t>
      </w:r>
    </w:p>
    <w:p w14:paraId="6C11F980" w14:textId="430C2245" w:rsidR="00CA3C5B" w:rsidRDefault="00260033" w:rsidP="0032347F">
      <w:r>
        <w:t>The</w:t>
      </w:r>
      <w:r w:rsidR="00932420">
        <w:t xml:space="preserve"> </w:t>
      </w:r>
      <w:r>
        <w:t>large</w:t>
      </w:r>
      <w:r w:rsidR="00932420">
        <w:t xml:space="preserve"> </w:t>
      </w:r>
      <w:r>
        <w:t>increase</w:t>
      </w:r>
      <w:r w:rsidR="00932420">
        <w:t xml:space="preserve"> </w:t>
      </w:r>
      <w:r>
        <w:t>in</w:t>
      </w:r>
      <w:r w:rsidR="00932420">
        <w:t xml:space="preserve"> </w:t>
      </w:r>
      <w:r>
        <w:t>this</w:t>
      </w:r>
      <w:r w:rsidR="00932420">
        <w:t xml:space="preserve"> </w:t>
      </w:r>
      <w:r>
        <w:t>measure</w:t>
      </w:r>
      <w:r w:rsidR="00932420">
        <w:t xml:space="preserve"> </w:t>
      </w:r>
      <w:r>
        <w:t>in</w:t>
      </w:r>
      <w:r w:rsidR="00932420">
        <w:t xml:space="preserve"> </w:t>
      </w:r>
      <w:r>
        <w:t>2022</w:t>
      </w:r>
      <w:r w:rsidR="00932420">
        <w:t xml:space="preserve"> </w:t>
      </w:r>
      <w:r>
        <w:t>was</w:t>
      </w:r>
      <w:r w:rsidR="00932420">
        <w:t xml:space="preserve"> </w:t>
      </w:r>
      <w:r>
        <w:t>partly</w:t>
      </w:r>
      <w:r w:rsidR="00932420">
        <w:t xml:space="preserve"> </w:t>
      </w:r>
      <w:r>
        <w:t>driven</w:t>
      </w:r>
      <w:r w:rsidR="00932420">
        <w:t xml:space="preserve"> </w:t>
      </w:r>
      <w:r>
        <w:t>by</w:t>
      </w:r>
      <w:r w:rsidR="00932420">
        <w:t xml:space="preserve"> </w:t>
      </w:r>
      <w:r>
        <w:t>Victoria’s</w:t>
      </w:r>
      <w:r w:rsidR="00932420">
        <w:t xml:space="preserve"> </w:t>
      </w:r>
      <w:r>
        <w:t>low</w:t>
      </w:r>
      <w:r w:rsidR="00932420">
        <w:t xml:space="preserve"> </w:t>
      </w:r>
      <w:r>
        <w:t>unemployment</w:t>
      </w:r>
      <w:r w:rsidR="00932420">
        <w:t xml:space="preserve"> </w:t>
      </w:r>
      <w:r>
        <w:t>rate,</w:t>
      </w:r>
      <w:r w:rsidR="00932420">
        <w:t xml:space="preserve"> </w:t>
      </w:r>
      <w:r>
        <w:t>which</w:t>
      </w:r>
      <w:r w:rsidR="00932420">
        <w:t xml:space="preserve"> </w:t>
      </w:r>
      <w:r>
        <w:t>was</w:t>
      </w:r>
      <w:r w:rsidR="00932420">
        <w:t xml:space="preserve"> </w:t>
      </w:r>
      <w:r>
        <w:t>forecast</w:t>
      </w:r>
      <w:r w:rsidR="00932420">
        <w:t xml:space="preserve"> </w:t>
      </w:r>
      <w:r>
        <w:t>to</w:t>
      </w:r>
      <w:r w:rsidR="00932420">
        <w:t xml:space="preserve"> </w:t>
      </w:r>
      <w:r>
        <w:t>average</w:t>
      </w:r>
      <w:r w:rsidR="00932420">
        <w:t xml:space="preserve"> </w:t>
      </w:r>
      <w:r>
        <w:t>3.8%</w:t>
      </w:r>
      <w:r w:rsidR="00932420">
        <w:t xml:space="preserve"> </w:t>
      </w:r>
      <w:r>
        <w:t>in</w:t>
      </w:r>
      <w:r w:rsidR="00932420">
        <w:t xml:space="preserve"> </w:t>
      </w:r>
      <w:r>
        <w:t>2022–23</w:t>
      </w:r>
      <w:r w:rsidR="00932420">
        <w:t xml:space="preserve"> </w:t>
      </w:r>
      <w:r>
        <w:t>and</w:t>
      </w:r>
      <w:r w:rsidR="00932420">
        <w:t xml:space="preserve"> </w:t>
      </w:r>
      <w:r>
        <w:t>was</w:t>
      </w:r>
      <w:r w:rsidR="00932420">
        <w:t xml:space="preserve"> </w:t>
      </w:r>
      <w:r>
        <w:t>at</w:t>
      </w:r>
      <w:r w:rsidR="00932420">
        <w:t xml:space="preserve"> </w:t>
      </w:r>
      <w:r>
        <w:t>historically</w:t>
      </w:r>
      <w:r w:rsidR="00932420">
        <w:t xml:space="preserve"> </w:t>
      </w:r>
      <w:r>
        <w:t>low</w:t>
      </w:r>
      <w:r w:rsidR="00932420">
        <w:t xml:space="preserve"> </w:t>
      </w:r>
      <w:r>
        <w:t>levels.</w:t>
      </w:r>
      <w:r w:rsidR="00932420">
        <w:t xml:space="preserve"> </w:t>
      </w:r>
      <w:r>
        <w:t>The</w:t>
      </w:r>
      <w:r w:rsidR="00932420">
        <w:t xml:space="preserve"> </w:t>
      </w:r>
      <w:r>
        <w:t>job</w:t>
      </w:r>
      <w:r w:rsidR="00932420">
        <w:t xml:space="preserve"> </w:t>
      </w:r>
      <w:r>
        <w:t>market</w:t>
      </w:r>
      <w:r w:rsidR="00932420">
        <w:t xml:space="preserve"> </w:t>
      </w:r>
      <w:r>
        <w:t>was</w:t>
      </w:r>
      <w:r w:rsidR="00932420">
        <w:t xml:space="preserve"> </w:t>
      </w:r>
      <w:r>
        <w:t>favourable</w:t>
      </w:r>
      <w:r w:rsidR="00932420">
        <w:t xml:space="preserve"> </w:t>
      </w:r>
      <w:r>
        <w:t>for</w:t>
      </w:r>
      <w:r w:rsidR="00932420">
        <w:t xml:space="preserve"> </w:t>
      </w:r>
      <w:r>
        <w:t>VET</w:t>
      </w:r>
      <w:r w:rsidR="00932420">
        <w:t xml:space="preserve"> </w:t>
      </w:r>
      <w:r>
        <w:t>graduates,</w:t>
      </w:r>
      <w:r w:rsidR="00932420">
        <w:t xml:space="preserve"> </w:t>
      </w:r>
      <w:r>
        <w:t>whether</w:t>
      </w:r>
      <w:r w:rsidR="00932420">
        <w:t xml:space="preserve"> </w:t>
      </w:r>
      <w:r>
        <w:t>they</w:t>
      </w:r>
      <w:r w:rsidR="00932420">
        <w:t xml:space="preserve"> </w:t>
      </w:r>
      <w:r>
        <w:t>were</w:t>
      </w:r>
      <w:r w:rsidR="00932420">
        <w:t xml:space="preserve"> </w:t>
      </w:r>
      <w:r>
        <w:t>already</w:t>
      </w:r>
      <w:r w:rsidR="00932420">
        <w:t xml:space="preserve"> </w:t>
      </w:r>
      <w:r>
        <w:t>employed</w:t>
      </w:r>
      <w:r w:rsidR="00932420">
        <w:t xml:space="preserve"> </w:t>
      </w:r>
      <w:r>
        <w:t>or</w:t>
      </w:r>
      <w:r w:rsidR="00932420">
        <w:t xml:space="preserve"> </w:t>
      </w:r>
      <w:r>
        <w:t>were</w:t>
      </w:r>
      <w:r w:rsidR="00932420">
        <w:t xml:space="preserve"> </w:t>
      </w:r>
      <w:r>
        <w:t>seeking</w:t>
      </w:r>
      <w:r w:rsidR="00932420">
        <w:t xml:space="preserve"> </w:t>
      </w:r>
      <w:r>
        <w:t>jobs</w:t>
      </w:r>
      <w:r w:rsidR="00932420">
        <w:t xml:space="preserve"> </w:t>
      </w:r>
      <w:r>
        <w:t>across</w:t>
      </w:r>
      <w:r w:rsidR="00932420">
        <w:t xml:space="preserve"> </w:t>
      </w:r>
      <w:r>
        <w:t>both</w:t>
      </w:r>
      <w:r w:rsidR="00932420">
        <w:t xml:space="preserve"> </w:t>
      </w:r>
      <w:r>
        <w:t>metropolitan</w:t>
      </w:r>
      <w:r w:rsidR="00932420">
        <w:t xml:space="preserve"> </w:t>
      </w:r>
      <w:r>
        <w:t>and</w:t>
      </w:r>
      <w:r w:rsidR="00932420">
        <w:t xml:space="preserve"> </w:t>
      </w:r>
      <w:r>
        <w:t>regional</w:t>
      </w:r>
      <w:r w:rsidR="00932420">
        <w:t xml:space="preserve"> </w:t>
      </w:r>
      <w:r>
        <w:t>Victoria.</w:t>
      </w:r>
    </w:p>
    <w:p w14:paraId="089D93F9" w14:textId="0F9D8C48" w:rsidR="00CA3C5B" w:rsidRDefault="00260033" w:rsidP="0032347F">
      <w:pPr>
        <w:rPr>
          <w:lang w:val="en-US"/>
        </w:rPr>
      </w:pPr>
      <w:r>
        <w:t>With</w:t>
      </w:r>
      <w:r w:rsidR="00932420">
        <w:t xml:space="preserve"> </w:t>
      </w:r>
      <w:r>
        <w:t>the</w:t>
      </w:r>
      <w:r w:rsidR="00932420">
        <w:t xml:space="preserve"> </w:t>
      </w:r>
      <w:r>
        <w:t>strong</w:t>
      </w:r>
      <w:r w:rsidR="00932420">
        <w:t xml:space="preserve"> </w:t>
      </w:r>
      <w:r>
        <w:t>labour</w:t>
      </w:r>
      <w:r w:rsidR="00932420">
        <w:t xml:space="preserve"> </w:t>
      </w:r>
      <w:r>
        <w:t>market,</w:t>
      </w:r>
      <w:r w:rsidR="00932420">
        <w:t xml:space="preserve"> </w:t>
      </w:r>
      <w:r>
        <w:t>students</w:t>
      </w:r>
      <w:r w:rsidR="00932420">
        <w:t xml:space="preserve"> </w:t>
      </w:r>
      <w:r>
        <w:t>were</w:t>
      </w:r>
      <w:r w:rsidR="00932420">
        <w:t xml:space="preserve"> </w:t>
      </w:r>
      <w:r>
        <w:rPr>
          <w:lang w:val="en-US"/>
        </w:rPr>
        <w:t>increasingly</w:t>
      </w:r>
      <w:r w:rsidR="00932420">
        <w:rPr>
          <w:lang w:val="en-US"/>
        </w:rPr>
        <w:t xml:space="preserve"> </w:t>
      </w:r>
      <w:r>
        <w:rPr>
          <w:lang w:val="en-US"/>
        </w:rPr>
        <w:t>likely</w:t>
      </w:r>
      <w:r w:rsidR="00932420">
        <w:rPr>
          <w:lang w:val="en-US"/>
        </w:rPr>
        <w:t xml:space="preserve"> </w:t>
      </w:r>
      <w:r>
        <w:rPr>
          <w:lang w:val="en-US"/>
        </w:rPr>
        <w:t>to</w:t>
      </w:r>
      <w:r w:rsidR="00932420">
        <w:rPr>
          <w:lang w:val="en-US"/>
        </w:rPr>
        <w:t xml:space="preserve"> </w:t>
      </w:r>
      <w:r>
        <w:rPr>
          <w:lang w:val="en-US"/>
        </w:rPr>
        <w:t>be</w:t>
      </w:r>
      <w:r w:rsidR="00932420">
        <w:rPr>
          <w:lang w:val="en-US"/>
        </w:rPr>
        <w:t xml:space="preserve"> </w:t>
      </w:r>
      <w:r>
        <w:rPr>
          <w:lang w:val="en-US"/>
        </w:rPr>
        <w:t>employed</w:t>
      </w:r>
      <w:r w:rsidR="00932420">
        <w:rPr>
          <w:lang w:val="en-US"/>
        </w:rPr>
        <w:t xml:space="preserve"> </w:t>
      </w:r>
      <w:r>
        <w:rPr>
          <w:lang w:val="en-US"/>
        </w:rPr>
        <w:t>at</w:t>
      </w:r>
      <w:r w:rsidR="00932420">
        <w:rPr>
          <w:lang w:val="en-US"/>
        </w:rPr>
        <w:t xml:space="preserve"> </w:t>
      </w:r>
      <w:r>
        <w:rPr>
          <w:lang w:val="en-US"/>
        </w:rPr>
        <w:t>the</w:t>
      </w:r>
      <w:r w:rsidR="00932420">
        <w:rPr>
          <w:lang w:val="en-US"/>
        </w:rPr>
        <w:t xml:space="preserve"> </w:t>
      </w:r>
      <w:r>
        <w:rPr>
          <w:lang w:val="en-US"/>
        </w:rPr>
        <w:t>start</w:t>
      </w:r>
      <w:r w:rsidR="00932420">
        <w:rPr>
          <w:lang w:val="en-US"/>
        </w:rPr>
        <w:t xml:space="preserve"> </w:t>
      </w:r>
      <w:r>
        <w:rPr>
          <w:lang w:val="en-US"/>
        </w:rPr>
        <w:t>of</w:t>
      </w:r>
      <w:r w:rsidR="00932420">
        <w:rPr>
          <w:lang w:val="en-US"/>
        </w:rPr>
        <w:t xml:space="preserve"> </w:t>
      </w:r>
      <w:r>
        <w:rPr>
          <w:lang w:val="en-US"/>
        </w:rPr>
        <w:t>their</w:t>
      </w:r>
      <w:r w:rsidR="00932420">
        <w:rPr>
          <w:lang w:val="en-US"/>
        </w:rPr>
        <w:t xml:space="preserve"> </w:t>
      </w:r>
      <w:r>
        <w:t>training,</w:t>
      </w:r>
      <w:r w:rsidR="00932420">
        <w:t xml:space="preserve"> </w:t>
      </w:r>
      <w:r>
        <w:t>and</w:t>
      </w:r>
      <w:r w:rsidR="00932420">
        <w:t xml:space="preserve"> </w:t>
      </w:r>
      <w:r>
        <w:t>subsequently</w:t>
      </w:r>
      <w:r w:rsidR="00932420">
        <w:t xml:space="preserve"> </w:t>
      </w:r>
      <w:r>
        <w:t>complete</w:t>
      </w:r>
      <w:r w:rsidR="00932420">
        <w:t xml:space="preserve"> </w:t>
      </w:r>
      <w:r>
        <w:t>training</w:t>
      </w:r>
      <w:r w:rsidR="00932420">
        <w:t xml:space="preserve"> </w:t>
      </w:r>
      <w:r>
        <w:t>to</w:t>
      </w:r>
      <w:r w:rsidR="00932420">
        <w:t xml:space="preserve"> </w:t>
      </w:r>
      <w:r>
        <w:t>gain</w:t>
      </w:r>
      <w:r w:rsidR="00932420">
        <w:t xml:space="preserve"> </w:t>
      </w:r>
      <w:r>
        <w:rPr>
          <w:lang w:val="en-US"/>
        </w:rPr>
        <w:t>extra</w:t>
      </w:r>
      <w:r w:rsidR="00932420">
        <w:rPr>
          <w:lang w:val="en-US"/>
        </w:rPr>
        <w:t xml:space="preserve"> </w:t>
      </w:r>
      <w:r>
        <w:rPr>
          <w:lang w:val="en-US"/>
        </w:rPr>
        <w:t>skills</w:t>
      </w:r>
      <w:r w:rsidR="00932420">
        <w:rPr>
          <w:lang w:val="en-US"/>
        </w:rPr>
        <w:t xml:space="preserve"> </w:t>
      </w:r>
      <w:r>
        <w:rPr>
          <w:lang w:val="en-US"/>
        </w:rPr>
        <w:t>for</w:t>
      </w:r>
      <w:r w:rsidR="00932420">
        <w:rPr>
          <w:lang w:val="en-US"/>
        </w:rPr>
        <w:t xml:space="preserve"> </w:t>
      </w:r>
      <w:r>
        <w:rPr>
          <w:lang w:val="en-US"/>
        </w:rPr>
        <w:t>their</w:t>
      </w:r>
      <w:r w:rsidR="00932420">
        <w:rPr>
          <w:lang w:val="en-US"/>
        </w:rPr>
        <w:t xml:space="preserve"> </w:t>
      </w:r>
      <w:r>
        <w:rPr>
          <w:lang w:val="en-US"/>
        </w:rPr>
        <w:t>job.</w:t>
      </w:r>
      <w:r w:rsidR="00932420">
        <w:rPr>
          <w:lang w:val="en-US"/>
        </w:rPr>
        <w:t xml:space="preserve"> </w:t>
      </w:r>
      <w:r>
        <w:rPr>
          <w:lang w:val="en-US"/>
        </w:rPr>
        <w:t>Students</w:t>
      </w:r>
      <w:r w:rsidR="00932420">
        <w:rPr>
          <w:lang w:val="en-US"/>
        </w:rPr>
        <w:t xml:space="preserve"> </w:t>
      </w:r>
      <w:r>
        <w:rPr>
          <w:lang w:val="en-US"/>
        </w:rPr>
        <w:t>increasingly</w:t>
      </w:r>
      <w:r w:rsidR="00932420">
        <w:rPr>
          <w:lang w:val="en-US"/>
        </w:rPr>
        <w:t xml:space="preserve"> </w:t>
      </w:r>
      <w:r>
        <w:rPr>
          <w:lang w:val="en-US"/>
        </w:rPr>
        <w:t>sought</w:t>
      </w:r>
      <w:r w:rsidR="00932420">
        <w:rPr>
          <w:lang w:val="en-US"/>
        </w:rPr>
        <w:t xml:space="preserve"> </w:t>
      </w:r>
      <w:r>
        <w:rPr>
          <w:lang w:val="en-US"/>
        </w:rPr>
        <w:t>to</w:t>
      </w:r>
      <w:r w:rsidR="00932420">
        <w:rPr>
          <w:lang w:val="en-US"/>
        </w:rPr>
        <w:t xml:space="preserve"> </w:t>
      </w:r>
      <w:r>
        <w:rPr>
          <w:lang w:val="en-US"/>
        </w:rPr>
        <w:t>pursue</w:t>
      </w:r>
      <w:r w:rsidR="00932420">
        <w:rPr>
          <w:lang w:val="en-US"/>
        </w:rPr>
        <w:t xml:space="preserve"> </w:t>
      </w:r>
      <w:r>
        <w:rPr>
          <w:lang w:val="en-US"/>
        </w:rPr>
        <w:t>more</w:t>
      </w:r>
      <w:r w:rsidR="00932420">
        <w:rPr>
          <w:lang w:val="en-US"/>
        </w:rPr>
        <w:t xml:space="preserve"> </w:t>
      </w:r>
      <w:r>
        <w:rPr>
          <w:lang w:val="en-US"/>
        </w:rPr>
        <w:t>flexible</w:t>
      </w:r>
      <w:r w:rsidR="00932420">
        <w:rPr>
          <w:lang w:val="en-US"/>
        </w:rPr>
        <w:t xml:space="preserve"> </w:t>
      </w:r>
      <w:r>
        <w:rPr>
          <w:lang w:val="en-US"/>
        </w:rPr>
        <w:t>training</w:t>
      </w:r>
      <w:r w:rsidR="00932420">
        <w:rPr>
          <w:lang w:val="en-US"/>
        </w:rPr>
        <w:t xml:space="preserve"> </w:t>
      </w:r>
      <w:r>
        <w:rPr>
          <w:lang w:val="en-US"/>
        </w:rPr>
        <w:t>opportunities</w:t>
      </w:r>
      <w:r w:rsidR="00932420">
        <w:rPr>
          <w:lang w:val="en-US"/>
        </w:rPr>
        <w:t xml:space="preserve"> </w:t>
      </w:r>
      <w:r>
        <w:rPr>
          <w:lang w:val="en-US"/>
        </w:rPr>
        <w:t>beyond</w:t>
      </w:r>
      <w:r w:rsidR="00932420">
        <w:rPr>
          <w:lang w:val="en-US"/>
        </w:rPr>
        <w:t xml:space="preserve"> </w:t>
      </w:r>
      <w:r>
        <w:rPr>
          <w:lang w:val="en-US"/>
        </w:rPr>
        <w:t>full</w:t>
      </w:r>
      <w:r w:rsidR="00932420">
        <w:rPr>
          <w:lang w:val="en-US"/>
        </w:rPr>
        <w:t xml:space="preserve"> </w:t>
      </w:r>
      <w:r>
        <w:rPr>
          <w:lang w:val="en-US"/>
        </w:rPr>
        <w:t>qualifications,</w:t>
      </w:r>
      <w:r w:rsidR="00932420">
        <w:rPr>
          <w:lang w:val="en-US"/>
        </w:rPr>
        <w:t xml:space="preserve"> </w:t>
      </w:r>
      <w:r>
        <w:rPr>
          <w:lang w:val="en-US"/>
        </w:rPr>
        <w:t>such</w:t>
      </w:r>
      <w:r w:rsidR="00932420">
        <w:rPr>
          <w:lang w:val="en-US"/>
        </w:rPr>
        <w:t xml:space="preserve"> </w:t>
      </w:r>
      <w:r>
        <w:rPr>
          <w:lang w:val="en-US"/>
        </w:rPr>
        <w:t>as</w:t>
      </w:r>
      <w:r w:rsidR="00932420">
        <w:rPr>
          <w:lang w:val="en-US"/>
        </w:rPr>
        <w:t xml:space="preserve"> </w:t>
      </w:r>
      <w:r>
        <w:rPr>
          <w:lang w:val="en-US"/>
        </w:rPr>
        <w:t>skill</w:t>
      </w:r>
      <w:r w:rsidR="00932420">
        <w:rPr>
          <w:lang w:val="en-US"/>
        </w:rPr>
        <w:t xml:space="preserve"> </w:t>
      </w:r>
      <w:r>
        <w:rPr>
          <w:lang w:val="en-US"/>
        </w:rPr>
        <w:t>sets</w:t>
      </w:r>
      <w:r w:rsidR="00932420">
        <w:rPr>
          <w:lang w:val="en-US"/>
        </w:rPr>
        <w:t xml:space="preserve"> </w:t>
      </w:r>
      <w:r>
        <w:rPr>
          <w:lang w:val="en-US"/>
        </w:rPr>
        <w:t>and</w:t>
      </w:r>
      <w:r w:rsidR="00932420">
        <w:rPr>
          <w:lang w:val="en-US"/>
        </w:rPr>
        <w:t xml:space="preserve"> </w:t>
      </w:r>
      <w:r>
        <w:rPr>
          <w:lang w:val="en-US"/>
        </w:rPr>
        <w:t>more</w:t>
      </w:r>
      <w:r w:rsidR="00932420">
        <w:rPr>
          <w:lang w:val="en-US"/>
        </w:rPr>
        <w:t xml:space="preserve"> </w:t>
      </w:r>
      <w:r>
        <w:rPr>
          <w:lang w:val="en-US"/>
        </w:rPr>
        <w:t>external</w:t>
      </w:r>
      <w:r w:rsidR="00932420">
        <w:rPr>
          <w:lang w:val="en-US"/>
        </w:rPr>
        <w:t xml:space="preserve"> </w:t>
      </w:r>
      <w:r>
        <w:rPr>
          <w:lang w:val="en-US"/>
        </w:rPr>
        <w:t>delivery</w:t>
      </w:r>
      <w:r w:rsidR="00932420">
        <w:rPr>
          <w:lang w:val="en-US"/>
        </w:rPr>
        <w:t xml:space="preserve"> </w:t>
      </w:r>
      <w:r>
        <w:rPr>
          <w:lang w:val="en-US"/>
        </w:rPr>
        <w:t>modes,</w:t>
      </w:r>
      <w:r w:rsidR="00932420">
        <w:rPr>
          <w:lang w:val="en-US"/>
        </w:rPr>
        <w:t xml:space="preserve"> </w:t>
      </w:r>
      <w:r>
        <w:rPr>
          <w:lang w:val="en-US"/>
        </w:rPr>
        <w:t>including</w:t>
      </w:r>
      <w:r w:rsidR="00932420">
        <w:rPr>
          <w:lang w:val="en-US"/>
        </w:rPr>
        <w:t xml:space="preserve"> </w:t>
      </w:r>
      <w:r>
        <w:rPr>
          <w:lang w:val="en-US"/>
        </w:rPr>
        <w:t>online</w:t>
      </w:r>
      <w:r w:rsidR="00932420">
        <w:rPr>
          <w:lang w:val="en-US"/>
        </w:rPr>
        <w:t xml:space="preserve"> </w:t>
      </w:r>
      <w:r>
        <w:rPr>
          <w:lang w:val="en-US"/>
        </w:rPr>
        <w:t>and</w:t>
      </w:r>
      <w:r w:rsidR="00932420">
        <w:rPr>
          <w:lang w:val="en-US"/>
        </w:rPr>
        <w:t xml:space="preserve"> </w:t>
      </w:r>
      <w:r>
        <w:rPr>
          <w:lang w:val="en-US"/>
        </w:rPr>
        <w:t>in</w:t>
      </w:r>
      <w:r w:rsidR="00932420">
        <w:rPr>
          <w:lang w:val="en-US"/>
        </w:rPr>
        <w:t xml:space="preserve"> </w:t>
      </w:r>
      <w:r>
        <w:rPr>
          <w:lang w:val="en-US"/>
        </w:rPr>
        <w:t>the</w:t>
      </w:r>
      <w:r w:rsidR="00932420">
        <w:rPr>
          <w:lang w:val="en-US"/>
        </w:rPr>
        <w:t xml:space="preserve"> </w:t>
      </w:r>
      <w:r>
        <w:rPr>
          <w:lang w:val="en-US"/>
        </w:rPr>
        <w:t>workplace.</w:t>
      </w:r>
      <w:r w:rsidR="00932420">
        <w:rPr>
          <w:lang w:val="en-US"/>
        </w:rPr>
        <w:t xml:space="preserve"> </w:t>
      </w:r>
    </w:p>
    <w:p w14:paraId="20425D4C" w14:textId="3B82D2F8" w:rsidR="00CA3C5B" w:rsidRDefault="00260033" w:rsidP="0032347F">
      <w:pPr>
        <w:pStyle w:val="Heading2"/>
      </w:pPr>
      <w:bookmarkStart w:id="58" w:name="_Toc152067237"/>
      <w:r>
        <w:lastRenderedPageBreak/>
        <w:t>Indicator:</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bookmarkEnd w:id="58"/>
    </w:p>
    <w:p w14:paraId="2D01FC09" w14:textId="005DE720" w:rsidR="00CA3C5B" w:rsidRDefault="00260033" w:rsidP="0032347F">
      <w:pPr>
        <w:pStyle w:val="TableHeading"/>
      </w:pPr>
      <w:r>
        <w:t>Table</w:t>
      </w:r>
      <w:r w:rsidR="00932420">
        <w:t xml:space="preserve"> </w:t>
      </w:r>
      <w:r>
        <w:t>29:</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p>
    <w:tbl>
      <w:tblPr>
        <w:tblStyle w:val="TableGrid"/>
        <w:tblW w:w="0" w:type="auto"/>
        <w:tblLayout w:type="fixed"/>
        <w:tblLook w:val="0020" w:firstRow="1" w:lastRow="0" w:firstColumn="0" w:lastColumn="0" w:noHBand="0" w:noVBand="0"/>
      </w:tblPr>
      <w:tblGrid>
        <w:gridCol w:w="5102"/>
        <w:gridCol w:w="1134"/>
        <w:gridCol w:w="1134"/>
        <w:gridCol w:w="1134"/>
        <w:gridCol w:w="1134"/>
      </w:tblGrid>
      <w:tr w:rsidR="00CA3C5B" w14:paraId="5FBDC401" w14:textId="77777777" w:rsidTr="0032347F">
        <w:trPr>
          <w:cantSplit/>
        </w:trPr>
        <w:tc>
          <w:tcPr>
            <w:tcW w:w="5102" w:type="dxa"/>
          </w:tcPr>
          <w:p w14:paraId="402EAD6D" w14:textId="17C08685" w:rsidR="00CA3C5B" w:rsidRDefault="00260033" w:rsidP="0032347F">
            <w:pPr>
              <w:pStyle w:val="TableColumnHeading"/>
            </w:pPr>
            <w:bookmarkStart w:id="59" w:name="ColumnTitle_30"/>
            <w:bookmarkEnd w:id="59"/>
            <w:r>
              <w:t>Measure</w:t>
            </w:r>
            <w:r w:rsidR="00932420">
              <w:t xml:space="preserve"> </w:t>
            </w:r>
            <w:r>
              <w:t>(unit</w:t>
            </w:r>
            <w:r w:rsidR="00932420">
              <w:t xml:space="preserve"> </w:t>
            </w:r>
            <w:r>
              <w:t>of</w:t>
            </w:r>
            <w:r w:rsidR="00932420">
              <w:t xml:space="preserve"> </w:t>
            </w:r>
            <w:r>
              <w:t>measure)</w:t>
            </w:r>
          </w:p>
        </w:tc>
        <w:tc>
          <w:tcPr>
            <w:tcW w:w="1134" w:type="dxa"/>
          </w:tcPr>
          <w:p w14:paraId="59C0055D" w14:textId="77777777" w:rsidR="00CA3C5B" w:rsidRDefault="00260033" w:rsidP="0032347F">
            <w:pPr>
              <w:pStyle w:val="TableColumnHeading"/>
              <w:jc w:val="right"/>
            </w:pPr>
            <w:r>
              <w:t>2019–20</w:t>
            </w:r>
          </w:p>
        </w:tc>
        <w:tc>
          <w:tcPr>
            <w:tcW w:w="1134" w:type="dxa"/>
          </w:tcPr>
          <w:p w14:paraId="369AA7AA" w14:textId="77777777" w:rsidR="00CA3C5B" w:rsidRDefault="00260033" w:rsidP="0032347F">
            <w:pPr>
              <w:pStyle w:val="TableColumnHeading"/>
              <w:jc w:val="right"/>
            </w:pPr>
            <w:r>
              <w:t>2020–21</w:t>
            </w:r>
          </w:p>
        </w:tc>
        <w:tc>
          <w:tcPr>
            <w:tcW w:w="1134" w:type="dxa"/>
          </w:tcPr>
          <w:p w14:paraId="661EE74B" w14:textId="77777777" w:rsidR="00CA3C5B" w:rsidRDefault="00260033" w:rsidP="0032347F">
            <w:pPr>
              <w:pStyle w:val="TableColumnHeading"/>
              <w:jc w:val="right"/>
            </w:pPr>
            <w:r>
              <w:t>2021–22</w:t>
            </w:r>
          </w:p>
        </w:tc>
        <w:tc>
          <w:tcPr>
            <w:tcW w:w="1134" w:type="dxa"/>
          </w:tcPr>
          <w:p w14:paraId="4A9C0D79" w14:textId="77777777" w:rsidR="00CA3C5B" w:rsidRDefault="00260033" w:rsidP="0032347F">
            <w:pPr>
              <w:pStyle w:val="TableColumnHeading"/>
              <w:jc w:val="right"/>
            </w:pPr>
            <w:r>
              <w:rPr>
                <w:lang w:val="en-US"/>
              </w:rPr>
              <w:t>2022–23</w:t>
            </w:r>
          </w:p>
        </w:tc>
      </w:tr>
      <w:tr w:rsidR="00CA3C5B" w14:paraId="3FAFCF99" w14:textId="77777777" w:rsidTr="0032347F">
        <w:trPr>
          <w:cantSplit/>
        </w:trPr>
        <w:tc>
          <w:tcPr>
            <w:tcW w:w="5102" w:type="dxa"/>
          </w:tcPr>
          <w:p w14:paraId="0E154D88" w14:textId="2FCC8267" w:rsidR="00CA3C5B" w:rsidRDefault="00260033" w:rsidP="0032347F">
            <w:pPr>
              <w:pStyle w:val="TableCopy"/>
            </w:pPr>
            <w:r>
              <w:t>Proportion</w:t>
            </w:r>
            <w:r w:rsidR="00932420">
              <w:t xml:space="preserve"> </w:t>
            </w:r>
            <w:r>
              <w:t>of</w:t>
            </w:r>
            <w:r w:rsidR="00932420">
              <w:t xml:space="preserve"> </w:t>
            </w:r>
            <w:r>
              <w:t>VET</w:t>
            </w:r>
            <w:r w:rsidR="00932420">
              <w:t xml:space="preserve"> </w:t>
            </w:r>
            <w:r>
              <w:t>students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r w:rsidR="00932420">
              <w:t xml:space="preserve"> </w:t>
            </w:r>
            <w:r>
              <w:t>(%)</w:t>
            </w:r>
          </w:p>
        </w:tc>
        <w:tc>
          <w:tcPr>
            <w:tcW w:w="1134" w:type="dxa"/>
          </w:tcPr>
          <w:p w14:paraId="624C14D9" w14:textId="77777777" w:rsidR="00CA3C5B" w:rsidRDefault="00260033" w:rsidP="0032347F">
            <w:pPr>
              <w:pStyle w:val="TableCopy"/>
              <w:jc w:val="right"/>
            </w:pPr>
            <w:r>
              <w:t>83.5</w:t>
            </w:r>
          </w:p>
        </w:tc>
        <w:tc>
          <w:tcPr>
            <w:tcW w:w="1134" w:type="dxa"/>
          </w:tcPr>
          <w:p w14:paraId="1BC8BCC0" w14:textId="77777777" w:rsidR="00CA3C5B" w:rsidRDefault="00260033" w:rsidP="0032347F">
            <w:pPr>
              <w:pStyle w:val="TableCopy"/>
              <w:jc w:val="right"/>
            </w:pPr>
            <w:r>
              <w:t>85.1</w:t>
            </w:r>
          </w:p>
        </w:tc>
        <w:tc>
          <w:tcPr>
            <w:tcW w:w="1134" w:type="dxa"/>
          </w:tcPr>
          <w:p w14:paraId="7EFDC526" w14:textId="77777777" w:rsidR="00CA3C5B" w:rsidRDefault="00260033" w:rsidP="0032347F">
            <w:pPr>
              <w:pStyle w:val="TableCopy"/>
              <w:jc w:val="right"/>
            </w:pPr>
            <w:r>
              <w:t>85.3</w:t>
            </w:r>
          </w:p>
        </w:tc>
        <w:tc>
          <w:tcPr>
            <w:tcW w:w="1134" w:type="dxa"/>
          </w:tcPr>
          <w:p w14:paraId="688133DF" w14:textId="77777777" w:rsidR="00CA3C5B" w:rsidRDefault="00260033" w:rsidP="0032347F">
            <w:pPr>
              <w:pStyle w:val="TableCopy"/>
              <w:jc w:val="right"/>
            </w:pPr>
            <w:r>
              <w:rPr>
                <w:lang w:val="en-US"/>
              </w:rPr>
              <w:t>89.2</w:t>
            </w:r>
          </w:p>
        </w:tc>
      </w:tr>
    </w:tbl>
    <w:p w14:paraId="56BBF566" w14:textId="77777777" w:rsidR="00CA3C5B" w:rsidRDefault="00CA3C5B" w:rsidP="0032347F"/>
    <w:p w14:paraId="03C23B93" w14:textId="5984997C" w:rsidR="00CA3C5B" w:rsidRDefault="00260033" w:rsidP="0032347F">
      <w:pPr>
        <w:pStyle w:val="FigureHeading"/>
      </w:pPr>
      <w:r>
        <w:t>Figure</w:t>
      </w:r>
      <w:r w:rsidR="00932420">
        <w:t xml:space="preserve"> </w:t>
      </w:r>
      <w:r>
        <w:t>28:</w:t>
      </w:r>
      <w:r w:rsidR="00932420">
        <w:t xml:space="preserve"> </w:t>
      </w:r>
      <w:r>
        <w:t>Proportion</w:t>
      </w:r>
      <w:r w:rsidR="00932420">
        <w:t xml:space="preserve"> </w:t>
      </w:r>
      <w:r>
        <w:t>of</w:t>
      </w:r>
      <w:r w:rsidR="00932420">
        <w:t xml:space="preserve"> </w:t>
      </w:r>
      <w:r>
        <w:t>VET</w:t>
      </w:r>
      <w:r w:rsidR="00932420">
        <w:t xml:space="preserve"> </w:t>
      </w:r>
      <w:r>
        <w:t>students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p>
    <w:p w14:paraId="4D7430FF" w14:textId="2491FCC2" w:rsidR="00CA3C5B" w:rsidRDefault="0032347F" w:rsidP="0032347F">
      <w:r>
        <w:rPr>
          <w:noProof/>
        </w:rPr>
        <w:drawing>
          <wp:inline distT="0" distB="0" distL="0" distR="0" wp14:anchorId="0F9A765F" wp14:editId="28FCAB0F">
            <wp:extent cx="3240912" cy="2168297"/>
            <wp:effectExtent l="0" t="0" r="0" b="3810"/>
            <wp:docPr id="28" name="Picture 28" descr="Figure 28: Proportion of VET students who achieved their main reason for training graph. Data in tabl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gure 28: Proportion of VET students who achieved their main reason for training graph. Data in table above."/>
                    <pic:cNvPicPr/>
                  </pic:nvPicPr>
                  <pic:blipFill>
                    <a:blip r:embed="rId37"/>
                    <a:stretch>
                      <a:fillRect/>
                    </a:stretch>
                  </pic:blipFill>
                  <pic:spPr>
                    <a:xfrm>
                      <a:off x="0" y="0"/>
                      <a:ext cx="3248004" cy="2173042"/>
                    </a:xfrm>
                    <a:prstGeom prst="rect">
                      <a:avLst/>
                    </a:prstGeom>
                  </pic:spPr>
                </pic:pic>
              </a:graphicData>
            </a:graphic>
          </wp:inline>
        </w:drawing>
      </w:r>
    </w:p>
    <w:p w14:paraId="78F4D725" w14:textId="1D147DD1" w:rsidR="00CA3C5B" w:rsidRDefault="00260033" w:rsidP="0032347F">
      <w:r>
        <w:t>The</w:t>
      </w:r>
      <w:r w:rsidR="00932420">
        <w:t xml:space="preserve"> </w:t>
      </w:r>
      <w:r>
        <w:t>steady</w:t>
      </w:r>
      <w:r w:rsidR="00932420">
        <w:t xml:space="preserve"> </w:t>
      </w:r>
      <w:r>
        <w:t>increase</w:t>
      </w:r>
      <w:r w:rsidR="00932420">
        <w:t xml:space="preserve"> </w:t>
      </w:r>
      <w:r>
        <w:t>in</w:t>
      </w:r>
      <w:r w:rsidR="00932420">
        <w:t xml:space="preserve"> </w:t>
      </w:r>
      <w:r>
        <w:t>this</w:t>
      </w:r>
      <w:r w:rsidR="00932420">
        <w:t xml:space="preserve"> </w:t>
      </w:r>
      <w:r>
        <w:t>measure</w:t>
      </w:r>
      <w:r w:rsidR="00932420">
        <w:t xml:space="preserve"> </w:t>
      </w:r>
      <w:r>
        <w:t>over</w:t>
      </w:r>
      <w:r w:rsidR="00932420">
        <w:t xml:space="preserve"> </w:t>
      </w:r>
      <w:r>
        <w:t>the</w:t>
      </w:r>
      <w:r w:rsidR="00932420">
        <w:t xml:space="preserve"> </w:t>
      </w:r>
      <w:r>
        <w:t>past</w:t>
      </w:r>
      <w:r w:rsidR="00932420">
        <w:t xml:space="preserve"> </w:t>
      </w:r>
      <w:r>
        <w:t>4</w:t>
      </w:r>
      <w:r w:rsidR="00932420">
        <w:t xml:space="preserve"> </w:t>
      </w:r>
      <w:r>
        <w:t>years</w:t>
      </w:r>
      <w:r w:rsidR="00932420">
        <w:t xml:space="preserve"> </w:t>
      </w:r>
      <w:r>
        <w:t>speaks</w:t>
      </w:r>
      <w:r w:rsidR="00932420">
        <w:t xml:space="preserve"> </w:t>
      </w:r>
      <w:r>
        <w:t>to</w:t>
      </w:r>
      <w:r w:rsidR="00932420">
        <w:t xml:space="preserve"> </w:t>
      </w:r>
      <w:r>
        <w:t>the</w:t>
      </w:r>
      <w:r w:rsidR="00932420">
        <w:t xml:space="preserve"> </w:t>
      </w:r>
      <w:r>
        <w:t>alignment</w:t>
      </w:r>
      <w:r w:rsidR="00932420">
        <w:t xml:space="preserve"> </w:t>
      </w:r>
      <w:r>
        <w:t>between</w:t>
      </w:r>
      <w:r w:rsidR="00932420">
        <w:t xml:space="preserve"> </w:t>
      </w:r>
      <w:r>
        <w:t>training,</w:t>
      </w:r>
      <w:r w:rsidR="00932420">
        <w:t xml:space="preserve"> </w:t>
      </w:r>
      <w:r>
        <w:t>job</w:t>
      </w:r>
      <w:r w:rsidR="00932420">
        <w:t xml:space="preserve"> </w:t>
      </w:r>
      <w:r>
        <w:t>prospects</w:t>
      </w:r>
      <w:r w:rsidR="00932420">
        <w:t xml:space="preserve"> </w:t>
      </w:r>
      <w:r>
        <w:t>and</w:t>
      </w:r>
      <w:r w:rsidR="00932420">
        <w:t xml:space="preserve"> </w:t>
      </w:r>
      <w:r>
        <w:t>attainment.</w:t>
      </w:r>
      <w:r w:rsidR="00932420">
        <w:t xml:space="preserve"> </w:t>
      </w:r>
      <w:r>
        <w:t>The</w:t>
      </w:r>
      <w:r w:rsidR="00932420">
        <w:t xml:space="preserve"> </w:t>
      </w:r>
      <w:r>
        <w:t>2022–23</w:t>
      </w:r>
      <w:r w:rsidR="00932420">
        <w:t xml:space="preserve"> </w:t>
      </w:r>
      <w:r>
        <w:t>result</w:t>
      </w:r>
      <w:r w:rsidR="00932420">
        <w:t xml:space="preserve"> </w:t>
      </w:r>
      <w:r>
        <w:t>of</w:t>
      </w:r>
      <w:r w:rsidR="00932420">
        <w:t xml:space="preserve"> </w:t>
      </w:r>
      <w:r>
        <w:t>89.2%</w:t>
      </w:r>
      <w:r w:rsidR="00932420">
        <w:t xml:space="preserve"> </w:t>
      </w:r>
      <w:r>
        <w:t>is</w:t>
      </w:r>
      <w:r w:rsidR="00932420">
        <w:t xml:space="preserve"> </w:t>
      </w:r>
      <w:r>
        <w:t>an</w:t>
      </w:r>
      <w:r w:rsidR="00932420">
        <w:t xml:space="preserve"> </w:t>
      </w:r>
      <w:r>
        <w:t>increase</w:t>
      </w:r>
      <w:r w:rsidR="00932420">
        <w:t xml:space="preserve"> </w:t>
      </w:r>
      <w:r>
        <w:t>of</w:t>
      </w:r>
      <w:r w:rsidR="00932420">
        <w:t xml:space="preserve"> </w:t>
      </w:r>
      <w:r>
        <w:t>6.8%</w:t>
      </w:r>
      <w:r w:rsidR="00932420">
        <w:t xml:space="preserve"> </w:t>
      </w:r>
      <w:r>
        <w:t>over</w:t>
      </w:r>
      <w:r w:rsidR="00932420">
        <w:t xml:space="preserve"> </w:t>
      </w:r>
      <w:r>
        <w:t>the</w:t>
      </w:r>
      <w:r w:rsidR="00932420">
        <w:t xml:space="preserve"> </w:t>
      </w:r>
      <w:r>
        <w:t>2019–20</w:t>
      </w:r>
      <w:r w:rsidR="00932420">
        <w:t xml:space="preserve"> </w:t>
      </w:r>
      <w:r>
        <w:t>result</w:t>
      </w:r>
      <w:r w:rsidR="00932420">
        <w:t xml:space="preserve"> </w:t>
      </w:r>
      <w:r>
        <w:t>of</w:t>
      </w:r>
      <w:r w:rsidR="00932420">
        <w:t xml:space="preserve"> </w:t>
      </w:r>
      <w:r>
        <w:t>83.5%.</w:t>
      </w:r>
    </w:p>
    <w:p w14:paraId="63EE9841" w14:textId="28073369" w:rsidR="00CA3C5B" w:rsidRDefault="00260033" w:rsidP="0032347F">
      <w:r>
        <w:t>VET</w:t>
      </w:r>
      <w:r w:rsidR="00932420">
        <w:t xml:space="preserve"> </w:t>
      </w:r>
      <w:r>
        <w:t>students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r w:rsidR="00932420">
        <w:t xml:space="preserve"> </w:t>
      </w:r>
      <w:r>
        <w:t>were</w:t>
      </w:r>
      <w:r w:rsidR="00932420">
        <w:t xml:space="preserve"> </w:t>
      </w:r>
      <w:r>
        <w:t>well</w:t>
      </w:r>
      <w:r w:rsidR="00932420">
        <w:t xml:space="preserve"> </w:t>
      </w:r>
      <w:r>
        <w:t>positioned</w:t>
      </w:r>
      <w:r w:rsidR="00932420">
        <w:t xml:space="preserve"> </w:t>
      </w:r>
      <w:r>
        <w:t>to</w:t>
      </w:r>
      <w:r w:rsidR="00932420">
        <w:t xml:space="preserve"> </w:t>
      </w:r>
      <w:r>
        <w:t>get</w:t>
      </w:r>
      <w:r w:rsidR="00932420">
        <w:t xml:space="preserve"> </w:t>
      </w:r>
      <w:r>
        <w:t>a</w:t>
      </w:r>
      <w:r w:rsidR="00932420">
        <w:t xml:space="preserve"> </w:t>
      </w:r>
      <w:r>
        <w:t>job</w:t>
      </w:r>
      <w:r w:rsidR="00932420">
        <w:t xml:space="preserve"> </w:t>
      </w:r>
      <w:r>
        <w:t>or</w:t>
      </w:r>
      <w:r w:rsidR="00932420">
        <w:t xml:space="preserve"> </w:t>
      </w:r>
      <w:r>
        <w:t>improve</w:t>
      </w:r>
      <w:r w:rsidR="00932420">
        <w:t xml:space="preserve"> </w:t>
      </w:r>
      <w:r>
        <w:rPr>
          <w:spacing w:val="-1"/>
        </w:rPr>
        <w:t>their</w:t>
      </w:r>
      <w:r w:rsidR="00932420">
        <w:rPr>
          <w:spacing w:val="-1"/>
        </w:rPr>
        <w:t xml:space="preserve"> </w:t>
      </w:r>
      <w:r>
        <w:rPr>
          <w:spacing w:val="-1"/>
        </w:rPr>
        <w:t>employment</w:t>
      </w:r>
      <w:r w:rsidR="00932420">
        <w:rPr>
          <w:spacing w:val="-1"/>
        </w:rPr>
        <w:t xml:space="preserve"> </w:t>
      </w:r>
      <w:r>
        <w:rPr>
          <w:spacing w:val="-1"/>
        </w:rPr>
        <w:t>status</w:t>
      </w:r>
      <w:r w:rsidR="00932420">
        <w:rPr>
          <w:spacing w:val="-1"/>
        </w:rPr>
        <w:t xml:space="preserve"> </w:t>
      </w:r>
      <w:r>
        <w:rPr>
          <w:spacing w:val="-1"/>
        </w:rPr>
        <w:t>in</w:t>
      </w:r>
      <w:r w:rsidR="00932420">
        <w:rPr>
          <w:spacing w:val="-1"/>
        </w:rPr>
        <w:t xml:space="preserve"> </w:t>
      </w:r>
      <w:r>
        <w:rPr>
          <w:spacing w:val="-1"/>
        </w:rPr>
        <w:t>the</w:t>
      </w:r>
      <w:r w:rsidR="00932420">
        <w:rPr>
          <w:spacing w:val="-1"/>
        </w:rPr>
        <w:t xml:space="preserve"> </w:t>
      </w:r>
      <w:r>
        <w:rPr>
          <w:spacing w:val="-1"/>
        </w:rPr>
        <w:t>strong</w:t>
      </w:r>
      <w:r w:rsidR="00932420">
        <w:rPr>
          <w:spacing w:val="-1"/>
        </w:rPr>
        <w:t xml:space="preserve"> </w:t>
      </w:r>
      <w:r>
        <w:rPr>
          <w:spacing w:val="-1"/>
        </w:rPr>
        <w:t>labour</w:t>
      </w:r>
      <w:r w:rsidR="00932420">
        <w:rPr>
          <w:spacing w:val="-1"/>
        </w:rPr>
        <w:t xml:space="preserve"> </w:t>
      </w:r>
      <w:r>
        <w:rPr>
          <w:spacing w:val="-1"/>
        </w:rPr>
        <w:t>market.</w:t>
      </w:r>
      <w:r w:rsidR="00932420">
        <w:rPr>
          <w:spacing w:val="-1"/>
        </w:rPr>
        <w:t xml:space="preserve"> </w:t>
      </w:r>
      <w:r>
        <w:rPr>
          <w:spacing w:val="1"/>
        </w:rPr>
        <w:t>Priority</w:t>
      </w:r>
      <w:r w:rsidR="00932420">
        <w:rPr>
          <w:spacing w:val="1"/>
        </w:rPr>
        <w:t xml:space="preserve"> </w:t>
      </w:r>
      <w:r>
        <w:rPr>
          <w:spacing w:val="1"/>
        </w:rPr>
        <w:t>areas</w:t>
      </w:r>
      <w:r w:rsidR="00932420">
        <w:rPr>
          <w:spacing w:val="1"/>
        </w:rPr>
        <w:t xml:space="preserve"> </w:t>
      </w:r>
      <w:r>
        <w:rPr>
          <w:spacing w:val="1"/>
        </w:rPr>
        <w:t>such</w:t>
      </w:r>
      <w:r w:rsidR="00932420">
        <w:rPr>
          <w:spacing w:val="1"/>
        </w:rPr>
        <w:t xml:space="preserve"> </w:t>
      </w:r>
      <w:r>
        <w:rPr>
          <w:spacing w:val="1"/>
        </w:rPr>
        <w:t>as</w:t>
      </w:r>
      <w:r w:rsidR="00932420">
        <w:rPr>
          <w:spacing w:val="1"/>
        </w:rPr>
        <w:t xml:space="preserve"> </w:t>
      </w:r>
      <w:r>
        <w:rPr>
          <w:spacing w:val="1"/>
        </w:rPr>
        <w:t>the</w:t>
      </w:r>
      <w:r w:rsidR="00932420">
        <w:rPr>
          <w:spacing w:val="1"/>
        </w:rPr>
        <w:t xml:space="preserve"> </w:t>
      </w:r>
      <w:r>
        <w:rPr>
          <w:spacing w:val="1"/>
        </w:rPr>
        <w:t>care</w:t>
      </w:r>
      <w:r w:rsidR="00932420">
        <w:rPr>
          <w:spacing w:val="1"/>
        </w:rPr>
        <w:t xml:space="preserve"> </w:t>
      </w:r>
      <w:r>
        <w:rPr>
          <w:spacing w:val="1"/>
        </w:rPr>
        <w:t>economy,</w:t>
      </w:r>
      <w:r w:rsidR="00932420">
        <w:rPr>
          <w:spacing w:val="1"/>
        </w:rPr>
        <w:t xml:space="preserve"> </w:t>
      </w:r>
      <w:r>
        <w:rPr>
          <w:spacing w:val="1"/>
        </w:rPr>
        <w:t>clean</w:t>
      </w:r>
      <w:r w:rsidR="00932420">
        <w:rPr>
          <w:spacing w:val="1"/>
        </w:rPr>
        <w:t xml:space="preserve"> </w:t>
      </w:r>
      <w:r>
        <w:t>economy</w:t>
      </w:r>
      <w:r w:rsidR="00932420">
        <w:t xml:space="preserve"> </w:t>
      </w:r>
      <w:r>
        <w:t>and</w:t>
      </w:r>
      <w:r w:rsidR="00932420">
        <w:t xml:space="preserve"> </w:t>
      </w:r>
      <w:r>
        <w:t>the</w:t>
      </w:r>
      <w:r w:rsidR="00932420">
        <w:t xml:space="preserve"> </w:t>
      </w:r>
      <w:r>
        <w:t>Big</w:t>
      </w:r>
      <w:r w:rsidR="00932420">
        <w:t xml:space="preserve"> </w:t>
      </w:r>
      <w:r>
        <w:t>Build</w:t>
      </w:r>
      <w:r w:rsidR="00932420">
        <w:t xml:space="preserve"> </w:t>
      </w:r>
      <w:r>
        <w:t>infrastructure</w:t>
      </w:r>
      <w:r w:rsidR="00932420">
        <w:t xml:space="preserve"> </w:t>
      </w:r>
      <w:r>
        <w:t>program</w:t>
      </w:r>
      <w:r w:rsidR="00932420">
        <w:t xml:space="preserve"> </w:t>
      </w:r>
      <w:r>
        <w:t>were</w:t>
      </w:r>
      <w:r w:rsidR="00932420">
        <w:t xml:space="preserve"> </w:t>
      </w:r>
      <w:r>
        <w:t>attractive</w:t>
      </w:r>
      <w:r w:rsidR="00932420">
        <w:t xml:space="preserve"> </w:t>
      </w:r>
      <w:r>
        <w:t>options</w:t>
      </w:r>
      <w:r w:rsidR="00932420">
        <w:t xml:space="preserve"> </w:t>
      </w:r>
      <w:r>
        <w:t>for</w:t>
      </w:r>
      <w:r w:rsidR="00932420">
        <w:t xml:space="preserve"> </w:t>
      </w:r>
      <w:r>
        <w:t>students</w:t>
      </w:r>
      <w:r w:rsidR="00932420">
        <w:t xml:space="preserve"> </w:t>
      </w:r>
      <w:r>
        <w:t>who</w:t>
      </w:r>
      <w:r w:rsidR="00932420">
        <w:t xml:space="preserve"> </w:t>
      </w:r>
      <w:r>
        <w:t>benefitted</w:t>
      </w:r>
      <w:r w:rsidR="00932420">
        <w:t xml:space="preserve"> </w:t>
      </w:r>
      <w:r>
        <w:rPr>
          <w:spacing w:val="1"/>
        </w:rPr>
        <w:t>from</w:t>
      </w:r>
      <w:r w:rsidR="00932420">
        <w:rPr>
          <w:spacing w:val="1"/>
        </w:rPr>
        <w:t xml:space="preserve"> </w:t>
      </w:r>
      <w:r>
        <w:rPr>
          <w:spacing w:val="1"/>
        </w:rPr>
        <w:t>strong</w:t>
      </w:r>
      <w:r w:rsidR="00932420">
        <w:rPr>
          <w:spacing w:val="1"/>
        </w:rPr>
        <w:t xml:space="preserve"> </w:t>
      </w:r>
      <w:r>
        <w:rPr>
          <w:spacing w:val="1"/>
        </w:rPr>
        <w:t>links</w:t>
      </w:r>
      <w:r w:rsidR="00932420">
        <w:rPr>
          <w:spacing w:val="1"/>
        </w:rPr>
        <w:t xml:space="preserve"> </w:t>
      </w:r>
      <w:r>
        <w:rPr>
          <w:spacing w:val="1"/>
        </w:rPr>
        <w:t>between</w:t>
      </w:r>
      <w:r w:rsidR="00932420">
        <w:rPr>
          <w:spacing w:val="1"/>
        </w:rPr>
        <w:t xml:space="preserve"> </w:t>
      </w:r>
      <w:r>
        <w:rPr>
          <w:spacing w:val="1"/>
        </w:rPr>
        <w:t>training</w:t>
      </w:r>
      <w:r w:rsidR="00932420">
        <w:rPr>
          <w:spacing w:val="1"/>
        </w:rPr>
        <w:t xml:space="preserve"> </w:t>
      </w:r>
      <w:r>
        <w:rPr>
          <w:spacing w:val="1"/>
        </w:rPr>
        <w:t>and</w:t>
      </w:r>
      <w:r w:rsidR="00932420">
        <w:rPr>
          <w:spacing w:val="1"/>
        </w:rPr>
        <w:t xml:space="preserve"> </w:t>
      </w:r>
      <w:r>
        <w:rPr>
          <w:spacing w:val="1"/>
        </w:rPr>
        <w:t>these</w:t>
      </w:r>
      <w:r w:rsidR="00932420">
        <w:rPr>
          <w:spacing w:val="1"/>
        </w:rPr>
        <w:t xml:space="preserve"> </w:t>
      </w:r>
      <w:r>
        <w:rPr>
          <w:spacing w:val="1"/>
        </w:rPr>
        <w:t>sectors.</w:t>
      </w:r>
      <w:r w:rsidR="00932420">
        <w:rPr>
          <w:spacing w:val="1"/>
        </w:rPr>
        <w:t xml:space="preserve"> </w:t>
      </w:r>
      <w:r>
        <w:rPr>
          <w:spacing w:val="1"/>
        </w:rPr>
        <w:t>This</w:t>
      </w:r>
      <w:r w:rsidR="00932420">
        <w:rPr>
          <w:spacing w:val="1"/>
        </w:rPr>
        <w:t xml:space="preserve"> </w:t>
      </w:r>
      <w:r>
        <w:rPr>
          <w:spacing w:val="1"/>
        </w:rPr>
        <w:t>allowed</w:t>
      </w:r>
      <w:r w:rsidR="00932420">
        <w:rPr>
          <w:spacing w:val="1"/>
        </w:rPr>
        <w:t xml:space="preserve"> </w:t>
      </w:r>
      <w:r>
        <w:rPr>
          <w:spacing w:val="1"/>
        </w:rPr>
        <w:t>Victorians</w:t>
      </w:r>
      <w:r w:rsidR="00932420">
        <w:rPr>
          <w:spacing w:val="1"/>
        </w:rPr>
        <w:t xml:space="preserve"> </w:t>
      </w:r>
      <w:r>
        <w:rPr>
          <w:spacing w:val="1"/>
        </w:rPr>
        <w:t>to</w:t>
      </w:r>
      <w:r w:rsidR="00932420">
        <w:rPr>
          <w:spacing w:val="1"/>
        </w:rPr>
        <w:t xml:space="preserve"> </w:t>
      </w:r>
      <w:r>
        <w:rPr>
          <w:spacing w:val="1"/>
        </w:rPr>
        <w:t>complete</w:t>
      </w:r>
      <w:r w:rsidR="00932420">
        <w:rPr>
          <w:spacing w:val="1"/>
        </w:rPr>
        <w:t xml:space="preserve"> </w:t>
      </w:r>
      <w:r>
        <w:t>purposeful</w:t>
      </w:r>
      <w:r w:rsidR="00932420">
        <w:t xml:space="preserve"> </w:t>
      </w:r>
      <w:r>
        <w:t>training,</w:t>
      </w:r>
      <w:r w:rsidR="00932420">
        <w:t xml:space="preserve"> </w:t>
      </w:r>
      <w:r>
        <w:t>achieve</w:t>
      </w:r>
      <w:r w:rsidR="00932420">
        <w:t xml:space="preserve"> </w:t>
      </w:r>
      <w:r>
        <w:t>their</w:t>
      </w:r>
      <w:r w:rsidR="00932420">
        <w:t xml:space="preserve"> </w:t>
      </w:r>
      <w:r>
        <w:t>personal</w:t>
      </w:r>
      <w:r w:rsidR="00932420">
        <w:t xml:space="preserve"> </w:t>
      </w:r>
      <w:r>
        <w:t>goals</w:t>
      </w:r>
      <w:r w:rsidR="00932420">
        <w:t xml:space="preserve"> </w:t>
      </w:r>
      <w:r>
        <w:t>and</w:t>
      </w:r>
      <w:r w:rsidR="00932420">
        <w:t xml:space="preserve"> </w:t>
      </w:r>
      <w:r>
        <w:t>be</w:t>
      </w:r>
      <w:r w:rsidR="00932420">
        <w:t xml:space="preserve"> </w:t>
      </w:r>
      <w:r>
        <w:t>gainfully</w:t>
      </w:r>
      <w:r w:rsidR="00932420">
        <w:t xml:space="preserve"> </w:t>
      </w:r>
      <w:r>
        <w:t>employed.</w:t>
      </w:r>
    </w:p>
    <w:p w14:paraId="568BAA49" w14:textId="5A1250B3" w:rsidR="00CA3C5B" w:rsidRDefault="00260033" w:rsidP="0032347F">
      <w:pPr>
        <w:pStyle w:val="Heading2"/>
      </w:pPr>
      <w:bookmarkStart w:id="60" w:name="_Toc152067238"/>
      <w:r>
        <w:t>Performance</w:t>
      </w:r>
      <w:r w:rsidR="00932420">
        <w:t xml:space="preserve"> </w:t>
      </w:r>
      <w:r>
        <w:t>against</w:t>
      </w:r>
      <w:r w:rsidR="00932420">
        <w:t xml:space="preserve"> </w:t>
      </w:r>
      <w:r>
        <w:t>output</w:t>
      </w:r>
      <w:r w:rsidR="00932420">
        <w:t xml:space="preserve"> </w:t>
      </w:r>
      <w:r>
        <w:t>performance</w:t>
      </w:r>
      <w:r w:rsidR="00932420">
        <w:t xml:space="preserve"> </w:t>
      </w:r>
      <w:r>
        <w:t>measures</w:t>
      </w:r>
      <w:bookmarkEnd w:id="60"/>
    </w:p>
    <w:p w14:paraId="4710A7C8" w14:textId="64DCEBEB" w:rsidR="00CA3C5B" w:rsidRDefault="00260033" w:rsidP="0032347F">
      <w:r>
        <w:t>Table</w:t>
      </w:r>
      <w:r w:rsidR="00932420">
        <w:t xml:space="preserve"> </w:t>
      </w:r>
      <w:r>
        <w:t>30</w:t>
      </w:r>
      <w:r w:rsidR="00932420">
        <w:t xml:space="preserve"> </w:t>
      </w:r>
      <w:r>
        <w:t>represents</w:t>
      </w:r>
      <w:r w:rsidR="00932420">
        <w:t xml:space="preserve"> </w:t>
      </w:r>
      <w:r>
        <w:t>performance</w:t>
      </w:r>
      <w:r w:rsidR="00932420">
        <w:t xml:space="preserve"> </w:t>
      </w:r>
      <w:r>
        <w:t>against</w:t>
      </w:r>
      <w:r w:rsidR="00932420">
        <w:t xml:space="preserve"> </w:t>
      </w:r>
      <w:r>
        <w:t>the</w:t>
      </w:r>
      <w:r w:rsidR="00932420">
        <w:t xml:space="preserve"> </w:t>
      </w:r>
      <w:r>
        <w:t>Training,</w:t>
      </w:r>
      <w:r w:rsidR="00932420">
        <w:t xml:space="preserve"> </w:t>
      </w:r>
      <w:r>
        <w:t>Higher</w:t>
      </w:r>
      <w:r w:rsidR="00932420">
        <w:t xml:space="preserve"> </w:t>
      </w:r>
      <w:r>
        <w:t>Education</w:t>
      </w:r>
      <w:r w:rsidR="00932420">
        <w:t xml:space="preserve"> </w:t>
      </w:r>
      <w:r>
        <w:t>and</w:t>
      </w:r>
      <w:r w:rsidR="00932420">
        <w:t xml:space="preserve"> </w:t>
      </w:r>
      <w:r>
        <w:t>Workforce</w:t>
      </w:r>
      <w:r w:rsidR="00932420">
        <w:t xml:space="preserve"> </w:t>
      </w:r>
      <w:r>
        <w:t>Development</w:t>
      </w:r>
      <w:r w:rsidR="00932420">
        <w:t xml:space="preserve"> </w:t>
      </w:r>
      <w:r>
        <w:t>output.</w:t>
      </w:r>
      <w:r w:rsidR="00932420">
        <w:t xml:space="preserve"> </w:t>
      </w:r>
      <w:r>
        <w:t>This</w:t>
      </w:r>
      <w:r w:rsidR="00932420">
        <w:t xml:space="preserve"> </w:t>
      </w:r>
      <w:r>
        <w:t>output</w:t>
      </w:r>
      <w:r w:rsidR="00932420">
        <w:t xml:space="preserve"> </w:t>
      </w:r>
      <w:r>
        <w:t>supports</w:t>
      </w:r>
      <w:r w:rsidR="00932420">
        <w:t xml:space="preserve"> </w:t>
      </w:r>
      <w:r>
        <w:t>Victorians</w:t>
      </w:r>
      <w:r w:rsidR="00932420">
        <w:t xml:space="preserve"> </w:t>
      </w:r>
      <w:r>
        <w:t>to</w:t>
      </w:r>
      <w:r w:rsidR="00932420">
        <w:t xml:space="preserve"> </w:t>
      </w:r>
      <w:r>
        <w:t>gain</w:t>
      </w:r>
      <w:r w:rsidR="00932420">
        <w:t xml:space="preserve"> </w:t>
      </w:r>
      <w:r>
        <w:t>the</w:t>
      </w:r>
      <w:r w:rsidR="00932420">
        <w:t xml:space="preserve"> </w:t>
      </w:r>
      <w:r>
        <w:t>skills</w:t>
      </w:r>
      <w:r w:rsidR="00932420">
        <w:t xml:space="preserve"> </w:t>
      </w:r>
      <w:r>
        <w:t>and</w:t>
      </w:r>
      <w:r w:rsidR="00932420">
        <w:t xml:space="preserve"> </w:t>
      </w:r>
      <w:r>
        <w:t>capabilities</w:t>
      </w:r>
      <w:r w:rsidR="00932420">
        <w:t xml:space="preserve"> </w:t>
      </w:r>
      <w:r>
        <w:t>essential</w:t>
      </w:r>
      <w:r w:rsidR="00932420">
        <w:t xml:space="preserve"> </w:t>
      </w:r>
      <w:r>
        <w:t>for</w:t>
      </w:r>
      <w:r w:rsidR="00932420">
        <w:t xml:space="preserve"> </w:t>
      </w:r>
      <w:r>
        <w:t>success</w:t>
      </w:r>
      <w:r w:rsidR="00932420">
        <w:t xml:space="preserve"> </w:t>
      </w:r>
      <w:r>
        <w:t>in</w:t>
      </w:r>
      <w:r w:rsidR="00932420">
        <w:t xml:space="preserve"> </w:t>
      </w:r>
      <w:r>
        <w:t>employment</w:t>
      </w:r>
      <w:r w:rsidR="00932420">
        <w:t xml:space="preserve"> </w:t>
      </w:r>
      <w:r>
        <w:t>and</w:t>
      </w:r>
      <w:r w:rsidR="00932420">
        <w:t xml:space="preserve"> </w:t>
      </w:r>
      <w:r>
        <w:t>further</w:t>
      </w:r>
      <w:r w:rsidR="00932420">
        <w:t xml:space="preserve"> </w:t>
      </w:r>
      <w:r>
        <w:t>training</w:t>
      </w:r>
      <w:r w:rsidR="00932420">
        <w:t xml:space="preserve"> </w:t>
      </w:r>
      <w:r>
        <w:t>or</w:t>
      </w:r>
      <w:r w:rsidR="00932420">
        <w:t xml:space="preserve"> </w:t>
      </w:r>
      <w:r>
        <w:t>study.</w:t>
      </w:r>
      <w:r w:rsidR="00932420">
        <w:t xml:space="preserve"> </w:t>
      </w:r>
      <w:r>
        <w:t>The</w:t>
      </w:r>
      <w:r w:rsidR="00932420">
        <w:t xml:space="preserve"> </w:t>
      </w:r>
      <w:r>
        <w:t>Department</w:t>
      </w:r>
      <w:r w:rsidR="00932420">
        <w:t xml:space="preserve"> </w:t>
      </w:r>
      <w:r>
        <w:t>works</w:t>
      </w:r>
      <w:r w:rsidR="00932420">
        <w:t xml:space="preserve"> </w:t>
      </w:r>
      <w:r>
        <w:t>with</w:t>
      </w:r>
      <w:r w:rsidR="00932420">
        <w:t xml:space="preserve"> </w:t>
      </w:r>
      <w:r>
        <w:t>the</w:t>
      </w:r>
      <w:r w:rsidR="00932420">
        <w:t xml:space="preserve"> </w:t>
      </w:r>
      <w:r>
        <w:t>TAFE</w:t>
      </w:r>
      <w:r w:rsidR="00932420">
        <w:t xml:space="preserve"> </w:t>
      </w:r>
      <w:r>
        <w:t>and</w:t>
      </w:r>
      <w:r w:rsidR="00932420">
        <w:t xml:space="preserve"> </w:t>
      </w:r>
      <w:r>
        <w:t>training</w:t>
      </w:r>
      <w:r w:rsidR="00932420">
        <w:t xml:space="preserve"> </w:t>
      </w:r>
      <w:r>
        <w:t>sector</w:t>
      </w:r>
      <w:r w:rsidR="00932420">
        <w:t xml:space="preserve"> </w:t>
      </w:r>
      <w:r>
        <w:t>to</w:t>
      </w:r>
      <w:r w:rsidR="00932420">
        <w:t xml:space="preserve"> </w:t>
      </w:r>
      <w:r>
        <w:t>deliver</w:t>
      </w:r>
      <w:r w:rsidR="00932420">
        <w:t xml:space="preserve"> </w:t>
      </w:r>
      <w:r>
        <w:t>quality</w:t>
      </w:r>
      <w:r w:rsidR="00932420">
        <w:t xml:space="preserve"> </w:t>
      </w:r>
      <w:r>
        <w:t>training</w:t>
      </w:r>
      <w:r w:rsidR="00932420">
        <w:t xml:space="preserve"> </w:t>
      </w:r>
      <w:r>
        <w:t>that</w:t>
      </w:r>
      <w:r w:rsidR="00932420">
        <w:t xml:space="preserve"> </w:t>
      </w:r>
      <w:r>
        <w:t>strongly</w:t>
      </w:r>
      <w:r w:rsidR="00932420">
        <w:t xml:space="preserve"> </w:t>
      </w:r>
      <w:r>
        <w:t>supports</w:t>
      </w:r>
      <w:r w:rsidR="00932420">
        <w:t xml:space="preserve"> </w:t>
      </w:r>
      <w:r>
        <w:t>industry</w:t>
      </w:r>
      <w:r w:rsidR="00932420">
        <w:t xml:space="preserve"> </w:t>
      </w:r>
      <w:r>
        <w:t>to</w:t>
      </w:r>
      <w:r w:rsidR="00932420">
        <w:t xml:space="preserve"> </w:t>
      </w:r>
      <w:r>
        <w:t>meet</w:t>
      </w:r>
      <w:r w:rsidR="00932420">
        <w:t xml:space="preserve"> </w:t>
      </w:r>
      <w:r>
        <w:t>the</w:t>
      </w:r>
      <w:r w:rsidR="00932420">
        <w:t xml:space="preserve"> </w:t>
      </w:r>
      <w:r>
        <w:t>evolving</w:t>
      </w:r>
      <w:r w:rsidR="00932420">
        <w:t xml:space="preserve"> </w:t>
      </w:r>
      <w:r>
        <w:t>needs</w:t>
      </w:r>
      <w:r w:rsidR="00932420">
        <w:t xml:space="preserve"> </w:t>
      </w:r>
      <w:r>
        <w:t>of</w:t>
      </w:r>
      <w:r w:rsidR="00932420">
        <w:t xml:space="preserve"> </w:t>
      </w:r>
      <w:r>
        <w:t>the</w:t>
      </w:r>
      <w:r w:rsidR="00932420">
        <w:t xml:space="preserve"> </w:t>
      </w:r>
      <w:r>
        <w:t>economy,</w:t>
      </w:r>
      <w:r w:rsidR="00932420">
        <w:t xml:space="preserve"> </w:t>
      </w:r>
      <w:r>
        <w:t>promotes</w:t>
      </w:r>
      <w:r w:rsidR="00932420">
        <w:t xml:space="preserve"> </w:t>
      </w:r>
      <w:r>
        <w:t>equity</w:t>
      </w:r>
      <w:r w:rsidR="00932420">
        <w:t xml:space="preserve"> </w:t>
      </w:r>
      <w:r>
        <w:t>and</w:t>
      </w:r>
      <w:r w:rsidR="00932420">
        <w:t xml:space="preserve"> </w:t>
      </w:r>
      <w:r>
        <w:t>addresses</w:t>
      </w:r>
      <w:r w:rsidR="00932420">
        <w:t xml:space="preserve"> </w:t>
      </w:r>
      <w:r>
        <w:t>disadvantage,</w:t>
      </w:r>
      <w:r w:rsidR="00932420">
        <w:t xml:space="preserve"> </w:t>
      </w:r>
      <w:r>
        <w:t>with</w:t>
      </w:r>
      <w:r w:rsidR="00932420">
        <w:t xml:space="preserve"> </w:t>
      </w:r>
      <w:r>
        <w:t>an</w:t>
      </w:r>
      <w:r w:rsidR="00932420">
        <w:t xml:space="preserve"> </w:t>
      </w:r>
      <w:r>
        <w:t>emphasis</w:t>
      </w:r>
      <w:r w:rsidR="00932420">
        <w:t xml:space="preserve"> </w:t>
      </w:r>
      <w:r>
        <w:t>on</w:t>
      </w:r>
      <w:r w:rsidR="00932420">
        <w:t xml:space="preserve"> </w:t>
      </w:r>
      <w:r>
        <w:t>growth</w:t>
      </w:r>
      <w:r w:rsidR="00932420">
        <w:t xml:space="preserve"> </w:t>
      </w:r>
      <w:r>
        <w:t>sectors</w:t>
      </w:r>
      <w:r w:rsidR="00932420">
        <w:t xml:space="preserve"> </w:t>
      </w:r>
      <w:r>
        <w:t>of</w:t>
      </w:r>
      <w:r w:rsidR="00932420">
        <w:t xml:space="preserve"> </w:t>
      </w:r>
      <w:r>
        <w:t>the</w:t>
      </w:r>
      <w:r w:rsidR="00932420">
        <w:t xml:space="preserve"> </w:t>
      </w:r>
      <w:r>
        <w:t>economy.</w:t>
      </w:r>
      <w:r w:rsidR="00932420">
        <w:t xml:space="preserve"> </w:t>
      </w:r>
      <w:r>
        <w:t>This</w:t>
      </w:r>
      <w:r w:rsidR="00932420">
        <w:t xml:space="preserve"> </w:t>
      </w:r>
      <w:r>
        <w:t>output</w:t>
      </w:r>
      <w:r w:rsidR="00932420">
        <w:t xml:space="preserve"> </w:t>
      </w:r>
      <w:r>
        <w:t>includes</w:t>
      </w:r>
      <w:r w:rsidR="00932420">
        <w:t xml:space="preserve"> </w:t>
      </w:r>
      <w:r>
        <w:t>the</w:t>
      </w:r>
      <w:r w:rsidR="00932420">
        <w:t xml:space="preserve"> </w:t>
      </w:r>
      <w:r>
        <w:t>functions</w:t>
      </w:r>
      <w:r w:rsidR="00932420">
        <w:t xml:space="preserve"> </w:t>
      </w:r>
      <w:r>
        <w:t>of</w:t>
      </w:r>
      <w:r w:rsidR="00932420">
        <w:t xml:space="preserve"> </w:t>
      </w:r>
      <w:r>
        <w:t>training</w:t>
      </w:r>
      <w:r w:rsidR="00932420">
        <w:t xml:space="preserve"> </w:t>
      </w:r>
      <w:r>
        <w:t>system</w:t>
      </w:r>
      <w:r w:rsidR="00932420">
        <w:t xml:space="preserve"> </w:t>
      </w:r>
      <w:r>
        <w:t>design,</w:t>
      </w:r>
      <w:r w:rsidR="00932420">
        <w:t xml:space="preserve"> </w:t>
      </w:r>
      <w:r>
        <w:t>industry</w:t>
      </w:r>
      <w:r w:rsidR="00932420">
        <w:t xml:space="preserve"> </w:t>
      </w:r>
      <w:r>
        <w:t>engagement,</w:t>
      </w:r>
      <w:r w:rsidR="00932420">
        <w:t xml:space="preserve"> </w:t>
      </w:r>
      <w:r>
        <w:t>contracting</w:t>
      </w:r>
      <w:r w:rsidR="00932420">
        <w:t xml:space="preserve"> </w:t>
      </w:r>
      <w:r>
        <w:t>and</w:t>
      </w:r>
      <w:r w:rsidR="00932420">
        <w:t xml:space="preserve"> </w:t>
      </w:r>
      <w:r>
        <w:t>monitoring</w:t>
      </w:r>
      <w:r w:rsidR="00932420">
        <w:t xml:space="preserve"> </w:t>
      </w:r>
      <w:r>
        <w:t>of</w:t>
      </w:r>
      <w:r w:rsidR="00932420">
        <w:t xml:space="preserve"> </w:t>
      </w:r>
      <w:r>
        <w:t>quality</w:t>
      </w:r>
      <w:r w:rsidR="00932420">
        <w:t xml:space="preserve"> </w:t>
      </w:r>
      <w:r>
        <w:t>and</w:t>
      </w:r>
      <w:r w:rsidR="00932420">
        <w:t xml:space="preserve"> </w:t>
      </w:r>
      <w:r>
        <w:lastRenderedPageBreak/>
        <w:t>training</w:t>
      </w:r>
      <w:r w:rsidR="00932420">
        <w:t xml:space="preserve"> </w:t>
      </w:r>
      <w:r>
        <w:t>services</w:t>
      </w:r>
      <w:r w:rsidR="00932420">
        <w:t xml:space="preserve"> </w:t>
      </w:r>
      <w:r>
        <w:t>including</w:t>
      </w:r>
      <w:r w:rsidR="00932420">
        <w:t xml:space="preserve"> </w:t>
      </w:r>
      <w:r>
        <w:t>accredited</w:t>
      </w:r>
      <w:r w:rsidR="00932420">
        <w:t xml:space="preserve"> </w:t>
      </w:r>
      <w:r>
        <w:t>and</w:t>
      </w:r>
      <w:r w:rsidR="00932420">
        <w:t xml:space="preserve"> </w:t>
      </w:r>
      <w:r>
        <w:t>pre-accredited</w:t>
      </w:r>
      <w:r w:rsidR="00932420">
        <w:t xml:space="preserve"> </w:t>
      </w:r>
      <w:r>
        <w:t>vocational</w:t>
      </w:r>
      <w:r w:rsidR="00932420">
        <w:t xml:space="preserve"> </w:t>
      </w:r>
      <w:r>
        <w:t>education</w:t>
      </w:r>
      <w:r w:rsidR="00932420">
        <w:t xml:space="preserve"> </w:t>
      </w:r>
      <w:r>
        <w:t>and</w:t>
      </w:r>
      <w:r w:rsidR="00932420">
        <w:t xml:space="preserve"> </w:t>
      </w:r>
      <w:r>
        <w:t>training</w:t>
      </w:r>
      <w:r w:rsidR="00932420">
        <w:t xml:space="preserve"> </w:t>
      </w:r>
      <w:r>
        <w:t>through</w:t>
      </w:r>
      <w:r w:rsidR="00932420">
        <w:t xml:space="preserve"> </w:t>
      </w:r>
      <w:r>
        <w:t>to</w:t>
      </w:r>
      <w:r w:rsidR="00932420">
        <w:t xml:space="preserve"> </w:t>
      </w:r>
      <w:r>
        <w:t>adult</w:t>
      </w:r>
      <w:r w:rsidR="00932420">
        <w:t xml:space="preserve"> </w:t>
      </w:r>
      <w:r>
        <w:t>community</w:t>
      </w:r>
      <w:r w:rsidR="00932420">
        <w:t xml:space="preserve"> </w:t>
      </w:r>
      <w:r>
        <w:t>education.</w:t>
      </w:r>
    </w:p>
    <w:p w14:paraId="650187C2" w14:textId="12B124DC" w:rsidR="00CA3C5B" w:rsidRDefault="00260033" w:rsidP="0032347F">
      <w:pPr>
        <w:pStyle w:val="TableHeading"/>
      </w:pPr>
      <w:r>
        <w:t>Table</w:t>
      </w:r>
      <w:r w:rsidR="00932420">
        <w:t xml:space="preserve"> </w:t>
      </w:r>
      <w:r>
        <w:t>30:</w:t>
      </w:r>
      <w:r w:rsidR="00932420">
        <w:t xml:space="preserve"> </w:t>
      </w:r>
      <w:r>
        <w:t>Output</w:t>
      </w:r>
      <w:r w:rsidR="00932420">
        <w:t xml:space="preserve"> </w:t>
      </w:r>
      <w:r>
        <w:t>–</w:t>
      </w:r>
      <w:r w:rsidR="00932420">
        <w:t xml:space="preserve"> </w:t>
      </w:r>
      <w:r>
        <w:t>Training,</w:t>
      </w:r>
      <w:r w:rsidR="00932420">
        <w:t xml:space="preserve"> </w:t>
      </w:r>
      <w:r>
        <w:t>Higher</w:t>
      </w:r>
      <w:r w:rsidR="00932420">
        <w:t xml:space="preserve"> </w:t>
      </w:r>
      <w:r>
        <w:t>Education</w:t>
      </w:r>
      <w:r w:rsidR="00932420">
        <w:t xml:space="preserve"> </w:t>
      </w:r>
      <w:r>
        <w:t>and</w:t>
      </w:r>
      <w:r w:rsidR="00932420">
        <w:t xml:space="preserve"> </w:t>
      </w:r>
      <w:r>
        <w:t>Workforce</w:t>
      </w:r>
      <w:r w:rsidR="00932420">
        <w:t xml:space="preserve"> </w:t>
      </w:r>
      <w:r>
        <w:t>Development</w:t>
      </w:r>
    </w:p>
    <w:tbl>
      <w:tblPr>
        <w:tblStyle w:val="TableGrid"/>
        <w:tblW w:w="10059" w:type="dxa"/>
        <w:tblLayout w:type="fixed"/>
        <w:tblLook w:val="0020" w:firstRow="1" w:lastRow="0" w:firstColumn="0" w:lastColumn="0" w:noHBand="0" w:noVBand="0"/>
      </w:tblPr>
      <w:tblGrid>
        <w:gridCol w:w="4673"/>
        <w:gridCol w:w="1200"/>
        <w:gridCol w:w="1009"/>
        <w:gridCol w:w="992"/>
        <w:gridCol w:w="1428"/>
        <w:gridCol w:w="757"/>
      </w:tblGrid>
      <w:tr w:rsidR="00CA3C5B" w:rsidRPr="0032347F" w14:paraId="5AAD344A" w14:textId="77777777" w:rsidTr="00AE2249">
        <w:trPr>
          <w:cantSplit/>
          <w:tblHeader/>
        </w:trPr>
        <w:tc>
          <w:tcPr>
            <w:tcW w:w="4673" w:type="dxa"/>
          </w:tcPr>
          <w:p w14:paraId="06C21118" w14:textId="1673130D" w:rsidR="00CA3C5B" w:rsidRPr="0032347F" w:rsidRDefault="00260033" w:rsidP="0032347F">
            <w:pPr>
              <w:pStyle w:val="TableColumnHeading"/>
              <w:rPr>
                <w:sz w:val="21"/>
                <w:szCs w:val="21"/>
              </w:rPr>
            </w:pPr>
            <w:bookmarkStart w:id="61" w:name="ColumnTitle_31"/>
            <w:bookmarkEnd w:id="61"/>
            <w:r w:rsidRPr="0032347F">
              <w:rPr>
                <w:sz w:val="21"/>
                <w:szCs w:val="21"/>
              </w:rPr>
              <w:t>Performance</w:t>
            </w:r>
            <w:r w:rsidR="00932420" w:rsidRPr="0032347F">
              <w:rPr>
                <w:sz w:val="21"/>
                <w:szCs w:val="21"/>
              </w:rPr>
              <w:t xml:space="preserve"> </w:t>
            </w:r>
            <w:r w:rsidRPr="0032347F">
              <w:rPr>
                <w:sz w:val="21"/>
                <w:szCs w:val="21"/>
              </w:rPr>
              <w:t>measures</w:t>
            </w:r>
          </w:p>
        </w:tc>
        <w:tc>
          <w:tcPr>
            <w:tcW w:w="1200" w:type="dxa"/>
          </w:tcPr>
          <w:p w14:paraId="5E16839C" w14:textId="3E354D8F" w:rsidR="00CA3C5B" w:rsidRPr="0032347F" w:rsidRDefault="00260033" w:rsidP="0032347F">
            <w:pPr>
              <w:pStyle w:val="TableColumnHeading"/>
              <w:rPr>
                <w:sz w:val="21"/>
                <w:szCs w:val="21"/>
              </w:rPr>
            </w:pPr>
            <w:r w:rsidRPr="0032347F">
              <w:rPr>
                <w:sz w:val="21"/>
                <w:szCs w:val="21"/>
              </w:rPr>
              <w:t>Unit</w:t>
            </w:r>
            <w:r w:rsidR="00932420" w:rsidRPr="0032347F">
              <w:rPr>
                <w:sz w:val="21"/>
                <w:szCs w:val="21"/>
              </w:rPr>
              <w:t xml:space="preserve"> </w:t>
            </w:r>
            <w:r w:rsidRPr="0032347F">
              <w:rPr>
                <w:sz w:val="21"/>
                <w:szCs w:val="21"/>
              </w:rPr>
              <w:t>of</w:t>
            </w:r>
            <w:r w:rsidR="00932420" w:rsidRPr="0032347F">
              <w:rPr>
                <w:sz w:val="21"/>
                <w:szCs w:val="21"/>
              </w:rPr>
              <w:t xml:space="preserve"> </w:t>
            </w:r>
            <w:r w:rsidRPr="0032347F">
              <w:rPr>
                <w:sz w:val="21"/>
                <w:szCs w:val="21"/>
              </w:rPr>
              <w:t>Measure</w:t>
            </w:r>
          </w:p>
        </w:tc>
        <w:tc>
          <w:tcPr>
            <w:tcW w:w="1009" w:type="dxa"/>
          </w:tcPr>
          <w:p w14:paraId="20C3D2DD" w14:textId="43516563" w:rsidR="00CA3C5B" w:rsidRPr="0032347F" w:rsidRDefault="00260033" w:rsidP="00F51FE2">
            <w:pPr>
              <w:pStyle w:val="TableColumnHeading"/>
              <w:jc w:val="right"/>
              <w:rPr>
                <w:sz w:val="21"/>
                <w:szCs w:val="21"/>
              </w:rPr>
            </w:pPr>
            <w:r w:rsidRPr="0032347F">
              <w:rPr>
                <w:sz w:val="21"/>
                <w:szCs w:val="21"/>
              </w:rPr>
              <w:t>2022–23</w:t>
            </w:r>
            <w:r w:rsidR="00F51FE2">
              <w:rPr>
                <w:sz w:val="21"/>
                <w:szCs w:val="21"/>
              </w:rPr>
              <w:t xml:space="preserve"> </w:t>
            </w:r>
            <w:r w:rsidRPr="0032347F">
              <w:rPr>
                <w:sz w:val="21"/>
                <w:szCs w:val="21"/>
              </w:rPr>
              <w:t>Actual</w:t>
            </w:r>
          </w:p>
        </w:tc>
        <w:tc>
          <w:tcPr>
            <w:tcW w:w="992" w:type="dxa"/>
          </w:tcPr>
          <w:p w14:paraId="137D1DF0" w14:textId="33904366" w:rsidR="00CA3C5B" w:rsidRPr="0032347F" w:rsidRDefault="00260033" w:rsidP="00F51FE2">
            <w:pPr>
              <w:pStyle w:val="TableColumnHeading"/>
              <w:jc w:val="right"/>
              <w:rPr>
                <w:sz w:val="21"/>
                <w:szCs w:val="21"/>
              </w:rPr>
            </w:pPr>
            <w:r w:rsidRPr="0032347F">
              <w:rPr>
                <w:sz w:val="21"/>
                <w:szCs w:val="21"/>
              </w:rPr>
              <w:t>2022–23</w:t>
            </w:r>
            <w:r w:rsidR="00932420" w:rsidRPr="0032347F">
              <w:rPr>
                <w:sz w:val="21"/>
                <w:szCs w:val="21"/>
              </w:rPr>
              <w:t xml:space="preserve"> </w:t>
            </w:r>
            <w:r w:rsidRPr="0032347F">
              <w:rPr>
                <w:sz w:val="21"/>
                <w:szCs w:val="21"/>
              </w:rPr>
              <w:t>Target</w:t>
            </w:r>
          </w:p>
        </w:tc>
        <w:tc>
          <w:tcPr>
            <w:tcW w:w="1428" w:type="dxa"/>
          </w:tcPr>
          <w:p w14:paraId="41F235C3" w14:textId="1D9901CB" w:rsidR="00CA3C5B" w:rsidRPr="0032347F" w:rsidRDefault="00260033" w:rsidP="00F51FE2">
            <w:pPr>
              <w:pStyle w:val="TableColumnHeading"/>
              <w:jc w:val="right"/>
              <w:rPr>
                <w:sz w:val="21"/>
                <w:szCs w:val="21"/>
              </w:rPr>
            </w:pPr>
            <w:r w:rsidRPr="0032347F">
              <w:rPr>
                <w:sz w:val="21"/>
                <w:szCs w:val="21"/>
              </w:rPr>
              <w:t>Performance</w:t>
            </w:r>
            <w:r w:rsidR="00932420" w:rsidRPr="0032347F">
              <w:rPr>
                <w:sz w:val="21"/>
                <w:szCs w:val="21"/>
              </w:rPr>
              <w:t xml:space="preserve"> </w:t>
            </w:r>
            <w:r w:rsidRPr="0032347F">
              <w:rPr>
                <w:sz w:val="21"/>
                <w:szCs w:val="21"/>
              </w:rPr>
              <w:t>variation</w:t>
            </w:r>
            <w:r w:rsidR="00932420" w:rsidRPr="0032347F">
              <w:rPr>
                <w:sz w:val="21"/>
                <w:szCs w:val="21"/>
              </w:rPr>
              <w:t xml:space="preserve"> </w:t>
            </w:r>
            <w:r w:rsidRPr="0032347F">
              <w:rPr>
                <w:sz w:val="21"/>
                <w:szCs w:val="21"/>
              </w:rPr>
              <w:t>(%)</w:t>
            </w:r>
          </w:p>
        </w:tc>
        <w:tc>
          <w:tcPr>
            <w:tcW w:w="757" w:type="dxa"/>
          </w:tcPr>
          <w:p w14:paraId="04054ED0" w14:textId="77777777" w:rsidR="00CA3C5B" w:rsidRPr="0032347F" w:rsidRDefault="00260033" w:rsidP="00F51FE2">
            <w:pPr>
              <w:pStyle w:val="TableColumnHeading"/>
              <w:jc w:val="right"/>
              <w:rPr>
                <w:sz w:val="21"/>
                <w:szCs w:val="21"/>
              </w:rPr>
            </w:pPr>
            <w:r w:rsidRPr="0032347F">
              <w:rPr>
                <w:sz w:val="21"/>
                <w:szCs w:val="21"/>
              </w:rPr>
              <w:t>Result</w:t>
            </w:r>
          </w:p>
        </w:tc>
      </w:tr>
      <w:tr w:rsidR="00F51FE2" w:rsidRPr="00F51FE2" w14:paraId="660C3EC2" w14:textId="77777777" w:rsidTr="00AE2249">
        <w:trPr>
          <w:cantSplit/>
        </w:trPr>
        <w:tc>
          <w:tcPr>
            <w:tcW w:w="4673" w:type="dxa"/>
          </w:tcPr>
          <w:p w14:paraId="382313B0" w14:textId="7009CDD5" w:rsidR="00F51FE2" w:rsidRPr="00F51FE2" w:rsidRDefault="00F51FE2" w:rsidP="00F51FE2">
            <w:pPr>
              <w:pStyle w:val="TableHeading"/>
            </w:pPr>
            <w:r>
              <w:t>Quantity</w:t>
            </w:r>
          </w:p>
        </w:tc>
        <w:tc>
          <w:tcPr>
            <w:tcW w:w="1200" w:type="dxa"/>
          </w:tcPr>
          <w:p w14:paraId="34B70C3F" w14:textId="77777777" w:rsidR="00F51FE2" w:rsidRPr="00F51FE2" w:rsidRDefault="00F51FE2" w:rsidP="00F51FE2">
            <w:pPr>
              <w:pStyle w:val="TableCopy"/>
            </w:pPr>
          </w:p>
        </w:tc>
        <w:tc>
          <w:tcPr>
            <w:tcW w:w="1009" w:type="dxa"/>
          </w:tcPr>
          <w:p w14:paraId="6D5DA766" w14:textId="77777777" w:rsidR="00F51FE2" w:rsidRPr="00F51FE2" w:rsidRDefault="00F51FE2" w:rsidP="00F51FE2">
            <w:pPr>
              <w:pStyle w:val="TableCopy"/>
              <w:jc w:val="right"/>
            </w:pPr>
          </w:p>
        </w:tc>
        <w:tc>
          <w:tcPr>
            <w:tcW w:w="992" w:type="dxa"/>
          </w:tcPr>
          <w:p w14:paraId="3CEBDE14" w14:textId="77777777" w:rsidR="00F51FE2" w:rsidRPr="00F51FE2" w:rsidRDefault="00F51FE2" w:rsidP="00F51FE2">
            <w:pPr>
              <w:pStyle w:val="TableCopy"/>
              <w:jc w:val="right"/>
            </w:pPr>
          </w:p>
        </w:tc>
        <w:tc>
          <w:tcPr>
            <w:tcW w:w="1428" w:type="dxa"/>
          </w:tcPr>
          <w:p w14:paraId="3FB38001" w14:textId="77777777" w:rsidR="00F51FE2" w:rsidRPr="00F51FE2" w:rsidRDefault="00F51FE2" w:rsidP="00F51FE2">
            <w:pPr>
              <w:pStyle w:val="TableCopy"/>
              <w:jc w:val="right"/>
            </w:pPr>
          </w:p>
        </w:tc>
        <w:tc>
          <w:tcPr>
            <w:tcW w:w="757" w:type="dxa"/>
          </w:tcPr>
          <w:p w14:paraId="64427EED" w14:textId="77777777" w:rsidR="00F51FE2" w:rsidRPr="00F51FE2" w:rsidRDefault="00F51FE2" w:rsidP="00F51FE2">
            <w:pPr>
              <w:pStyle w:val="TableCopy"/>
              <w:jc w:val="right"/>
            </w:pPr>
          </w:p>
        </w:tc>
      </w:tr>
      <w:tr w:rsidR="00CA3C5B" w14:paraId="352AE50C" w14:textId="77777777" w:rsidTr="00AE2249">
        <w:trPr>
          <w:cantSplit/>
        </w:trPr>
        <w:tc>
          <w:tcPr>
            <w:tcW w:w="4673" w:type="dxa"/>
          </w:tcPr>
          <w:p w14:paraId="1F210B3F" w14:textId="77777777" w:rsidR="00CA3C5B" w:rsidRDefault="00260033" w:rsidP="0032347F">
            <w:pPr>
              <w:pStyle w:val="TableCopy"/>
            </w:pPr>
            <w:r>
              <w:t>Number</w:t>
            </w:r>
            <w:r w:rsidR="00932420">
              <w:t xml:space="preserve"> </w:t>
            </w:r>
            <w:r>
              <w:t>of</w:t>
            </w:r>
            <w:r w:rsidR="00932420">
              <w:t xml:space="preserve"> </w:t>
            </w:r>
            <w:r>
              <w:t>enrolments</w:t>
            </w:r>
            <w:r w:rsidR="00932420">
              <w:t xml:space="preserve"> </w:t>
            </w:r>
            <w:r>
              <w:t>in</w:t>
            </w:r>
            <w:r w:rsidR="00932420">
              <w:t xml:space="preserve"> </w:t>
            </w:r>
            <w:r>
              <w:t>the</w:t>
            </w:r>
            <w:r w:rsidR="00932420">
              <w:t xml:space="preserve"> </w:t>
            </w:r>
            <w:r>
              <w:t>Free</w:t>
            </w:r>
            <w:r w:rsidR="00932420">
              <w:t xml:space="preserve"> </w:t>
            </w:r>
            <w:r>
              <w:t>TAFE</w:t>
            </w:r>
            <w:r w:rsidR="00932420">
              <w:t xml:space="preserve"> </w:t>
            </w:r>
            <w:r>
              <w:t>for</w:t>
            </w:r>
            <w:r w:rsidR="00932420">
              <w:t xml:space="preserve"> </w:t>
            </w:r>
            <w:r>
              <w:t>priority</w:t>
            </w:r>
            <w:r w:rsidR="00932420">
              <w:t xml:space="preserve"> </w:t>
            </w:r>
            <w:r>
              <w:t>courses</w:t>
            </w:r>
            <w:r w:rsidR="00932420">
              <w:t xml:space="preserve"> </w:t>
            </w:r>
            <w:r>
              <w:t>initiative</w:t>
            </w:r>
          </w:p>
          <w:p w14:paraId="7FFFC5A1" w14:textId="77777777" w:rsidR="00E67CF9" w:rsidRPr="00E67CF9" w:rsidRDefault="00E67CF9" w:rsidP="00E67CF9">
            <w:pPr>
              <w:pStyle w:val="TableCopy"/>
              <w:rPr>
                <w:i/>
                <w:iCs/>
              </w:rPr>
            </w:pPr>
            <w:r w:rsidRPr="00E67CF9">
              <w:rPr>
                <w:i/>
                <w:iCs/>
              </w:rPr>
              <w:t>Lower result due to the strong labour market which reduced demand for government-funded full qualifications, which includes most Free TAFE courses.</w:t>
            </w:r>
          </w:p>
          <w:p w14:paraId="7B41F2C4" w14:textId="124DA5A1" w:rsidR="00E67CF9" w:rsidRDefault="00E67CF9" w:rsidP="00E67CF9">
            <w:pPr>
              <w:pStyle w:val="TableCopy"/>
            </w:pPr>
            <w:r w:rsidRPr="00E67CF9">
              <w:rPr>
                <w:i/>
                <w:iCs/>
              </w:rPr>
              <w:t>This performance measure relates to the calendar year.</w:t>
            </w:r>
          </w:p>
        </w:tc>
        <w:tc>
          <w:tcPr>
            <w:tcW w:w="1200" w:type="dxa"/>
          </w:tcPr>
          <w:p w14:paraId="2C0B382C" w14:textId="77777777" w:rsidR="00CA3C5B" w:rsidRDefault="00260033" w:rsidP="0032347F">
            <w:pPr>
              <w:pStyle w:val="TableCopy"/>
            </w:pPr>
            <w:r>
              <w:t>number</w:t>
            </w:r>
          </w:p>
        </w:tc>
        <w:tc>
          <w:tcPr>
            <w:tcW w:w="1009" w:type="dxa"/>
          </w:tcPr>
          <w:p w14:paraId="4576CA46" w14:textId="77777777" w:rsidR="00CA3C5B" w:rsidRDefault="00260033" w:rsidP="00F51FE2">
            <w:pPr>
              <w:pStyle w:val="TableCopy"/>
              <w:jc w:val="right"/>
            </w:pPr>
            <w:r>
              <w:t>47,088</w:t>
            </w:r>
          </w:p>
        </w:tc>
        <w:tc>
          <w:tcPr>
            <w:tcW w:w="992" w:type="dxa"/>
          </w:tcPr>
          <w:p w14:paraId="793AB48C" w14:textId="77777777" w:rsidR="00CA3C5B" w:rsidRDefault="00260033" w:rsidP="00F51FE2">
            <w:pPr>
              <w:pStyle w:val="TableCopy"/>
              <w:jc w:val="right"/>
            </w:pPr>
            <w:r>
              <w:t>50,000</w:t>
            </w:r>
          </w:p>
        </w:tc>
        <w:tc>
          <w:tcPr>
            <w:tcW w:w="1428" w:type="dxa"/>
          </w:tcPr>
          <w:p w14:paraId="5C2D45E2" w14:textId="77777777" w:rsidR="00CA3C5B" w:rsidRDefault="00260033" w:rsidP="00F51FE2">
            <w:pPr>
              <w:pStyle w:val="TableCopy"/>
              <w:jc w:val="right"/>
            </w:pPr>
            <w:r>
              <w:t>-5.8%</w:t>
            </w:r>
          </w:p>
        </w:tc>
        <w:tc>
          <w:tcPr>
            <w:tcW w:w="757" w:type="dxa"/>
          </w:tcPr>
          <w:p w14:paraId="4FDEE603" w14:textId="2483030E" w:rsidR="00CA3C5B" w:rsidRDefault="00F51FE2" w:rsidP="00F51FE2">
            <w:pPr>
              <w:pStyle w:val="TableCopy"/>
              <w:jc w:val="right"/>
            </w:pPr>
            <w:r>
              <w:t>3</w:t>
            </w:r>
          </w:p>
        </w:tc>
      </w:tr>
      <w:tr w:rsidR="00CA3C5B" w14:paraId="12B15A2D" w14:textId="77777777" w:rsidTr="00AE2249">
        <w:trPr>
          <w:cantSplit/>
        </w:trPr>
        <w:tc>
          <w:tcPr>
            <w:tcW w:w="4673" w:type="dxa"/>
          </w:tcPr>
          <w:p w14:paraId="1B7DDF7B" w14:textId="77777777" w:rsidR="00CA3C5B" w:rsidRDefault="00260033" w:rsidP="0032347F">
            <w:pPr>
              <w:pStyle w:val="TableCopy"/>
            </w:pPr>
            <w:r>
              <w:t>Number</w:t>
            </w:r>
            <w:r w:rsidR="00932420">
              <w:t xml:space="preserve"> </w:t>
            </w:r>
            <w:r>
              <w:t>of</w:t>
            </w:r>
            <w:r w:rsidR="00932420">
              <w:t xml:space="preserve"> </w:t>
            </w:r>
            <w:r>
              <w:t>government</w:t>
            </w:r>
            <w:r w:rsidR="00932420">
              <w:t xml:space="preserve"> </w:t>
            </w:r>
            <w:r>
              <w:t>subsidised</w:t>
            </w:r>
            <w:r w:rsidR="00932420">
              <w:t xml:space="preserve"> </w:t>
            </w:r>
            <w:r>
              <w:t>apprenticeship</w:t>
            </w:r>
            <w:r w:rsidR="00932420">
              <w:t xml:space="preserve"> </w:t>
            </w:r>
            <w:r>
              <w:t>course</w:t>
            </w:r>
            <w:r w:rsidR="00932420">
              <w:t xml:space="preserve"> </w:t>
            </w:r>
            <w:r>
              <w:t>enrolments</w:t>
            </w:r>
          </w:p>
          <w:p w14:paraId="2C307111" w14:textId="77777777" w:rsidR="00E67CF9" w:rsidRPr="00E67CF9" w:rsidRDefault="00E67CF9" w:rsidP="00E67CF9">
            <w:pPr>
              <w:pStyle w:val="TableCopy"/>
              <w:rPr>
                <w:i/>
                <w:iCs/>
              </w:rPr>
            </w:pPr>
            <w:r w:rsidRPr="00E67CF9">
              <w:rPr>
                <w:i/>
                <w:iCs/>
              </w:rPr>
              <w:t>Higher result due to government initiatives to support apprenticeships.</w:t>
            </w:r>
          </w:p>
          <w:p w14:paraId="69F85FD1" w14:textId="596E5C89" w:rsidR="00E67CF9" w:rsidRDefault="00E67CF9" w:rsidP="00E67CF9">
            <w:pPr>
              <w:pStyle w:val="TableCopy"/>
            </w:pPr>
            <w:r w:rsidRPr="00E67CF9">
              <w:rPr>
                <w:i/>
                <w:iCs/>
              </w:rPr>
              <w:t>This performance measure relates to the calendar year.</w:t>
            </w:r>
          </w:p>
        </w:tc>
        <w:tc>
          <w:tcPr>
            <w:tcW w:w="1200" w:type="dxa"/>
          </w:tcPr>
          <w:p w14:paraId="7880B3B5" w14:textId="77777777" w:rsidR="00CA3C5B" w:rsidRDefault="00260033" w:rsidP="0032347F">
            <w:pPr>
              <w:pStyle w:val="TableCopy"/>
            </w:pPr>
            <w:r>
              <w:t>number</w:t>
            </w:r>
          </w:p>
        </w:tc>
        <w:tc>
          <w:tcPr>
            <w:tcW w:w="1009" w:type="dxa"/>
          </w:tcPr>
          <w:p w14:paraId="7C7B1E56" w14:textId="77777777" w:rsidR="00CA3C5B" w:rsidRDefault="00260033" w:rsidP="00F51FE2">
            <w:pPr>
              <w:pStyle w:val="TableCopy"/>
              <w:jc w:val="right"/>
            </w:pPr>
            <w:r>
              <w:t>56,657</w:t>
            </w:r>
          </w:p>
        </w:tc>
        <w:tc>
          <w:tcPr>
            <w:tcW w:w="992" w:type="dxa"/>
          </w:tcPr>
          <w:p w14:paraId="1A47C58D" w14:textId="77777777" w:rsidR="00CA3C5B" w:rsidRDefault="00260033" w:rsidP="00F51FE2">
            <w:pPr>
              <w:pStyle w:val="TableCopy"/>
              <w:jc w:val="right"/>
            </w:pPr>
            <w:r>
              <w:t>49,900</w:t>
            </w:r>
          </w:p>
        </w:tc>
        <w:tc>
          <w:tcPr>
            <w:tcW w:w="1428" w:type="dxa"/>
          </w:tcPr>
          <w:p w14:paraId="4E7272E3" w14:textId="77777777" w:rsidR="00CA3C5B" w:rsidRDefault="00260033" w:rsidP="00F51FE2">
            <w:pPr>
              <w:pStyle w:val="TableCopy"/>
              <w:jc w:val="right"/>
            </w:pPr>
            <w:r>
              <w:t>13.5%</w:t>
            </w:r>
          </w:p>
        </w:tc>
        <w:tc>
          <w:tcPr>
            <w:tcW w:w="757" w:type="dxa"/>
          </w:tcPr>
          <w:p w14:paraId="17AE3EF1" w14:textId="2B10A490" w:rsidR="00CA3C5B" w:rsidRDefault="00F51FE2" w:rsidP="00F51FE2">
            <w:pPr>
              <w:pStyle w:val="TableCopy"/>
              <w:jc w:val="right"/>
            </w:pPr>
            <w:r w:rsidRPr="003E4F57">
              <w:t>1</w:t>
            </w:r>
          </w:p>
        </w:tc>
      </w:tr>
      <w:tr w:rsidR="00CA3C5B" w14:paraId="78903BF6" w14:textId="77777777" w:rsidTr="00AE2249">
        <w:trPr>
          <w:cantSplit/>
        </w:trPr>
        <w:tc>
          <w:tcPr>
            <w:tcW w:w="4673" w:type="dxa"/>
          </w:tcPr>
          <w:p w14:paraId="5D1EA580" w14:textId="77777777" w:rsidR="00CA3C5B" w:rsidRDefault="00260033" w:rsidP="0032347F">
            <w:pPr>
              <w:pStyle w:val="TableCopy"/>
            </w:pPr>
            <w:r>
              <w:t>Number</w:t>
            </w:r>
            <w:r w:rsidR="00932420">
              <w:t xml:space="preserve"> </w:t>
            </w:r>
            <w:r>
              <w:t>of</w:t>
            </w:r>
            <w:r w:rsidR="00932420">
              <w:t xml:space="preserve"> </w:t>
            </w:r>
            <w:r>
              <w:t>government</w:t>
            </w:r>
            <w:r w:rsidR="00932420">
              <w:t xml:space="preserve"> </w:t>
            </w:r>
            <w:r>
              <w:t>subsidised</w:t>
            </w:r>
            <w:r w:rsidR="00932420">
              <w:t xml:space="preserve"> </w:t>
            </w:r>
            <w:r>
              <w:t>course</w:t>
            </w:r>
            <w:r w:rsidR="00932420">
              <w:t xml:space="preserve"> </w:t>
            </w:r>
            <w:r>
              <w:t>enrolments</w:t>
            </w:r>
          </w:p>
          <w:p w14:paraId="5FE381E9" w14:textId="16C05549" w:rsidR="00E67CF9" w:rsidRPr="00E67CF9" w:rsidRDefault="00E67CF9" w:rsidP="0032347F">
            <w:pPr>
              <w:pStyle w:val="TableCopy"/>
              <w:rPr>
                <w:i/>
                <w:iCs/>
              </w:rPr>
            </w:pPr>
            <w:r w:rsidRPr="00E67CF9">
              <w:rPr>
                <w:i/>
                <w:iCs/>
              </w:rPr>
              <w:t>This performance measure relates to the calendar year.</w:t>
            </w:r>
          </w:p>
        </w:tc>
        <w:tc>
          <w:tcPr>
            <w:tcW w:w="1200" w:type="dxa"/>
          </w:tcPr>
          <w:p w14:paraId="35FBA48E" w14:textId="77777777" w:rsidR="00CA3C5B" w:rsidRDefault="00260033" w:rsidP="0032347F">
            <w:pPr>
              <w:pStyle w:val="TableCopy"/>
            </w:pPr>
            <w:r>
              <w:t>number</w:t>
            </w:r>
          </w:p>
        </w:tc>
        <w:tc>
          <w:tcPr>
            <w:tcW w:w="1009" w:type="dxa"/>
          </w:tcPr>
          <w:p w14:paraId="11E4BE6B" w14:textId="77777777" w:rsidR="00CA3C5B" w:rsidRDefault="00260033" w:rsidP="00F51FE2">
            <w:pPr>
              <w:pStyle w:val="TableCopy"/>
              <w:jc w:val="right"/>
            </w:pPr>
            <w:r>
              <w:t>322,475</w:t>
            </w:r>
          </w:p>
        </w:tc>
        <w:tc>
          <w:tcPr>
            <w:tcW w:w="992" w:type="dxa"/>
          </w:tcPr>
          <w:p w14:paraId="0F69D8C1" w14:textId="77777777" w:rsidR="00CA3C5B" w:rsidRDefault="00260033" w:rsidP="00F51FE2">
            <w:pPr>
              <w:pStyle w:val="TableCopy"/>
              <w:jc w:val="right"/>
            </w:pPr>
            <w:r>
              <w:t>317,500</w:t>
            </w:r>
          </w:p>
        </w:tc>
        <w:tc>
          <w:tcPr>
            <w:tcW w:w="1428" w:type="dxa"/>
          </w:tcPr>
          <w:p w14:paraId="6AAD1B55" w14:textId="77777777" w:rsidR="00CA3C5B" w:rsidRDefault="00260033" w:rsidP="00F51FE2">
            <w:pPr>
              <w:pStyle w:val="TableCopy"/>
              <w:jc w:val="right"/>
            </w:pPr>
            <w:r>
              <w:t>1.6%</w:t>
            </w:r>
          </w:p>
        </w:tc>
        <w:tc>
          <w:tcPr>
            <w:tcW w:w="757" w:type="dxa"/>
          </w:tcPr>
          <w:p w14:paraId="0DFE8710" w14:textId="072A4E0F" w:rsidR="00CA3C5B" w:rsidRDefault="00F51FE2" w:rsidP="00F51FE2">
            <w:pPr>
              <w:pStyle w:val="TableCopy"/>
              <w:jc w:val="right"/>
            </w:pPr>
            <w:r w:rsidRPr="003E4F57">
              <w:t>1</w:t>
            </w:r>
          </w:p>
        </w:tc>
      </w:tr>
      <w:tr w:rsidR="00CA3C5B" w14:paraId="3C29BCF6" w14:textId="77777777" w:rsidTr="00AE2249">
        <w:trPr>
          <w:cantSplit/>
        </w:trPr>
        <w:tc>
          <w:tcPr>
            <w:tcW w:w="4673" w:type="dxa"/>
          </w:tcPr>
          <w:p w14:paraId="040F90DB" w14:textId="77777777" w:rsidR="00CA3C5B" w:rsidRDefault="00260033" w:rsidP="0032347F">
            <w:pPr>
              <w:pStyle w:val="TableCopy"/>
            </w:pPr>
            <w:r>
              <w:t>Number</w:t>
            </w:r>
            <w:r w:rsidR="00932420">
              <w:t xml:space="preserve"> </w:t>
            </w:r>
            <w:r>
              <w:t>of</w:t>
            </w:r>
            <w:r w:rsidR="00932420">
              <w:t xml:space="preserve"> </w:t>
            </w:r>
            <w:r>
              <w:t>government</w:t>
            </w:r>
            <w:r w:rsidR="00932420">
              <w:t xml:space="preserve"> </w:t>
            </w:r>
            <w:r>
              <w:t>subsidised</w:t>
            </w:r>
            <w:r w:rsidR="00932420">
              <w:t xml:space="preserve"> </w:t>
            </w:r>
            <w:r>
              <w:t>course</w:t>
            </w:r>
            <w:r w:rsidR="00932420">
              <w:t xml:space="preserve"> </w:t>
            </w:r>
            <w:r>
              <w:t>enrolments</w:t>
            </w:r>
            <w:r w:rsidR="00932420">
              <w:t xml:space="preserve"> </w:t>
            </w:r>
            <w:r>
              <w:t>by</w:t>
            </w:r>
            <w:r w:rsidR="00932420">
              <w:t xml:space="preserve"> </w:t>
            </w:r>
            <w:r>
              <w:t>students</w:t>
            </w:r>
            <w:r w:rsidR="00932420">
              <w:t xml:space="preserve"> </w:t>
            </w:r>
            <w:r>
              <w:t>eligible</w:t>
            </w:r>
            <w:r w:rsidR="00932420">
              <w:t xml:space="preserve"> </w:t>
            </w:r>
            <w:r>
              <w:t>for</w:t>
            </w:r>
            <w:r w:rsidR="00932420">
              <w:t xml:space="preserve"> </w:t>
            </w:r>
            <w:r>
              <w:t>fee</w:t>
            </w:r>
            <w:r w:rsidR="00932420">
              <w:t xml:space="preserve"> </w:t>
            </w:r>
            <w:r>
              <w:t>concession</w:t>
            </w:r>
          </w:p>
          <w:p w14:paraId="7A309594" w14:textId="77777777" w:rsidR="00E67CF9" w:rsidRPr="00E67CF9" w:rsidRDefault="00E67CF9" w:rsidP="00E67CF9">
            <w:pPr>
              <w:pStyle w:val="TableCopy"/>
              <w:rPr>
                <w:i/>
                <w:iCs/>
              </w:rPr>
            </w:pPr>
            <w:r w:rsidRPr="00E67CF9">
              <w:rPr>
                <w:i/>
                <w:iCs/>
              </w:rPr>
              <w:t xml:space="preserve">Lower result due to training delivered through Free TAFE and </w:t>
            </w:r>
            <w:proofErr w:type="spellStart"/>
            <w:r w:rsidRPr="00E67CF9">
              <w:rPr>
                <w:i/>
                <w:iCs/>
              </w:rPr>
              <w:t>JobTrainer</w:t>
            </w:r>
            <w:proofErr w:type="spellEnd"/>
            <w:r w:rsidRPr="00E67CF9">
              <w:rPr>
                <w:i/>
                <w:iCs/>
              </w:rPr>
              <w:t xml:space="preserve"> programs, where students are not required to report fee concession eligibility.</w:t>
            </w:r>
          </w:p>
          <w:p w14:paraId="408E80DC" w14:textId="34E74441" w:rsidR="00E67CF9" w:rsidRDefault="00E67CF9" w:rsidP="00E67CF9">
            <w:pPr>
              <w:pStyle w:val="TableCopy"/>
            </w:pPr>
            <w:r w:rsidRPr="00E67CF9">
              <w:rPr>
                <w:i/>
                <w:iCs/>
              </w:rPr>
              <w:t>This performance measure relates to the calendar year.</w:t>
            </w:r>
          </w:p>
        </w:tc>
        <w:tc>
          <w:tcPr>
            <w:tcW w:w="1200" w:type="dxa"/>
          </w:tcPr>
          <w:p w14:paraId="35F2617F" w14:textId="77777777" w:rsidR="00CA3C5B" w:rsidRDefault="00260033" w:rsidP="0032347F">
            <w:pPr>
              <w:pStyle w:val="TableCopy"/>
            </w:pPr>
            <w:r>
              <w:t>number</w:t>
            </w:r>
          </w:p>
        </w:tc>
        <w:tc>
          <w:tcPr>
            <w:tcW w:w="1009" w:type="dxa"/>
          </w:tcPr>
          <w:p w14:paraId="2E931C5B" w14:textId="77777777" w:rsidR="00CA3C5B" w:rsidRDefault="00260033" w:rsidP="00F51FE2">
            <w:pPr>
              <w:pStyle w:val="TableCopy"/>
              <w:jc w:val="right"/>
            </w:pPr>
            <w:r>
              <w:t>50,373</w:t>
            </w:r>
          </w:p>
        </w:tc>
        <w:tc>
          <w:tcPr>
            <w:tcW w:w="992" w:type="dxa"/>
          </w:tcPr>
          <w:p w14:paraId="5CB39304" w14:textId="77777777" w:rsidR="00CA3C5B" w:rsidRDefault="00260033" w:rsidP="00F51FE2">
            <w:pPr>
              <w:pStyle w:val="TableCopy"/>
              <w:jc w:val="right"/>
            </w:pPr>
            <w:r>
              <w:t>60,000</w:t>
            </w:r>
          </w:p>
        </w:tc>
        <w:tc>
          <w:tcPr>
            <w:tcW w:w="1428" w:type="dxa"/>
          </w:tcPr>
          <w:p w14:paraId="701BF6FD" w14:textId="77777777" w:rsidR="00CA3C5B" w:rsidRDefault="00260033" w:rsidP="00F51FE2">
            <w:pPr>
              <w:pStyle w:val="TableCopy"/>
              <w:jc w:val="right"/>
            </w:pPr>
            <w:r>
              <w:t>-16.0%</w:t>
            </w:r>
          </w:p>
        </w:tc>
        <w:tc>
          <w:tcPr>
            <w:tcW w:w="757" w:type="dxa"/>
          </w:tcPr>
          <w:p w14:paraId="7BDF2F62" w14:textId="310EB586" w:rsidR="00CA3C5B" w:rsidRDefault="00F51FE2" w:rsidP="00F51FE2">
            <w:pPr>
              <w:pStyle w:val="TableCopy"/>
              <w:jc w:val="right"/>
            </w:pPr>
            <w:r>
              <w:t>3</w:t>
            </w:r>
          </w:p>
        </w:tc>
      </w:tr>
      <w:tr w:rsidR="00CA3C5B" w14:paraId="4C346953" w14:textId="77777777" w:rsidTr="00AE2249">
        <w:trPr>
          <w:cantSplit/>
        </w:trPr>
        <w:tc>
          <w:tcPr>
            <w:tcW w:w="4673" w:type="dxa"/>
          </w:tcPr>
          <w:p w14:paraId="62CF7DC2" w14:textId="77777777" w:rsidR="00CA3C5B" w:rsidRDefault="00260033" w:rsidP="0032347F">
            <w:pPr>
              <w:pStyle w:val="TableCopy"/>
            </w:pPr>
            <w:r>
              <w:lastRenderedPageBreak/>
              <w:t>Number</w:t>
            </w:r>
            <w:r w:rsidR="00932420">
              <w:t xml:space="preserve"> </w:t>
            </w:r>
            <w:r>
              <w:t>of</w:t>
            </w:r>
            <w:r w:rsidR="00932420">
              <w:t xml:space="preserve"> </w:t>
            </w:r>
            <w:r>
              <w:t>government</w:t>
            </w:r>
            <w:r w:rsidR="00932420">
              <w:t xml:space="preserve"> </w:t>
            </w:r>
            <w:r>
              <w:t>subsidised</w:t>
            </w:r>
            <w:r w:rsidR="00932420">
              <w:t xml:space="preserve"> </w:t>
            </w:r>
            <w:r>
              <w:t>course</w:t>
            </w:r>
            <w:r w:rsidR="00932420">
              <w:t xml:space="preserve"> </w:t>
            </w:r>
            <w:r>
              <w:t>enrolments</w:t>
            </w:r>
            <w:r w:rsidR="00932420">
              <w:t xml:space="preserve"> </w:t>
            </w:r>
            <w:r>
              <w:t>by</w:t>
            </w:r>
            <w:r w:rsidR="00932420">
              <w:t xml:space="preserve"> </w:t>
            </w:r>
            <w:r>
              <w:t>students</w:t>
            </w:r>
            <w:r w:rsidR="00932420">
              <w:t xml:space="preserve"> </w:t>
            </w:r>
            <w:r>
              <w:t>living</w:t>
            </w:r>
            <w:r w:rsidR="00932420">
              <w:t xml:space="preserve"> </w:t>
            </w:r>
            <w:r>
              <w:t>in</w:t>
            </w:r>
            <w:r w:rsidR="00932420">
              <w:t xml:space="preserve"> </w:t>
            </w:r>
            <w:r>
              <w:t>regional</w:t>
            </w:r>
            <w:r w:rsidR="00932420">
              <w:t xml:space="preserve"> </w:t>
            </w:r>
            <w:r>
              <w:t>Victoria</w:t>
            </w:r>
          </w:p>
          <w:p w14:paraId="1AD7EC4D" w14:textId="5A60A635" w:rsidR="00E67CF9" w:rsidRPr="00E67CF9" w:rsidRDefault="00E67CF9" w:rsidP="0032347F">
            <w:pPr>
              <w:pStyle w:val="TableCopy"/>
              <w:rPr>
                <w:i/>
                <w:iCs/>
              </w:rPr>
            </w:pPr>
            <w:r w:rsidRPr="00E67CF9">
              <w:rPr>
                <w:i/>
                <w:iCs/>
              </w:rPr>
              <w:t>This performance measure relates to the calendar year.</w:t>
            </w:r>
          </w:p>
        </w:tc>
        <w:tc>
          <w:tcPr>
            <w:tcW w:w="1200" w:type="dxa"/>
          </w:tcPr>
          <w:p w14:paraId="68910A61" w14:textId="77777777" w:rsidR="00CA3C5B" w:rsidRDefault="00260033" w:rsidP="0032347F">
            <w:pPr>
              <w:pStyle w:val="TableCopy"/>
            </w:pPr>
            <w:r>
              <w:t>number</w:t>
            </w:r>
          </w:p>
        </w:tc>
        <w:tc>
          <w:tcPr>
            <w:tcW w:w="1009" w:type="dxa"/>
          </w:tcPr>
          <w:p w14:paraId="1F482539" w14:textId="77777777" w:rsidR="00CA3C5B" w:rsidRDefault="00260033" w:rsidP="00F51FE2">
            <w:pPr>
              <w:pStyle w:val="TableCopy"/>
              <w:jc w:val="right"/>
            </w:pPr>
            <w:r>
              <w:t>85,244</w:t>
            </w:r>
          </w:p>
        </w:tc>
        <w:tc>
          <w:tcPr>
            <w:tcW w:w="992" w:type="dxa"/>
          </w:tcPr>
          <w:p w14:paraId="2DC8CA75" w14:textId="77777777" w:rsidR="00CA3C5B" w:rsidRDefault="00260033" w:rsidP="00F51FE2">
            <w:pPr>
              <w:pStyle w:val="TableCopy"/>
              <w:jc w:val="right"/>
            </w:pPr>
            <w:r>
              <w:t>81,300</w:t>
            </w:r>
          </w:p>
        </w:tc>
        <w:tc>
          <w:tcPr>
            <w:tcW w:w="1428" w:type="dxa"/>
          </w:tcPr>
          <w:p w14:paraId="0B0BC0AD" w14:textId="77777777" w:rsidR="00CA3C5B" w:rsidRDefault="00260033" w:rsidP="00F51FE2">
            <w:pPr>
              <w:pStyle w:val="TableCopy"/>
              <w:jc w:val="right"/>
            </w:pPr>
            <w:r>
              <w:t>4.9%</w:t>
            </w:r>
          </w:p>
        </w:tc>
        <w:tc>
          <w:tcPr>
            <w:tcW w:w="757" w:type="dxa"/>
          </w:tcPr>
          <w:p w14:paraId="5CEB5BFA" w14:textId="3811FE58" w:rsidR="00CA3C5B" w:rsidRDefault="00F51FE2" w:rsidP="00F51FE2">
            <w:pPr>
              <w:pStyle w:val="TableCopy"/>
              <w:jc w:val="right"/>
            </w:pPr>
            <w:r w:rsidRPr="003E4F57">
              <w:t>1</w:t>
            </w:r>
          </w:p>
        </w:tc>
      </w:tr>
      <w:tr w:rsidR="00CA3C5B" w14:paraId="0A426B87" w14:textId="77777777" w:rsidTr="00AE2249">
        <w:trPr>
          <w:cantSplit/>
        </w:trPr>
        <w:tc>
          <w:tcPr>
            <w:tcW w:w="4673" w:type="dxa"/>
          </w:tcPr>
          <w:p w14:paraId="5EDD0CBB" w14:textId="77777777" w:rsidR="00CA3C5B" w:rsidRDefault="00260033" w:rsidP="0032347F">
            <w:pPr>
              <w:pStyle w:val="TableCopy"/>
            </w:pPr>
            <w:r>
              <w:t>Number</w:t>
            </w:r>
            <w:r w:rsidR="00932420">
              <w:t xml:space="preserve"> </w:t>
            </w:r>
            <w:r>
              <w:t>of</w:t>
            </w:r>
            <w:r w:rsidR="00932420">
              <w:t xml:space="preserve"> </w:t>
            </w:r>
            <w:r>
              <w:t>government</w:t>
            </w:r>
            <w:r w:rsidR="00932420">
              <w:t xml:space="preserve"> </w:t>
            </w:r>
            <w:r>
              <w:t>subsidised</w:t>
            </w:r>
            <w:r w:rsidR="00932420">
              <w:t xml:space="preserve"> </w:t>
            </w:r>
            <w:r>
              <w:t>course</w:t>
            </w:r>
            <w:r w:rsidR="00932420">
              <w:t xml:space="preserve"> </w:t>
            </w:r>
            <w:r>
              <w:t>enrolments</w:t>
            </w:r>
            <w:r w:rsidR="00932420">
              <w:t xml:space="preserve"> </w:t>
            </w:r>
            <w:r>
              <w:t>in</w:t>
            </w:r>
            <w:r w:rsidR="00932420">
              <w:t xml:space="preserve"> </w:t>
            </w:r>
            <w:r>
              <w:t>the</w:t>
            </w:r>
            <w:r w:rsidR="00932420">
              <w:t xml:space="preserve"> </w:t>
            </w:r>
            <w:r>
              <w:t>TAFE</w:t>
            </w:r>
            <w:r w:rsidR="00932420">
              <w:t xml:space="preserve"> </w:t>
            </w:r>
            <w:r>
              <w:t>Network</w:t>
            </w:r>
          </w:p>
          <w:p w14:paraId="2BAE8C0F" w14:textId="0F719397" w:rsidR="00E67CF9" w:rsidRPr="00E67CF9" w:rsidRDefault="00E67CF9" w:rsidP="0032347F">
            <w:pPr>
              <w:pStyle w:val="TableCopy"/>
              <w:rPr>
                <w:i/>
                <w:iCs/>
              </w:rPr>
            </w:pPr>
            <w:r w:rsidRPr="00E67CF9">
              <w:rPr>
                <w:i/>
                <w:iCs/>
              </w:rPr>
              <w:t>This performance measure relates to the calendar year.</w:t>
            </w:r>
          </w:p>
        </w:tc>
        <w:tc>
          <w:tcPr>
            <w:tcW w:w="1200" w:type="dxa"/>
          </w:tcPr>
          <w:p w14:paraId="623FED45" w14:textId="77777777" w:rsidR="00CA3C5B" w:rsidRDefault="00260033" w:rsidP="0032347F">
            <w:pPr>
              <w:pStyle w:val="TableCopy"/>
            </w:pPr>
            <w:r>
              <w:t>number</w:t>
            </w:r>
          </w:p>
        </w:tc>
        <w:tc>
          <w:tcPr>
            <w:tcW w:w="1009" w:type="dxa"/>
          </w:tcPr>
          <w:p w14:paraId="497E5764" w14:textId="77777777" w:rsidR="00CA3C5B" w:rsidRDefault="00260033" w:rsidP="00F51FE2">
            <w:pPr>
              <w:pStyle w:val="TableCopy"/>
              <w:jc w:val="right"/>
            </w:pPr>
            <w:r>
              <w:t>141,215</w:t>
            </w:r>
          </w:p>
        </w:tc>
        <w:tc>
          <w:tcPr>
            <w:tcW w:w="992" w:type="dxa"/>
          </w:tcPr>
          <w:p w14:paraId="0EEB83AE" w14:textId="77777777" w:rsidR="00CA3C5B" w:rsidRDefault="00260033" w:rsidP="00F51FE2">
            <w:pPr>
              <w:pStyle w:val="TableCopy"/>
              <w:jc w:val="right"/>
            </w:pPr>
            <w:r>
              <w:t>145,000</w:t>
            </w:r>
          </w:p>
        </w:tc>
        <w:tc>
          <w:tcPr>
            <w:tcW w:w="1428" w:type="dxa"/>
          </w:tcPr>
          <w:p w14:paraId="7C275059" w14:textId="77777777" w:rsidR="00CA3C5B" w:rsidRDefault="00260033" w:rsidP="00F51FE2">
            <w:pPr>
              <w:pStyle w:val="TableCopy"/>
              <w:jc w:val="right"/>
            </w:pPr>
            <w:r>
              <w:t>-2.6%</w:t>
            </w:r>
          </w:p>
        </w:tc>
        <w:tc>
          <w:tcPr>
            <w:tcW w:w="757" w:type="dxa"/>
          </w:tcPr>
          <w:p w14:paraId="0B4251A2" w14:textId="0F3376A6" w:rsidR="00CA3C5B" w:rsidRDefault="00F51FE2" w:rsidP="00F51FE2">
            <w:pPr>
              <w:pStyle w:val="TableCopy"/>
              <w:jc w:val="right"/>
            </w:pPr>
            <w:r>
              <w:t>2</w:t>
            </w:r>
          </w:p>
        </w:tc>
      </w:tr>
      <w:tr w:rsidR="00CA3C5B" w14:paraId="19956351" w14:textId="77777777" w:rsidTr="00AE2249">
        <w:trPr>
          <w:cantSplit/>
        </w:trPr>
        <w:tc>
          <w:tcPr>
            <w:tcW w:w="4673" w:type="dxa"/>
          </w:tcPr>
          <w:p w14:paraId="44C72C2B" w14:textId="77777777" w:rsidR="00CA3C5B" w:rsidRDefault="00260033" w:rsidP="0032347F">
            <w:pPr>
              <w:pStyle w:val="TableCopy"/>
            </w:pPr>
            <w:r>
              <w:t>Number</w:t>
            </w:r>
            <w:r w:rsidR="00932420">
              <w:t xml:space="preserve"> </w:t>
            </w:r>
            <w:r>
              <w:t>of</w:t>
            </w:r>
            <w:r w:rsidR="00932420">
              <w:t xml:space="preserve"> </w:t>
            </w:r>
            <w:r>
              <w:t>government</w:t>
            </w:r>
            <w:r w:rsidR="00932420">
              <w:t xml:space="preserve"> </w:t>
            </w:r>
            <w:r>
              <w:t>subsidised</w:t>
            </w:r>
            <w:r w:rsidR="00932420">
              <w:t xml:space="preserve"> </w:t>
            </w:r>
            <w:r>
              <w:t>foundation</w:t>
            </w:r>
            <w:r w:rsidR="00932420">
              <w:t xml:space="preserve"> </w:t>
            </w:r>
            <w:r>
              <w:t>module</w:t>
            </w:r>
            <w:r w:rsidR="00932420">
              <w:t xml:space="preserve"> </w:t>
            </w:r>
            <w:r>
              <w:t>enrolments</w:t>
            </w:r>
          </w:p>
          <w:p w14:paraId="6292D055" w14:textId="77777777" w:rsidR="00E67CF9" w:rsidRPr="00E67CF9" w:rsidRDefault="00E67CF9" w:rsidP="00E67CF9">
            <w:pPr>
              <w:pStyle w:val="TableCopy"/>
              <w:rPr>
                <w:i/>
                <w:iCs/>
              </w:rPr>
            </w:pPr>
            <w:r w:rsidRPr="00E67CF9">
              <w:rPr>
                <w:i/>
                <w:iCs/>
              </w:rPr>
              <w:t xml:space="preserve">Lower result due to the impact of low migration levels in 2022 resulting in fewer migrants requiring foundation skills training. There was also continuing substitution from accredited foundation training to other types of training. </w:t>
            </w:r>
          </w:p>
          <w:p w14:paraId="3D206B99" w14:textId="354F4597" w:rsidR="00E67CF9" w:rsidRDefault="00E67CF9" w:rsidP="00E67CF9">
            <w:pPr>
              <w:pStyle w:val="TableCopy"/>
            </w:pPr>
            <w:r w:rsidRPr="00E67CF9">
              <w:rPr>
                <w:i/>
                <w:iCs/>
              </w:rPr>
              <w:t>This performance measure relates to the calendar year.</w:t>
            </w:r>
          </w:p>
        </w:tc>
        <w:tc>
          <w:tcPr>
            <w:tcW w:w="1200" w:type="dxa"/>
          </w:tcPr>
          <w:p w14:paraId="1FCC92F1" w14:textId="77777777" w:rsidR="00CA3C5B" w:rsidRDefault="00260033" w:rsidP="0032347F">
            <w:pPr>
              <w:pStyle w:val="TableCopy"/>
            </w:pPr>
            <w:r>
              <w:t>number</w:t>
            </w:r>
          </w:p>
        </w:tc>
        <w:tc>
          <w:tcPr>
            <w:tcW w:w="1009" w:type="dxa"/>
          </w:tcPr>
          <w:p w14:paraId="062DF089" w14:textId="77777777" w:rsidR="00CA3C5B" w:rsidRDefault="00260033" w:rsidP="00F51FE2">
            <w:pPr>
              <w:pStyle w:val="TableCopy"/>
              <w:jc w:val="right"/>
            </w:pPr>
            <w:r>
              <w:t>86,331</w:t>
            </w:r>
          </w:p>
        </w:tc>
        <w:tc>
          <w:tcPr>
            <w:tcW w:w="992" w:type="dxa"/>
          </w:tcPr>
          <w:p w14:paraId="2B71681A" w14:textId="77777777" w:rsidR="00CA3C5B" w:rsidRDefault="00260033" w:rsidP="00F51FE2">
            <w:pPr>
              <w:pStyle w:val="TableCopy"/>
              <w:jc w:val="right"/>
            </w:pPr>
            <w:r>
              <w:t>150,000</w:t>
            </w:r>
          </w:p>
        </w:tc>
        <w:tc>
          <w:tcPr>
            <w:tcW w:w="1428" w:type="dxa"/>
          </w:tcPr>
          <w:p w14:paraId="38B366FE" w14:textId="77777777" w:rsidR="00CA3C5B" w:rsidRDefault="00260033" w:rsidP="00F51FE2">
            <w:pPr>
              <w:pStyle w:val="TableCopy"/>
              <w:jc w:val="right"/>
            </w:pPr>
            <w:r>
              <w:t>-42.4%</w:t>
            </w:r>
          </w:p>
        </w:tc>
        <w:tc>
          <w:tcPr>
            <w:tcW w:w="757" w:type="dxa"/>
          </w:tcPr>
          <w:p w14:paraId="5582E4EE" w14:textId="1F7D1BDB" w:rsidR="00CA3C5B" w:rsidRDefault="00462BEA" w:rsidP="00F51FE2">
            <w:pPr>
              <w:pStyle w:val="TableCopy"/>
              <w:jc w:val="right"/>
            </w:pPr>
            <w:r>
              <w:t>3</w:t>
            </w:r>
          </w:p>
        </w:tc>
      </w:tr>
      <w:tr w:rsidR="00CA3C5B" w14:paraId="07301F37" w14:textId="77777777" w:rsidTr="00AE2249">
        <w:trPr>
          <w:cantSplit/>
        </w:trPr>
        <w:tc>
          <w:tcPr>
            <w:tcW w:w="4673" w:type="dxa"/>
          </w:tcPr>
          <w:p w14:paraId="03008FDB" w14:textId="77777777" w:rsidR="00CA3C5B" w:rsidRDefault="00260033" w:rsidP="00E67CF9">
            <w:pPr>
              <w:pStyle w:val="TableCopy"/>
            </w:pPr>
            <w:r>
              <w:t>Number</w:t>
            </w:r>
            <w:r w:rsidR="00932420">
              <w:t xml:space="preserve"> </w:t>
            </w:r>
            <w:r>
              <w:t>of</w:t>
            </w:r>
            <w:r w:rsidR="00932420">
              <w:t xml:space="preserve"> </w:t>
            </w:r>
            <w:proofErr w:type="gramStart"/>
            <w:r>
              <w:t>government</w:t>
            </w:r>
            <w:proofErr w:type="gramEnd"/>
            <w:r w:rsidR="00932420">
              <w:t xml:space="preserve"> </w:t>
            </w:r>
            <w:r>
              <w:t>subsidised</w:t>
            </w:r>
            <w:r w:rsidR="00932420">
              <w:t xml:space="preserve"> </w:t>
            </w:r>
            <w:r>
              <w:t>pre-accredited</w:t>
            </w:r>
            <w:r w:rsidR="00932420">
              <w:t xml:space="preserve"> </w:t>
            </w:r>
            <w:r>
              <w:t>module</w:t>
            </w:r>
            <w:r w:rsidR="00932420">
              <w:t xml:space="preserve"> </w:t>
            </w:r>
            <w:r>
              <w:t>enrolments</w:t>
            </w:r>
            <w:r w:rsidR="00932420">
              <w:t xml:space="preserve"> </w:t>
            </w:r>
            <w:r>
              <w:t>funded</w:t>
            </w:r>
            <w:r w:rsidR="00932420">
              <w:t xml:space="preserve"> </w:t>
            </w:r>
            <w:r>
              <w:t>through</w:t>
            </w:r>
            <w:r w:rsidR="00932420">
              <w:t xml:space="preserve"> </w:t>
            </w:r>
            <w:r>
              <w:t>the</w:t>
            </w:r>
            <w:r w:rsidR="00932420">
              <w:t xml:space="preserve"> </w:t>
            </w:r>
            <w:r>
              <w:t>Adult</w:t>
            </w:r>
            <w:r w:rsidR="00932420">
              <w:t xml:space="preserve"> </w:t>
            </w:r>
            <w:r>
              <w:t>Community</w:t>
            </w:r>
            <w:r w:rsidR="00932420">
              <w:t xml:space="preserve"> </w:t>
            </w:r>
            <w:r>
              <w:t>and</w:t>
            </w:r>
            <w:r w:rsidR="00932420">
              <w:t xml:space="preserve"> </w:t>
            </w:r>
            <w:r>
              <w:t>Further</w:t>
            </w:r>
            <w:r w:rsidR="00932420">
              <w:t xml:space="preserve"> </w:t>
            </w:r>
            <w:r>
              <w:t>Education</w:t>
            </w:r>
            <w:r w:rsidR="00932420">
              <w:t xml:space="preserve"> </w:t>
            </w:r>
            <w:r>
              <w:t>(ACFE)</w:t>
            </w:r>
            <w:r w:rsidR="00932420">
              <w:t xml:space="preserve"> </w:t>
            </w:r>
            <w:r>
              <w:t>Board</w:t>
            </w:r>
          </w:p>
          <w:p w14:paraId="2597E54C" w14:textId="77777777" w:rsidR="00E67CF9" w:rsidRPr="00E67CF9" w:rsidRDefault="00E67CF9" w:rsidP="00E67CF9">
            <w:pPr>
              <w:pStyle w:val="TableCopy"/>
              <w:rPr>
                <w:i/>
                <w:iCs/>
              </w:rPr>
            </w:pPr>
            <w:r w:rsidRPr="00E67CF9">
              <w:rPr>
                <w:i/>
                <w:iCs/>
              </w:rPr>
              <w:t>Higher result partly due to stronger than expected take-up of shorter pre-accredited training modules in 2022, delivering agile and responsive training.</w:t>
            </w:r>
          </w:p>
          <w:p w14:paraId="50440BCE" w14:textId="4F444B9B" w:rsidR="00E67CF9" w:rsidRDefault="00E67CF9" w:rsidP="00E67CF9">
            <w:pPr>
              <w:pStyle w:val="TableCopy"/>
            </w:pPr>
            <w:r w:rsidRPr="00E67CF9">
              <w:rPr>
                <w:i/>
                <w:iCs/>
              </w:rPr>
              <w:t>This performance measure relates to the calendar year.</w:t>
            </w:r>
          </w:p>
        </w:tc>
        <w:tc>
          <w:tcPr>
            <w:tcW w:w="1200" w:type="dxa"/>
          </w:tcPr>
          <w:p w14:paraId="5D85AB89" w14:textId="77777777" w:rsidR="00CA3C5B" w:rsidRDefault="00260033" w:rsidP="00E67CF9">
            <w:pPr>
              <w:pStyle w:val="TableCopy"/>
            </w:pPr>
            <w:r>
              <w:t>number</w:t>
            </w:r>
          </w:p>
        </w:tc>
        <w:tc>
          <w:tcPr>
            <w:tcW w:w="1009" w:type="dxa"/>
          </w:tcPr>
          <w:p w14:paraId="6C128E78" w14:textId="77777777" w:rsidR="00CA3C5B" w:rsidRDefault="00260033" w:rsidP="00F51FE2">
            <w:pPr>
              <w:pStyle w:val="TableCopy"/>
              <w:jc w:val="right"/>
            </w:pPr>
            <w:r>
              <w:t>52,180</w:t>
            </w:r>
          </w:p>
        </w:tc>
        <w:tc>
          <w:tcPr>
            <w:tcW w:w="992" w:type="dxa"/>
          </w:tcPr>
          <w:p w14:paraId="1EF07A6C" w14:textId="77777777" w:rsidR="00CA3C5B" w:rsidRDefault="00260033" w:rsidP="00F51FE2">
            <w:pPr>
              <w:pStyle w:val="TableCopy"/>
              <w:jc w:val="right"/>
            </w:pPr>
            <w:r>
              <w:t>47,400</w:t>
            </w:r>
          </w:p>
        </w:tc>
        <w:tc>
          <w:tcPr>
            <w:tcW w:w="1428" w:type="dxa"/>
          </w:tcPr>
          <w:p w14:paraId="0A953936" w14:textId="77777777" w:rsidR="00CA3C5B" w:rsidRDefault="00260033" w:rsidP="00F51FE2">
            <w:pPr>
              <w:pStyle w:val="TableCopy"/>
              <w:jc w:val="right"/>
            </w:pPr>
            <w:r>
              <w:t>10.1%</w:t>
            </w:r>
          </w:p>
        </w:tc>
        <w:tc>
          <w:tcPr>
            <w:tcW w:w="757" w:type="dxa"/>
          </w:tcPr>
          <w:p w14:paraId="19C07408" w14:textId="20F6D160" w:rsidR="00CA3C5B" w:rsidRDefault="00F51FE2" w:rsidP="00F51FE2">
            <w:pPr>
              <w:pStyle w:val="TableCopy"/>
              <w:jc w:val="right"/>
            </w:pPr>
            <w:r w:rsidRPr="003E4F57">
              <w:t>1</w:t>
            </w:r>
          </w:p>
        </w:tc>
      </w:tr>
      <w:tr w:rsidR="00CA3C5B" w14:paraId="33253ABE" w14:textId="77777777" w:rsidTr="00AE2249">
        <w:trPr>
          <w:cantSplit/>
        </w:trPr>
        <w:tc>
          <w:tcPr>
            <w:tcW w:w="4673" w:type="dxa"/>
          </w:tcPr>
          <w:p w14:paraId="6693A38B" w14:textId="77777777" w:rsidR="00CA3C5B" w:rsidRDefault="00260033" w:rsidP="00E67CF9">
            <w:pPr>
              <w:pStyle w:val="TableCopy"/>
            </w:pPr>
            <w:r>
              <w:t>Number</w:t>
            </w:r>
            <w:r w:rsidR="00932420">
              <w:t xml:space="preserve"> </w:t>
            </w:r>
            <w:r>
              <w:t>of</w:t>
            </w:r>
            <w:r w:rsidR="00932420">
              <w:t xml:space="preserve"> </w:t>
            </w:r>
            <w:r>
              <w:t>students</w:t>
            </w:r>
            <w:r w:rsidR="00932420">
              <w:t xml:space="preserve"> </w:t>
            </w:r>
            <w:r>
              <w:t>without</w:t>
            </w:r>
            <w:r w:rsidR="00932420">
              <w:t xml:space="preserve"> </w:t>
            </w:r>
            <w:r>
              <w:t>Year</w:t>
            </w:r>
            <w:r w:rsidR="00932420">
              <w:t xml:space="preserve"> </w:t>
            </w:r>
            <w:r>
              <w:t>12,</w:t>
            </w:r>
            <w:r w:rsidR="00932420">
              <w:t xml:space="preserve"> </w:t>
            </w:r>
            <w:r>
              <w:t>or</w:t>
            </w:r>
            <w:r w:rsidR="00932420">
              <w:t xml:space="preserve"> </w:t>
            </w:r>
            <w:r>
              <w:t>Certificate</w:t>
            </w:r>
            <w:r w:rsidR="00932420">
              <w:t xml:space="preserve"> </w:t>
            </w:r>
            <w:r>
              <w:t>II</w:t>
            </w:r>
            <w:r w:rsidR="00932420">
              <w:t xml:space="preserve"> </w:t>
            </w:r>
            <w:r>
              <w:t>or</w:t>
            </w:r>
            <w:r w:rsidR="00932420">
              <w:t xml:space="preserve"> </w:t>
            </w:r>
            <w:r>
              <w:t>above,</w:t>
            </w:r>
            <w:r w:rsidR="00932420">
              <w:t xml:space="preserve"> </w:t>
            </w:r>
            <w:r>
              <w:t>enrolled</w:t>
            </w:r>
            <w:r w:rsidR="00932420">
              <w:t xml:space="preserve"> </w:t>
            </w:r>
            <w:r>
              <w:t>in</w:t>
            </w:r>
            <w:r w:rsidR="00932420">
              <w:t xml:space="preserve"> </w:t>
            </w:r>
            <w:r>
              <w:t>a</w:t>
            </w:r>
            <w:r w:rsidR="00932420">
              <w:t xml:space="preserve"> </w:t>
            </w:r>
            <w:r>
              <w:t>government</w:t>
            </w:r>
            <w:r w:rsidR="00932420">
              <w:t xml:space="preserve"> </w:t>
            </w:r>
            <w:r>
              <w:t>subsidised</w:t>
            </w:r>
            <w:r w:rsidR="00932420">
              <w:t xml:space="preserve"> </w:t>
            </w:r>
            <w:r>
              <w:t>course</w:t>
            </w:r>
            <w:r w:rsidR="00932420">
              <w:t xml:space="preserve"> </w:t>
            </w:r>
            <w:r>
              <w:t>at</w:t>
            </w:r>
            <w:r w:rsidR="00932420">
              <w:t xml:space="preserve"> </w:t>
            </w:r>
            <w:r>
              <w:t>Certificate</w:t>
            </w:r>
            <w:r w:rsidR="00932420">
              <w:t xml:space="preserve"> </w:t>
            </w:r>
            <w:r>
              <w:t>III</w:t>
            </w:r>
            <w:r w:rsidR="00932420">
              <w:t xml:space="preserve"> </w:t>
            </w:r>
            <w:r>
              <w:t>or</w:t>
            </w:r>
            <w:r w:rsidR="00932420">
              <w:t xml:space="preserve"> </w:t>
            </w:r>
            <w:r>
              <w:t>above</w:t>
            </w:r>
          </w:p>
          <w:p w14:paraId="32A4174A" w14:textId="75F6CE77" w:rsidR="00E67CF9" w:rsidRPr="00E67CF9" w:rsidRDefault="00E67CF9" w:rsidP="00E67CF9">
            <w:pPr>
              <w:pStyle w:val="TableCopy"/>
              <w:rPr>
                <w:i/>
                <w:iCs/>
              </w:rPr>
            </w:pPr>
            <w:r w:rsidRPr="00E67CF9">
              <w:rPr>
                <w:i/>
                <w:iCs/>
              </w:rPr>
              <w:t>This performance measure relates to the calendar year.</w:t>
            </w:r>
          </w:p>
        </w:tc>
        <w:tc>
          <w:tcPr>
            <w:tcW w:w="1200" w:type="dxa"/>
          </w:tcPr>
          <w:p w14:paraId="5C1E31B8" w14:textId="77777777" w:rsidR="00CA3C5B" w:rsidRDefault="00260033" w:rsidP="00E67CF9">
            <w:pPr>
              <w:pStyle w:val="TableCopy"/>
            </w:pPr>
            <w:r>
              <w:t>number</w:t>
            </w:r>
          </w:p>
        </w:tc>
        <w:tc>
          <w:tcPr>
            <w:tcW w:w="1009" w:type="dxa"/>
          </w:tcPr>
          <w:p w14:paraId="0D6656C2" w14:textId="77777777" w:rsidR="00CA3C5B" w:rsidRDefault="00260033" w:rsidP="00F51FE2">
            <w:pPr>
              <w:pStyle w:val="TableCopy"/>
              <w:jc w:val="right"/>
            </w:pPr>
            <w:r>
              <w:t>55,374</w:t>
            </w:r>
          </w:p>
        </w:tc>
        <w:tc>
          <w:tcPr>
            <w:tcW w:w="992" w:type="dxa"/>
          </w:tcPr>
          <w:p w14:paraId="2A1B0E12" w14:textId="77777777" w:rsidR="00CA3C5B" w:rsidRDefault="00260033" w:rsidP="00F51FE2">
            <w:pPr>
              <w:pStyle w:val="TableCopy"/>
              <w:jc w:val="right"/>
            </w:pPr>
            <w:r>
              <w:t>58,000</w:t>
            </w:r>
          </w:p>
        </w:tc>
        <w:tc>
          <w:tcPr>
            <w:tcW w:w="1428" w:type="dxa"/>
          </w:tcPr>
          <w:p w14:paraId="6AF787DA" w14:textId="77777777" w:rsidR="00CA3C5B" w:rsidRDefault="00260033" w:rsidP="00F51FE2">
            <w:pPr>
              <w:pStyle w:val="TableCopy"/>
              <w:jc w:val="right"/>
            </w:pPr>
            <w:r>
              <w:t>-4.5%</w:t>
            </w:r>
          </w:p>
        </w:tc>
        <w:tc>
          <w:tcPr>
            <w:tcW w:w="757" w:type="dxa"/>
          </w:tcPr>
          <w:p w14:paraId="3523A2B1" w14:textId="383A587E" w:rsidR="00CA3C5B" w:rsidRDefault="00F51FE2" w:rsidP="00F51FE2">
            <w:pPr>
              <w:pStyle w:val="TableCopy"/>
              <w:jc w:val="right"/>
            </w:pPr>
            <w:r>
              <w:t>2</w:t>
            </w:r>
          </w:p>
        </w:tc>
      </w:tr>
      <w:tr w:rsidR="00CA3C5B" w14:paraId="37067719" w14:textId="77777777" w:rsidTr="00AE2249">
        <w:trPr>
          <w:cantSplit/>
        </w:trPr>
        <w:tc>
          <w:tcPr>
            <w:tcW w:w="4673" w:type="dxa"/>
          </w:tcPr>
          <w:p w14:paraId="0C02B4C3" w14:textId="77777777" w:rsidR="00CA3C5B" w:rsidRDefault="00260033" w:rsidP="00E67CF9">
            <w:pPr>
              <w:pStyle w:val="TableCopy"/>
            </w:pPr>
            <w:r>
              <w:lastRenderedPageBreak/>
              <w:t>Proportion</w:t>
            </w:r>
            <w:r w:rsidR="00932420">
              <w:t xml:space="preserve"> </w:t>
            </w:r>
            <w:r>
              <w:t>of</w:t>
            </w:r>
            <w:r w:rsidR="00932420">
              <w:t xml:space="preserve"> </w:t>
            </w:r>
            <w:r>
              <w:t>government</w:t>
            </w:r>
            <w:r w:rsidR="00932420">
              <w:t xml:space="preserve"> </w:t>
            </w:r>
            <w:r>
              <w:t>subsidised</w:t>
            </w:r>
            <w:r w:rsidR="00932420">
              <w:t xml:space="preserve"> </w:t>
            </w:r>
            <w:r>
              <w:t>enrolments</w:t>
            </w:r>
            <w:r w:rsidR="00932420">
              <w:t xml:space="preserve"> </w:t>
            </w:r>
            <w:r>
              <w:t>related</w:t>
            </w:r>
            <w:r w:rsidR="00932420">
              <w:t xml:space="preserve"> </w:t>
            </w:r>
            <w:r>
              <w:t>to</w:t>
            </w:r>
            <w:r w:rsidR="00932420">
              <w:t xml:space="preserve"> </w:t>
            </w:r>
            <w:r>
              <w:t>qualifications</w:t>
            </w:r>
            <w:r w:rsidR="00932420">
              <w:t xml:space="preserve"> </w:t>
            </w:r>
            <w:r>
              <w:t>that</w:t>
            </w:r>
            <w:r w:rsidR="00932420">
              <w:t xml:space="preserve"> </w:t>
            </w:r>
            <w:r>
              <w:t>will</w:t>
            </w:r>
            <w:r w:rsidR="00932420">
              <w:t xml:space="preserve"> </w:t>
            </w:r>
            <w:r>
              <w:t>lead</w:t>
            </w:r>
            <w:r w:rsidR="00932420">
              <w:t xml:space="preserve"> </w:t>
            </w:r>
            <w:r>
              <w:t>to</w:t>
            </w:r>
            <w:r w:rsidR="00932420">
              <w:t xml:space="preserve"> </w:t>
            </w:r>
            <w:r>
              <w:t>jobs</w:t>
            </w:r>
            <w:r w:rsidR="00932420">
              <w:t xml:space="preserve"> </w:t>
            </w:r>
            <w:r>
              <w:t>and</w:t>
            </w:r>
            <w:r w:rsidR="00932420">
              <w:t xml:space="preserve"> </w:t>
            </w:r>
            <w:r>
              <w:t>economic</w:t>
            </w:r>
            <w:r w:rsidR="00932420">
              <w:t xml:space="preserve"> </w:t>
            </w:r>
            <w:r>
              <w:t>growth</w:t>
            </w:r>
          </w:p>
          <w:p w14:paraId="4ED839B5" w14:textId="77777777" w:rsidR="00E67CF9" w:rsidRPr="00E67CF9" w:rsidRDefault="00E67CF9" w:rsidP="00E67CF9">
            <w:pPr>
              <w:pStyle w:val="TableCopy"/>
              <w:rPr>
                <w:i/>
                <w:iCs/>
              </w:rPr>
            </w:pPr>
            <w:r w:rsidRPr="00E67CF9">
              <w:rPr>
                <w:i/>
                <w:iCs/>
              </w:rPr>
              <w:t>Higher result may be due to the strong labour market which likely increased demand for training more closely linked to employment.</w:t>
            </w:r>
          </w:p>
          <w:p w14:paraId="2161FFED" w14:textId="582AB243" w:rsidR="00E67CF9" w:rsidRDefault="00E67CF9" w:rsidP="00E67CF9">
            <w:pPr>
              <w:pStyle w:val="TableCopy"/>
            </w:pPr>
            <w:r w:rsidRPr="00E67CF9">
              <w:rPr>
                <w:i/>
                <w:iCs/>
              </w:rPr>
              <w:t>This performance measure relates to the calendar year.</w:t>
            </w:r>
          </w:p>
        </w:tc>
        <w:tc>
          <w:tcPr>
            <w:tcW w:w="1200" w:type="dxa"/>
          </w:tcPr>
          <w:p w14:paraId="47A3FD0B" w14:textId="01FFA51F" w:rsidR="00CA3C5B" w:rsidRDefault="00260033" w:rsidP="00E67CF9">
            <w:pPr>
              <w:pStyle w:val="TableCopy"/>
            </w:pPr>
            <w:r>
              <w:t>per</w:t>
            </w:r>
            <w:r w:rsidR="00932420">
              <w:t xml:space="preserve"> </w:t>
            </w:r>
            <w:r>
              <w:t>cent</w:t>
            </w:r>
          </w:p>
        </w:tc>
        <w:tc>
          <w:tcPr>
            <w:tcW w:w="1009" w:type="dxa"/>
          </w:tcPr>
          <w:p w14:paraId="792F5B15" w14:textId="77777777" w:rsidR="00CA3C5B" w:rsidRDefault="00260033" w:rsidP="00F51FE2">
            <w:pPr>
              <w:pStyle w:val="TableCopy"/>
              <w:jc w:val="right"/>
            </w:pPr>
            <w:r>
              <w:t>91.1</w:t>
            </w:r>
          </w:p>
        </w:tc>
        <w:tc>
          <w:tcPr>
            <w:tcW w:w="992" w:type="dxa"/>
          </w:tcPr>
          <w:p w14:paraId="28C6331C" w14:textId="77777777" w:rsidR="00CA3C5B" w:rsidRDefault="00260033" w:rsidP="00F51FE2">
            <w:pPr>
              <w:pStyle w:val="TableCopy"/>
              <w:jc w:val="right"/>
            </w:pPr>
            <w:r>
              <w:t>83</w:t>
            </w:r>
          </w:p>
        </w:tc>
        <w:tc>
          <w:tcPr>
            <w:tcW w:w="1428" w:type="dxa"/>
          </w:tcPr>
          <w:p w14:paraId="56A38406" w14:textId="77777777" w:rsidR="00CA3C5B" w:rsidRDefault="00260033" w:rsidP="00F51FE2">
            <w:pPr>
              <w:pStyle w:val="TableCopy"/>
              <w:jc w:val="right"/>
            </w:pPr>
            <w:r>
              <w:t>9.8%</w:t>
            </w:r>
          </w:p>
        </w:tc>
        <w:tc>
          <w:tcPr>
            <w:tcW w:w="757" w:type="dxa"/>
          </w:tcPr>
          <w:p w14:paraId="5A0CC5A0" w14:textId="038E56E3" w:rsidR="00CA3C5B" w:rsidRDefault="00F51FE2" w:rsidP="00F51FE2">
            <w:pPr>
              <w:pStyle w:val="TableCopy"/>
              <w:jc w:val="right"/>
            </w:pPr>
            <w:r w:rsidRPr="003E4F57">
              <w:t>1</w:t>
            </w:r>
          </w:p>
        </w:tc>
      </w:tr>
      <w:tr w:rsidR="00E67CF9" w:rsidRPr="00E67CF9" w14:paraId="10EE76DF" w14:textId="77777777" w:rsidTr="00AE2249">
        <w:trPr>
          <w:cantSplit/>
        </w:trPr>
        <w:tc>
          <w:tcPr>
            <w:tcW w:w="4673" w:type="dxa"/>
          </w:tcPr>
          <w:p w14:paraId="3F47DB6D" w14:textId="3303BF8A" w:rsidR="00E67CF9" w:rsidRPr="00E67CF9" w:rsidRDefault="00E67CF9" w:rsidP="00E67CF9">
            <w:pPr>
              <w:pStyle w:val="TableHeading"/>
            </w:pPr>
            <w:r>
              <w:t>Quality</w:t>
            </w:r>
          </w:p>
        </w:tc>
        <w:tc>
          <w:tcPr>
            <w:tcW w:w="1200" w:type="dxa"/>
          </w:tcPr>
          <w:p w14:paraId="42B9BC7D" w14:textId="77777777" w:rsidR="00E67CF9" w:rsidRPr="00E67CF9" w:rsidRDefault="00E67CF9" w:rsidP="00E67CF9">
            <w:pPr>
              <w:pStyle w:val="TableCopy"/>
            </w:pPr>
          </w:p>
        </w:tc>
        <w:tc>
          <w:tcPr>
            <w:tcW w:w="1009" w:type="dxa"/>
          </w:tcPr>
          <w:p w14:paraId="6A80E3B8" w14:textId="77777777" w:rsidR="00E67CF9" w:rsidRPr="00E67CF9" w:rsidRDefault="00E67CF9" w:rsidP="00F51FE2">
            <w:pPr>
              <w:pStyle w:val="TableCopy"/>
              <w:jc w:val="right"/>
            </w:pPr>
          </w:p>
        </w:tc>
        <w:tc>
          <w:tcPr>
            <w:tcW w:w="992" w:type="dxa"/>
          </w:tcPr>
          <w:p w14:paraId="6DAD01A7" w14:textId="77777777" w:rsidR="00E67CF9" w:rsidRPr="00E67CF9" w:rsidRDefault="00E67CF9" w:rsidP="00F51FE2">
            <w:pPr>
              <w:pStyle w:val="TableCopy"/>
              <w:jc w:val="right"/>
            </w:pPr>
          </w:p>
        </w:tc>
        <w:tc>
          <w:tcPr>
            <w:tcW w:w="1428" w:type="dxa"/>
          </w:tcPr>
          <w:p w14:paraId="21254E85" w14:textId="77777777" w:rsidR="00E67CF9" w:rsidRPr="00E67CF9" w:rsidRDefault="00E67CF9" w:rsidP="00F51FE2">
            <w:pPr>
              <w:pStyle w:val="TableCopy"/>
              <w:jc w:val="right"/>
            </w:pPr>
          </w:p>
        </w:tc>
        <w:tc>
          <w:tcPr>
            <w:tcW w:w="757" w:type="dxa"/>
          </w:tcPr>
          <w:p w14:paraId="2F41F8B1" w14:textId="77777777" w:rsidR="00E67CF9" w:rsidRPr="00E67CF9" w:rsidRDefault="00E67CF9" w:rsidP="00F51FE2">
            <w:pPr>
              <w:pStyle w:val="TableCopy"/>
              <w:jc w:val="right"/>
            </w:pPr>
          </w:p>
        </w:tc>
      </w:tr>
      <w:tr w:rsidR="00CA3C5B" w14:paraId="208ADBE6" w14:textId="77777777" w:rsidTr="00AE2249">
        <w:trPr>
          <w:cantSplit/>
        </w:trPr>
        <w:tc>
          <w:tcPr>
            <w:tcW w:w="4673" w:type="dxa"/>
          </w:tcPr>
          <w:p w14:paraId="11921D04" w14:textId="77777777" w:rsidR="00CA3C5B" w:rsidRDefault="00260033" w:rsidP="00E67CF9">
            <w:pPr>
              <w:pStyle w:val="TableCopy"/>
            </w:pPr>
            <w:r>
              <w:t>Proportion</w:t>
            </w:r>
            <w:r w:rsidR="00932420">
              <w:t xml:space="preserve"> </w:t>
            </w:r>
            <w:r>
              <w:t>of</w:t>
            </w:r>
            <w:r w:rsidR="00932420">
              <w:t xml:space="preserve"> </w:t>
            </w:r>
            <w:r>
              <w:t>employers</w:t>
            </w:r>
            <w:r w:rsidR="00932420">
              <w:t xml:space="preserve"> </w:t>
            </w:r>
            <w:r>
              <w:t>of</w:t>
            </w:r>
            <w:r w:rsidR="00932420">
              <w:t xml:space="preserve"> </w:t>
            </w:r>
            <w:r>
              <w:t>apprentices</w:t>
            </w:r>
            <w:r w:rsidR="00932420">
              <w:t xml:space="preserve"> </w:t>
            </w:r>
            <w:r>
              <w:t>and</w:t>
            </w:r>
            <w:r w:rsidR="00932420">
              <w:t xml:space="preserve"> </w:t>
            </w:r>
            <w:r>
              <w:t>trainees</w:t>
            </w:r>
            <w:r w:rsidR="00932420">
              <w:t xml:space="preserve"> </w:t>
            </w:r>
            <w:r>
              <w:t>who</w:t>
            </w:r>
            <w:r w:rsidR="00932420">
              <w:t xml:space="preserve"> </w:t>
            </w:r>
            <w:r>
              <w:t>are</w:t>
            </w:r>
            <w:r w:rsidR="00932420">
              <w:t xml:space="preserve"> </w:t>
            </w:r>
            <w:r>
              <w:t>satisfied</w:t>
            </w:r>
            <w:r w:rsidR="00932420">
              <w:t xml:space="preserve"> </w:t>
            </w:r>
            <w:r>
              <w:t>with</w:t>
            </w:r>
            <w:r w:rsidR="00932420">
              <w:t xml:space="preserve"> </w:t>
            </w:r>
            <w:r>
              <w:t>training</w:t>
            </w:r>
          </w:p>
          <w:p w14:paraId="5F6C39BE" w14:textId="4BF5700C" w:rsidR="00E67CF9" w:rsidRPr="00E67CF9" w:rsidRDefault="00E67CF9" w:rsidP="00E67CF9">
            <w:pPr>
              <w:pStyle w:val="TableCopy"/>
              <w:rPr>
                <w:i/>
                <w:iCs/>
              </w:rPr>
            </w:pPr>
            <w:r w:rsidRPr="00E67CF9">
              <w:rPr>
                <w:i/>
                <w:iCs/>
              </w:rPr>
              <w:t>This performance measure relates to the calendar year.</w:t>
            </w:r>
          </w:p>
        </w:tc>
        <w:tc>
          <w:tcPr>
            <w:tcW w:w="1200" w:type="dxa"/>
          </w:tcPr>
          <w:p w14:paraId="55F0260F" w14:textId="71E3BEBC" w:rsidR="00CA3C5B" w:rsidRDefault="00260033" w:rsidP="00E67CF9">
            <w:pPr>
              <w:pStyle w:val="TableCopy"/>
            </w:pPr>
            <w:r>
              <w:t>per</w:t>
            </w:r>
            <w:r w:rsidR="00932420">
              <w:t xml:space="preserve"> </w:t>
            </w:r>
            <w:r>
              <w:t>cent</w:t>
            </w:r>
          </w:p>
        </w:tc>
        <w:tc>
          <w:tcPr>
            <w:tcW w:w="1009" w:type="dxa"/>
          </w:tcPr>
          <w:p w14:paraId="78F0E6D6" w14:textId="77777777" w:rsidR="00CA3C5B" w:rsidRDefault="00260033" w:rsidP="00F51FE2">
            <w:pPr>
              <w:pStyle w:val="TableCopy"/>
              <w:jc w:val="right"/>
            </w:pPr>
            <w:r>
              <w:t>77.1</w:t>
            </w:r>
          </w:p>
        </w:tc>
        <w:tc>
          <w:tcPr>
            <w:tcW w:w="992" w:type="dxa"/>
          </w:tcPr>
          <w:p w14:paraId="4CD49455" w14:textId="77777777" w:rsidR="00CA3C5B" w:rsidRDefault="00260033" w:rsidP="00F51FE2">
            <w:pPr>
              <w:pStyle w:val="TableCopy"/>
              <w:jc w:val="right"/>
            </w:pPr>
            <w:r>
              <w:t>78.1</w:t>
            </w:r>
          </w:p>
        </w:tc>
        <w:tc>
          <w:tcPr>
            <w:tcW w:w="1428" w:type="dxa"/>
          </w:tcPr>
          <w:p w14:paraId="124B4CA2" w14:textId="77777777" w:rsidR="00CA3C5B" w:rsidRDefault="00260033" w:rsidP="00F51FE2">
            <w:pPr>
              <w:pStyle w:val="TableCopy"/>
              <w:jc w:val="right"/>
            </w:pPr>
            <w:r>
              <w:t>-1.3%</w:t>
            </w:r>
          </w:p>
        </w:tc>
        <w:tc>
          <w:tcPr>
            <w:tcW w:w="757" w:type="dxa"/>
          </w:tcPr>
          <w:p w14:paraId="6DC7AED4" w14:textId="54924FEE" w:rsidR="00CA3C5B" w:rsidRDefault="00F51FE2" w:rsidP="00F51FE2">
            <w:pPr>
              <w:pStyle w:val="TableCopy"/>
              <w:jc w:val="right"/>
            </w:pPr>
            <w:r>
              <w:t>2</w:t>
            </w:r>
          </w:p>
        </w:tc>
      </w:tr>
      <w:tr w:rsidR="00CA3C5B" w14:paraId="186B8914" w14:textId="77777777" w:rsidTr="00AE2249">
        <w:trPr>
          <w:cantSplit/>
        </w:trPr>
        <w:tc>
          <w:tcPr>
            <w:tcW w:w="4673" w:type="dxa"/>
          </w:tcPr>
          <w:p w14:paraId="22BB474F" w14:textId="77777777" w:rsidR="00CA3C5B" w:rsidRDefault="00260033" w:rsidP="00E67CF9">
            <w:pPr>
              <w:pStyle w:val="TableCopy"/>
            </w:pPr>
            <w:r>
              <w:t>Proportion</w:t>
            </w:r>
            <w:r w:rsidR="00932420">
              <w:t xml:space="preserve"> </w:t>
            </w:r>
            <w:r>
              <w:t>of</w:t>
            </w:r>
            <w:r w:rsidR="00932420">
              <w:t xml:space="preserve"> </w:t>
            </w:r>
            <w:r>
              <w:t>VET</w:t>
            </w:r>
            <w:r w:rsidR="00932420">
              <w:t xml:space="preserve"> </w:t>
            </w:r>
            <w:r>
              <w:t>completers</w:t>
            </w:r>
            <w:r w:rsidR="00932420">
              <w:t xml:space="preserve"> </w:t>
            </w:r>
            <w:r>
              <w:t>who</w:t>
            </w:r>
            <w:r w:rsidR="00932420">
              <w:t xml:space="preserve"> </w:t>
            </w:r>
            <w:r>
              <w:t>achieved</w:t>
            </w:r>
            <w:r w:rsidR="00932420">
              <w:t xml:space="preserve"> </w:t>
            </w:r>
            <w:r>
              <w:t>their</w:t>
            </w:r>
            <w:r w:rsidR="00932420">
              <w:t xml:space="preserve"> </w:t>
            </w:r>
            <w:r>
              <w:t>main</w:t>
            </w:r>
            <w:r w:rsidR="00932420">
              <w:t xml:space="preserve"> </w:t>
            </w:r>
            <w:r>
              <w:t>reason</w:t>
            </w:r>
            <w:r w:rsidR="00932420">
              <w:t xml:space="preserve"> </w:t>
            </w:r>
            <w:r>
              <w:t>for</w:t>
            </w:r>
            <w:r w:rsidR="00932420">
              <w:t xml:space="preserve"> </w:t>
            </w:r>
            <w:r>
              <w:t>training</w:t>
            </w:r>
          </w:p>
          <w:p w14:paraId="4ACFD1AA" w14:textId="77777777" w:rsidR="00E67CF9" w:rsidRPr="00E67CF9" w:rsidRDefault="00E67CF9" w:rsidP="00E67CF9">
            <w:pPr>
              <w:pStyle w:val="TableCopy"/>
              <w:rPr>
                <w:i/>
                <w:iCs/>
              </w:rPr>
            </w:pPr>
            <w:r w:rsidRPr="00E67CF9">
              <w:rPr>
                <w:i/>
                <w:iCs/>
              </w:rPr>
              <w:t>Higher result could provide an indicator of the suitability of training and the availability of information on courses and providers, which enabled prospective students to choose training that was appropriate for their needs.</w:t>
            </w:r>
          </w:p>
          <w:p w14:paraId="47FB58D4" w14:textId="21AB4865" w:rsidR="00E67CF9" w:rsidRDefault="00E67CF9" w:rsidP="00E67CF9">
            <w:pPr>
              <w:pStyle w:val="TableCopy"/>
            </w:pPr>
            <w:r w:rsidRPr="00E67CF9">
              <w:rPr>
                <w:i/>
                <w:iCs/>
              </w:rPr>
              <w:t>This performance measure relates to the calendar year. Data for the 2022–23 actual relates to the 2022 Victorian Student Satisfaction Survey of 2021 training experiences.</w:t>
            </w:r>
          </w:p>
        </w:tc>
        <w:tc>
          <w:tcPr>
            <w:tcW w:w="1200" w:type="dxa"/>
          </w:tcPr>
          <w:p w14:paraId="108B9775" w14:textId="62D5C343" w:rsidR="00CA3C5B" w:rsidRDefault="00260033" w:rsidP="00E67CF9">
            <w:pPr>
              <w:pStyle w:val="TableCopy"/>
            </w:pPr>
            <w:r>
              <w:t>per</w:t>
            </w:r>
            <w:r w:rsidR="00932420">
              <w:t xml:space="preserve"> </w:t>
            </w:r>
            <w:r>
              <w:t>cent</w:t>
            </w:r>
          </w:p>
        </w:tc>
        <w:tc>
          <w:tcPr>
            <w:tcW w:w="1009" w:type="dxa"/>
          </w:tcPr>
          <w:p w14:paraId="563E2032" w14:textId="77777777" w:rsidR="00CA3C5B" w:rsidRDefault="00260033" w:rsidP="00F51FE2">
            <w:pPr>
              <w:pStyle w:val="TableCopy"/>
              <w:jc w:val="right"/>
            </w:pPr>
            <w:r>
              <w:t>89.2</w:t>
            </w:r>
          </w:p>
        </w:tc>
        <w:tc>
          <w:tcPr>
            <w:tcW w:w="992" w:type="dxa"/>
          </w:tcPr>
          <w:p w14:paraId="2865FCF3" w14:textId="77777777" w:rsidR="00CA3C5B" w:rsidRDefault="00260033" w:rsidP="00F51FE2">
            <w:pPr>
              <w:pStyle w:val="TableCopy"/>
              <w:jc w:val="right"/>
            </w:pPr>
            <w:r>
              <w:t>84.1</w:t>
            </w:r>
          </w:p>
        </w:tc>
        <w:tc>
          <w:tcPr>
            <w:tcW w:w="1428" w:type="dxa"/>
          </w:tcPr>
          <w:p w14:paraId="6BA5C77F" w14:textId="77777777" w:rsidR="00CA3C5B" w:rsidRDefault="00260033" w:rsidP="00F51FE2">
            <w:pPr>
              <w:pStyle w:val="TableCopy"/>
              <w:jc w:val="right"/>
            </w:pPr>
            <w:r>
              <w:t>6.1%</w:t>
            </w:r>
          </w:p>
        </w:tc>
        <w:tc>
          <w:tcPr>
            <w:tcW w:w="757" w:type="dxa"/>
          </w:tcPr>
          <w:p w14:paraId="51E34F71" w14:textId="7453B311" w:rsidR="00CA3C5B" w:rsidRDefault="00F51FE2" w:rsidP="00F51FE2">
            <w:pPr>
              <w:pStyle w:val="TableCopy"/>
              <w:jc w:val="right"/>
            </w:pPr>
            <w:r w:rsidRPr="003E4F57">
              <w:t>1</w:t>
            </w:r>
          </w:p>
        </w:tc>
      </w:tr>
      <w:tr w:rsidR="00CA3C5B" w14:paraId="310F655C" w14:textId="77777777" w:rsidTr="00AE2249">
        <w:trPr>
          <w:cantSplit/>
        </w:trPr>
        <w:tc>
          <w:tcPr>
            <w:tcW w:w="4673" w:type="dxa"/>
          </w:tcPr>
          <w:p w14:paraId="5B11B3EF" w14:textId="77777777" w:rsidR="00CA3C5B" w:rsidRDefault="00260033" w:rsidP="00E67CF9">
            <w:pPr>
              <w:pStyle w:val="TableCopy"/>
            </w:pPr>
            <w:r>
              <w:t>Proportion</w:t>
            </w:r>
            <w:r w:rsidR="00932420">
              <w:t xml:space="preserve"> </w:t>
            </w:r>
            <w:r>
              <w:t>of</w:t>
            </w:r>
            <w:r w:rsidR="00932420">
              <w:t xml:space="preserve"> </w:t>
            </w:r>
            <w:r>
              <w:t>VET</w:t>
            </w:r>
            <w:r w:rsidR="00932420">
              <w:t xml:space="preserve"> </w:t>
            </w:r>
            <w:r>
              <w:t>completers</w:t>
            </w:r>
            <w:r w:rsidR="00932420">
              <w:t xml:space="preserve"> </w:t>
            </w:r>
            <w:r>
              <w:t>who</w:t>
            </w:r>
            <w:r w:rsidR="00932420">
              <w:t xml:space="preserve"> </w:t>
            </w:r>
            <w:r>
              <w:t>are</w:t>
            </w:r>
            <w:r w:rsidR="00932420">
              <w:t xml:space="preserve"> </w:t>
            </w:r>
            <w:r>
              <w:t>satisfied</w:t>
            </w:r>
            <w:r w:rsidR="00932420">
              <w:t xml:space="preserve"> </w:t>
            </w:r>
            <w:r>
              <w:t>with</w:t>
            </w:r>
            <w:r w:rsidR="00932420">
              <w:t xml:space="preserve"> </w:t>
            </w:r>
            <w:r>
              <w:t>their</w:t>
            </w:r>
            <w:r w:rsidR="00932420">
              <w:t xml:space="preserve"> </w:t>
            </w:r>
            <w:r>
              <w:t>training</w:t>
            </w:r>
          </w:p>
          <w:p w14:paraId="2C0420A7" w14:textId="5D2CDA73" w:rsidR="00E67CF9" w:rsidRPr="00E67CF9" w:rsidRDefault="00E67CF9" w:rsidP="00E67CF9">
            <w:pPr>
              <w:pStyle w:val="TableCopy"/>
              <w:rPr>
                <w:i/>
                <w:iCs/>
              </w:rPr>
            </w:pPr>
            <w:r w:rsidRPr="00E67CF9">
              <w:rPr>
                <w:i/>
                <w:iCs/>
              </w:rPr>
              <w:t>This performance measure relates to the calendar year. Data for the 2022–23 actual relates to the 2022 Victorian Student Satisfaction Survey of 2021 training experiences.</w:t>
            </w:r>
          </w:p>
        </w:tc>
        <w:tc>
          <w:tcPr>
            <w:tcW w:w="1200" w:type="dxa"/>
          </w:tcPr>
          <w:p w14:paraId="35658082" w14:textId="09AD8FF7" w:rsidR="00CA3C5B" w:rsidRDefault="00260033" w:rsidP="00E67CF9">
            <w:pPr>
              <w:pStyle w:val="TableCopy"/>
            </w:pPr>
            <w:r>
              <w:t>per</w:t>
            </w:r>
            <w:r w:rsidR="00932420">
              <w:t xml:space="preserve"> </w:t>
            </w:r>
            <w:r>
              <w:t>cent</w:t>
            </w:r>
          </w:p>
        </w:tc>
        <w:tc>
          <w:tcPr>
            <w:tcW w:w="1009" w:type="dxa"/>
          </w:tcPr>
          <w:p w14:paraId="11FFCCE7" w14:textId="77777777" w:rsidR="00CA3C5B" w:rsidRDefault="00260033" w:rsidP="00F51FE2">
            <w:pPr>
              <w:pStyle w:val="TableCopy"/>
              <w:jc w:val="right"/>
            </w:pPr>
            <w:r>
              <w:t>86.4</w:t>
            </w:r>
          </w:p>
        </w:tc>
        <w:tc>
          <w:tcPr>
            <w:tcW w:w="992" w:type="dxa"/>
          </w:tcPr>
          <w:p w14:paraId="1D646CF2" w14:textId="77777777" w:rsidR="00CA3C5B" w:rsidRDefault="00260033" w:rsidP="00F51FE2">
            <w:pPr>
              <w:pStyle w:val="TableCopy"/>
              <w:jc w:val="right"/>
            </w:pPr>
            <w:r>
              <w:t>85.7</w:t>
            </w:r>
          </w:p>
        </w:tc>
        <w:tc>
          <w:tcPr>
            <w:tcW w:w="1428" w:type="dxa"/>
          </w:tcPr>
          <w:p w14:paraId="30B44E24" w14:textId="77777777" w:rsidR="00CA3C5B" w:rsidRDefault="00260033" w:rsidP="00F51FE2">
            <w:pPr>
              <w:pStyle w:val="TableCopy"/>
              <w:jc w:val="right"/>
            </w:pPr>
            <w:r>
              <w:t>0.8%</w:t>
            </w:r>
          </w:p>
        </w:tc>
        <w:tc>
          <w:tcPr>
            <w:tcW w:w="757" w:type="dxa"/>
          </w:tcPr>
          <w:p w14:paraId="102686D5" w14:textId="68AD6CEB" w:rsidR="00CA3C5B" w:rsidRDefault="00F51FE2" w:rsidP="00F51FE2">
            <w:pPr>
              <w:pStyle w:val="TableCopy"/>
              <w:jc w:val="right"/>
            </w:pPr>
            <w:r w:rsidRPr="003E4F57">
              <w:t>1</w:t>
            </w:r>
          </w:p>
        </w:tc>
      </w:tr>
      <w:tr w:rsidR="00CA3C5B" w14:paraId="3AA41338" w14:textId="77777777" w:rsidTr="00AE2249">
        <w:trPr>
          <w:cantSplit/>
        </w:trPr>
        <w:tc>
          <w:tcPr>
            <w:tcW w:w="4673" w:type="dxa"/>
          </w:tcPr>
          <w:p w14:paraId="1597CCC6" w14:textId="77777777" w:rsidR="00CA3C5B" w:rsidRDefault="00260033" w:rsidP="00E67CF9">
            <w:pPr>
              <w:pStyle w:val="TableCopy"/>
            </w:pPr>
            <w:r>
              <w:lastRenderedPageBreak/>
              <w:t>Proportion</w:t>
            </w:r>
            <w:r w:rsidR="00932420">
              <w:t xml:space="preserve"> </w:t>
            </w:r>
            <w:r>
              <w:t>of</w:t>
            </w:r>
            <w:r w:rsidR="00932420">
              <w:t xml:space="preserve"> </w:t>
            </w:r>
            <w:r>
              <w:t>VET</w:t>
            </w:r>
            <w:r w:rsidR="00932420">
              <w:t xml:space="preserve"> </w:t>
            </w:r>
            <w:r>
              <w:t>completers</w:t>
            </w:r>
            <w:r w:rsidR="00932420">
              <w:t xml:space="preserve"> </w:t>
            </w:r>
            <w:r>
              <w:t>with</w:t>
            </w:r>
            <w:r w:rsidR="00932420">
              <w:t xml:space="preserve"> </w:t>
            </w:r>
            <w:r>
              <w:t>an</w:t>
            </w:r>
            <w:r w:rsidR="00932420">
              <w:t xml:space="preserve"> </w:t>
            </w:r>
            <w:r>
              <w:t>improved</w:t>
            </w:r>
            <w:r w:rsidR="00932420">
              <w:t xml:space="preserve"> </w:t>
            </w:r>
            <w:r>
              <w:t>employment</w:t>
            </w:r>
            <w:r w:rsidR="00932420">
              <w:t xml:space="preserve"> </w:t>
            </w:r>
            <w:r>
              <w:t>status</w:t>
            </w:r>
            <w:r w:rsidR="00932420">
              <w:t xml:space="preserve"> </w:t>
            </w:r>
            <w:r>
              <w:t>after</w:t>
            </w:r>
            <w:r w:rsidR="00932420">
              <w:t xml:space="preserve"> </w:t>
            </w:r>
            <w:r>
              <w:t>training</w:t>
            </w:r>
          </w:p>
          <w:p w14:paraId="1CA7A8CD" w14:textId="77777777" w:rsidR="00F51FE2" w:rsidRPr="00F51FE2" w:rsidRDefault="00F51FE2" w:rsidP="00F51FE2">
            <w:pPr>
              <w:pStyle w:val="TableCopy"/>
              <w:rPr>
                <w:i/>
                <w:iCs/>
              </w:rPr>
            </w:pPr>
            <w:r w:rsidRPr="00F51FE2">
              <w:rPr>
                <w:i/>
                <w:iCs/>
              </w:rPr>
              <w:t>Higher result may be due to the low unemployment rate in 2022 which enabled a higher percentage of students to gain employment.</w:t>
            </w:r>
          </w:p>
          <w:p w14:paraId="1280462F" w14:textId="67037D8A" w:rsidR="00F51FE2" w:rsidRDefault="00F51FE2" w:rsidP="00F51FE2">
            <w:pPr>
              <w:pStyle w:val="TableCopy"/>
            </w:pPr>
            <w:r w:rsidRPr="00F51FE2">
              <w:rPr>
                <w:i/>
                <w:iCs/>
              </w:rPr>
              <w:t>This performance measure relates to the calendar year. Data for the 2022–23 actual relates to the 2022 Victorian Student Satisfaction Survey of 2021 training experiences.</w:t>
            </w:r>
          </w:p>
        </w:tc>
        <w:tc>
          <w:tcPr>
            <w:tcW w:w="1200" w:type="dxa"/>
          </w:tcPr>
          <w:p w14:paraId="5E114427" w14:textId="3E8E6432" w:rsidR="00CA3C5B" w:rsidRDefault="00260033" w:rsidP="00E67CF9">
            <w:pPr>
              <w:pStyle w:val="TableCopy"/>
            </w:pPr>
            <w:r>
              <w:t>per</w:t>
            </w:r>
            <w:r w:rsidR="00932420">
              <w:t xml:space="preserve"> </w:t>
            </w:r>
            <w:r>
              <w:t>cent</w:t>
            </w:r>
          </w:p>
        </w:tc>
        <w:tc>
          <w:tcPr>
            <w:tcW w:w="1009" w:type="dxa"/>
          </w:tcPr>
          <w:p w14:paraId="57706628" w14:textId="77777777" w:rsidR="00CA3C5B" w:rsidRDefault="00260033" w:rsidP="00F51FE2">
            <w:pPr>
              <w:pStyle w:val="TableCopy"/>
              <w:jc w:val="right"/>
            </w:pPr>
            <w:r>
              <w:t>64.8</w:t>
            </w:r>
          </w:p>
        </w:tc>
        <w:tc>
          <w:tcPr>
            <w:tcW w:w="992" w:type="dxa"/>
          </w:tcPr>
          <w:p w14:paraId="0E0BEC25" w14:textId="77777777" w:rsidR="00CA3C5B" w:rsidRDefault="00260033" w:rsidP="00F51FE2">
            <w:pPr>
              <w:pStyle w:val="TableCopy"/>
              <w:jc w:val="right"/>
            </w:pPr>
            <w:r>
              <w:t>54.4</w:t>
            </w:r>
          </w:p>
        </w:tc>
        <w:tc>
          <w:tcPr>
            <w:tcW w:w="1428" w:type="dxa"/>
          </w:tcPr>
          <w:p w14:paraId="7A6EF239" w14:textId="77777777" w:rsidR="00CA3C5B" w:rsidRDefault="00260033" w:rsidP="00F51FE2">
            <w:pPr>
              <w:pStyle w:val="TableCopy"/>
              <w:jc w:val="right"/>
            </w:pPr>
            <w:r>
              <w:t>19.1%</w:t>
            </w:r>
          </w:p>
        </w:tc>
        <w:tc>
          <w:tcPr>
            <w:tcW w:w="757" w:type="dxa"/>
          </w:tcPr>
          <w:p w14:paraId="0D4F6A0C" w14:textId="6FC24B10" w:rsidR="00CA3C5B" w:rsidRDefault="00F51FE2" w:rsidP="00F51FE2">
            <w:pPr>
              <w:pStyle w:val="TableCopy"/>
              <w:jc w:val="right"/>
            </w:pPr>
            <w:r w:rsidRPr="003E4F57">
              <w:t>1</w:t>
            </w:r>
          </w:p>
        </w:tc>
      </w:tr>
      <w:tr w:rsidR="00CA3C5B" w14:paraId="2F41B6E8" w14:textId="77777777" w:rsidTr="00AE2249">
        <w:trPr>
          <w:cantSplit/>
        </w:trPr>
        <w:tc>
          <w:tcPr>
            <w:tcW w:w="4673" w:type="dxa"/>
          </w:tcPr>
          <w:p w14:paraId="74FDDEBE" w14:textId="77777777" w:rsidR="00CA3C5B" w:rsidRDefault="00260033" w:rsidP="00E67CF9">
            <w:pPr>
              <w:pStyle w:val="TableCopy"/>
            </w:pPr>
            <w:r>
              <w:t>Six-year</w:t>
            </w:r>
            <w:r w:rsidR="00932420">
              <w:t xml:space="preserve"> </w:t>
            </w:r>
            <w:r>
              <w:t>completion</w:t>
            </w:r>
            <w:r w:rsidR="00932420">
              <w:t xml:space="preserve"> </w:t>
            </w:r>
            <w:r>
              <w:t>rate</w:t>
            </w:r>
            <w:r w:rsidR="00932420">
              <w:t xml:space="preserve"> </w:t>
            </w:r>
            <w:r>
              <w:t>for</w:t>
            </w:r>
            <w:r w:rsidR="00932420">
              <w:t xml:space="preserve"> </w:t>
            </w:r>
            <w:r>
              <w:t>apprentice</w:t>
            </w:r>
            <w:r w:rsidR="00932420">
              <w:t xml:space="preserve"> </w:t>
            </w:r>
            <w:r>
              <w:t>commencements</w:t>
            </w:r>
            <w:r w:rsidR="00932420">
              <w:t xml:space="preserve"> </w:t>
            </w:r>
            <w:r>
              <w:t>in</w:t>
            </w:r>
            <w:r w:rsidR="00932420">
              <w:t xml:space="preserve"> </w:t>
            </w:r>
            <w:r>
              <w:t>government</w:t>
            </w:r>
            <w:r w:rsidR="00932420">
              <w:t xml:space="preserve"> </w:t>
            </w:r>
            <w:r>
              <w:t>subsidised</w:t>
            </w:r>
            <w:r w:rsidR="00932420">
              <w:t xml:space="preserve"> </w:t>
            </w:r>
            <w:r>
              <w:t>AQF</w:t>
            </w:r>
            <w:r w:rsidR="00932420">
              <w:t xml:space="preserve"> </w:t>
            </w:r>
            <w:r>
              <w:t>qualifications</w:t>
            </w:r>
          </w:p>
          <w:p w14:paraId="1F8024A1" w14:textId="77777777" w:rsidR="00F51FE2" w:rsidRPr="00F51FE2" w:rsidRDefault="00F51FE2" w:rsidP="00F51FE2">
            <w:pPr>
              <w:pStyle w:val="TableCopy"/>
              <w:rPr>
                <w:i/>
                <w:iCs/>
              </w:rPr>
            </w:pPr>
            <w:r w:rsidRPr="00F51FE2">
              <w:rPr>
                <w:i/>
                <w:iCs/>
              </w:rPr>
              <w:t>Higher result due to government initiatives to support apprenticeships.</w:t>
            </w:r>
          </w:p>
          <w:p w14:paraId="347A1604" w14:textId="1209FE98" w:rsidR="00F51FE2" w:rsidRDefault="00F51FE2" w:rsidP="00F51FE2">
            <w:pPr>
              <w:pStyle w:val="TableCopy"/>
            </w:pPr>
            <w:r w:rsidRPr="00F51FE2">
              <w:rPr>
                <w:i/>
                <w:iCs/>
              </w:rPr>
              <w:t>This performance measure relates to the calendar year.</w:t>
            </w:r>
          </w:p>
        </w:tc>
        <w:tc>
          <w:tcPr>
            <w:tcW w:w="1200" w:type="dxa"/>
          </w:tcPr>
          <w:p w14:paraId="4AAB726A" w14:textId="462710DE" w:rsidR="00CA3C5B" w:rsidRDefault="00260033" w:rsidP="00E67CF9">
            <w:pPr>
              <w:pStyle w:val="TableCopy"/>
            </w:pPr>
            <w:r>
              <w:t>per</w:t>
            </w:r>
            <w:r w:rsidR="00932420">
              <w:t xml:space="preserve"> </w:t>
            </w:r>
            <w:r>
              <w:t>cent</w:t>
            </w:r>
          </w:p>
        </w:tc>
        <w:tc>
          <w:tcPr>
            <w:tcW w:w="1009" w:type="dxa"/>
          </w:tcPr>
          <w:p w14:paraId="2E5139FB" w14:textId="77777777" w:rsidR="00CA3C5B" w:rsidRDefault="00260033" w:rsidP="00F51FE2">
            <w:pPr>
              <w:pStyle w:val="TableCopy"/>
              <w:jc w:val="right"/>
            </w:pPr>
            <w:r>
              <w:t>62.8</w:t>
            </w:r>
          </w:p>
        </w:tc>
        <w:tc>
          <w:tcPr>
            <w:tcW w:w="992" w:type="dxa"/>
          </w:tcPr>
          <w:p w14:paraId="7D2A141E" w14:textId="77777777" w:rsidR="00CA3C5B" w:rsidRDefault="00260033" w:rsidP="00F51FE2">
            <w:pPr>
              <w:pStyle w:val="TableCopy"/>
              <w:jc w:val="right"/>
            </w:pPr>
            <w:r>
              <w:t>58</w:t>
            </w:r>
          </w:p>
        </w:tc>
        <w:tc>
          <w:tcPr>
            <w:tcW w:w="1428" w:type="dxa"/>
          </w:tcPr>
          <w:p w14:paraId="5252BD1B" w14:textId="77777777" w:rsidR="00CA3C5B" w:rsidRDefault="00260033" w:rsidP="00F51FE2">
            <w:pPr>
              <w:pStyle w:val="TableCopy"/>
              <w:jc w:val="right"/>
            </w:pPr>
            <w:r>
              <w:t>8.3%</w:t>
            </w:r>
          </w:p>
        </w:tc>
        <w:tc>
          <w:tcPr>
            <w:tcW w:w="757" w:type="dxa"/>
          </w:tcPr>
          <w:p w14:paraId="4B2D988A" w14:textId="5F64B43C" w:rsidR="00CA3C5B" w:rsidRDefault="00F51FE2" w:rsidP="00F51FE2">
            <w:pPr>
              <w:pStyle w:val="TableCopy"/>
              <w:jc w:val="right"/>
            </w:pPr>
            <w:r w:rsidRPr="003E4F57">
              <w:t>1</w:t>
            </w:r>
          </w:p>
        </w:tc>
      </w:tr>
      <w:tr w:rsidR="00CA3C5B" w14:paraId="5EE25448" w14:textId="77777777" w:rsidTr="00AE2249">
        <w:trPr>
          <w:cantSplit/>
        </w:trPr>
        <w:tc>
          <w:tcPr>
            <w:tcW w:w="4673" w:type="dxa"/>
          </w:tcPr>
          <w:p w14:paraId="05110E04" w14:textId="77777777" w:rsidR="00CA3C5B" w:rsidRDefault="00260033" w:rsidP="00E67CF9">
            <w:pPr>
              <w:pStyle w:val="TableCopy"/>
            </w:pPr>
            <w:r>
              <w:t>Two-year</w:t>
            </w:r>
            <w:r w:rsidR="00932420">
              <w:t xml:space="preserve"> </w:t>
            </w:r>
            <w:r>
              <w:t>completion</w:t>
            </w:r>
            <w:r w:rsidR="00932420">
              <w:t xml:space="preserve"> </w:t>
            </w:r>
            <w:r>
              <w:t>rate</w:t>
            </w:r>
            <w:r w:rsidR="00932420">
              <w:t xml:space="preserve"> </w:t>
            </w:r>
            <w:r>
              <w:t>for</w:t>
            </w:r>
            <w:r w:rsidR="00932420">
              <w:t xml:space="preserve"> </w:t>
            </w:r>
            <w:r>
              <w:t>non-apprentice</w:t>
            </w:r>
            <w:r w:rsidR="00932420">
              <w:t xml:space="preserve"> </w:t>
            </w:r>
            <w:r>
              <w:t>commencements</w:t>
            </w:r>
            <w:r w:rsidR="00932420">
              <w:t xml:space="preserve"> </w:t>
            </w:r>
            <w:r>
              <w:t>in</w:t>
            </w:r>
            <w:r w:rsidR="00932420">
              <w:t xml:space="preserve"> </w:t>
            </w:r>
            <w:r>
              <w:t>government</w:t>
            </w:r>
            <w:r w:rsidR="00932420">
              <w:t xml:space="preserve"> </w:t>
            </w:r>
            <w:r>
              <w:t>subsidised</w:t>
            </w:r>
            <w:r w:rsidR="00932420">
              <w:t xml:space="preserve"> </w:t>
            </w:r>
            <w:r>
              <w:t>Australian</w:t>
            </w:r>
            <w:r w:rsidR="00932420">
              <w:t xml:space="preserve"> </w:t>
            </w:r>
            <w:r>
              <w:t>Qualifications</w:t>
            </w:r>
            <w:r w:rsidR="00932420">
              <w:t xml:space="preserve"> </w:t>
            </w:r>
            <w:r>
              <w:t>Framework</w:t>
            </w:r>
            <w:r w:rsidR="00932420">
              <w:t xml:space="preserve"> </w:t>
            </w:r>
            <w:r>
              <w:t>(AQF)</w:t>
            </w:r>
            <w:r w:rsidR="00932420">
              <w:t xml:space="preserve"> </w:t>
            </w:r>
            <w:r>
              <w:t>qualifications</w:t>
            </w:r>
          </w:p>
          <w:p w14:paraId="5AD96C68" w14:textId="1350B378" w:rsidR="00F51FE2" w:rsidRPr="00F51FE2" w:rsidRDefault="00F51FE2" w:rsidP="00E67CF9">
            <w:pPr>
              <w:pStyle w:val="TableCopy"/>
              <w:rPr>
                <w:i/>
                <w:iCs/>
              </w:rPr>
            </w:pPr>
            <w:r w:rsidRPr="00F51FE2">
              <w:rPr>
                <w:i/>
                <w:iCs/>
              </w:rPr>
              <w:t>This performance measure relates to the calendar year.</w:t>
            </w:r>
          </w:p>
        </w:tc>
        <w:tc>
          <w:tcPr>
            <w:tcW w:w="1200" w:type="dxa"/>
          </w:tcPr>
          <w:p w14:paraId="6220CACA" w14:textId="1B408A02" w:rsidR="00CA3C5B" w:rsidRDefault="00260033" w:rsidP="00E67CF9">
            <w:pPr>
              <w:pStyle w:val="TableCopy"/>
            </w:pPr>
            <w:r>
              <w:t>per</w:t>
            </w:r>
            <w:r w:rsidR="00932420">
              <w:t xml:space="preserve"> </w:t>
            </w:r>
            <w:r>
              <w:t>cent</w:t>
            </w:r>
          </w:p>
        </w:tc>
        <w:tc>
          <w:tcPr>
            <w:tcW w:w="1009" w:type="dxa"/>
          </w:tcPr>
          <w:p w14:paraId="1F108EA3" w14:textId="77777777" w:rsidR="00CA3C5B" w:rsidRDefault="00260033" w:rsidP="00F51FE2">
            <w:pPr>
              <w:pStyle w:val="TableCopy"/>
              <w:jc w:val="right"/>
            </w:pPr>
            <w:r>
              <w:t>47.2</w:t>
            </w:r>
          </w:p>
        </w:tc>
        <w:tc>
          <w:tcPr>
            <w:tcW w:w="992" w:type="dxa"/>
          </w:tcPr>
          <w:p w14:paraId="593CC23A" w14:textId="77777777" w:rsidR="00CA3C5B" w:rsidRDefault="00260033" w:rsidP="00F51FE2">
            <w:pPr>
              <w:pStyle w:val="TableCopy"/>
              <w:jc w:val="right"/>
            </w:pPr>
            <w:r>
              <w:t>46.3</w:t>
            </w:r>
          </w:p>
        </w:tc>
        <w:tc>
          <w:tcPr>
            <w:tcW w:w="1428" w:type="dxa"/>
          </w:tcPr>
          <w:p w14:paraId="0AF4220F" w14:textId="77777777" w:rsidR="00CA3C5B" w:rsidRDefault="00260033" w:rsidP="00F51FE2">
            <w:pPr>
              <w:pStyle w:val="TableCopy"/>
              <w:jc w:val="right"/>
            </w:pPr>
            <w:r>
              <w:t>1.9%</w:t>
            </w:r>
          </w:p>
        </w:tc>
        <w:tc>
          <w:tcPr>
            <w:tcW w:w="757" w:type="dxa"/>
          </w:tcPr>
          <w:p w14:paraId="52CB5E02" w14:textId="3D74B10C" w:rsidR="00CA3C5B" w:rsidRDefault="00F51FE2" w:rsidP="00F51FE2">
            <w:pPr>
              <w:pStyle w:val="TableCopy"/>
              <w:jc w:val="right"/>
            </w:pPr>
            <w:r w:rsidRPr="003E4F57">
              <w:t>1</w:t>
            </w:r>
          </w:p>
        </w:tc>
      </w:tr>
      <w:tr w:rsidR="00F51FE2" w:rsidRPr="00F51FE2" w14:paraId="5F14D7F2" w14:textId="77777777" w:rsidTr="00AE2249">
        <w:trPr>
          <w:cantSplit/>
        </w:trPr>
        <w:tc>
          <w:tcPr>
            <w:tcW w:w="4673" w:type="dxa"/>
          </w:tcPr>
          <w:p w14:paraId="4A7B8A95" w14:textId="12F9ADA2" w:rsidR="00F51FE2" w:rsidRPr="00F51FE2" w:rsidRDefault="00F51FE2" w:rsidP="00F51FE2">
            <w:pPr>
              <w:pStyle w:val="TableHeading"/>
            </w:pPr>
            <w:r>
              <w:t>Cost</w:t>
            </w:r>
          </w:p>
        </w:tc>
        <w:tc>
          <w:tcPr>
            <w:tcW w:w="1200" w:type="dxa"/>
          </w:tcPr>
          <w:p w14:paraId="00805704" w14:textId="77777777" w:rsidR="00F51FE2" w:rsidRPr="00F51FE2" w:rsidRDefault="00F51FE2" w:rsidP="00F51FE2">
            <w:pPr>
              <w:pStyle w:val="TableCopy"/>
            </w:pPr>
          </w:p>
        </w:tc>
        <w:tc>
          <w:tcPr>
            <w:tcW w:w="1009" w:type="dxa"/>
          </w:tcPr>
          <w:p w14:paraId="5696E29C" w14:textId="77777777" w:rsidR="00F51FE2" w:rsidRPr="00F51FE2" w:rsidRDefault="00F51FE2" w:rsidP="00F51FE2">
            <w:pPr>
              <w:pStyle w:val="TableCopy"/>
              <w:jc w:val="right"/>
            </w:pPr>
          </w:p>
        </w:tc>
        <w:tc>
          <w:tcPr>
            <w:tcW w:w="992" w:type="dxa"/>
          </w:tcPr>
          <w:p w14:paraId="75805050" w14:textId="77777777" w:rsidR="00F51FE2" w:rsidRPr="00F51FE2" w:rsidRDefault="00F51FE2" w:rsidP="00F51FE2">
            <w:pPr>
              <w:pStyle w:val="TableCopy"/>
              <w:jc w:val="right"/>
            </w:pPr>
          </w:p>
        </w:tc>
        <w:tc>
          <w:tcPr>
            <w:tcW w:w="1428" w:type="dxa"/>
          </w:tcPr>
          <w:p w14:paraId="569609F8" w14:textId="77777777" w:rsidR="00F51FE2" w:rsidRPr="00F51FE2" w:rsidRDefault="00F51FE2" w:rsidP="00F51FE2">
            <w:pPr>
              <w:pStyle w:val="TableCopy"/>
              <w:jc w:val="right"/>
            </w:pPr>
          </w:p>
        </w:tc>
        <w:tc>
          <w:tcPr>
            <w:tcW w:w="757" w:type="dxa"/>
          </w:tcPr>
          <w:p w14:paraId="55094124" w14:textId="77777777" w:rsidR="00F51FE2" w:rsidRPr="00F51FE2" w:rsidRDefault="00F51FE2" w:rsidP="00F51FE2">
            <w:pPr>
              <w:pStyle w:val="TableCopy"/>
              <w:jc w:val="right"/>
            </w:pPr>
          </w:p>
        </w:tc>
      </w:tr>
      <w:tr w:rsidR="00CA3C5B" w:rsidRPr="00E67CF9" w14:paraId="3D0D0EFD" w14:textId="77777777" w:rsidTr="00AE2249">
        <w:trPr>
          <w:cantSplit/>
        </w:trPr>
        <w:tc>
          <w:tcPr>
            <w:tcW w:w="4673" w:type="dxa"/>
          </w:tcPr>
          <w:p w14:paraId="61CA3E9B" w14:textId="75D42E3A" w:rsidR="00CA3C5B" w:rsidRPr="00E67CF9" w:rsidRDefault="00260033" w:rsidP="00E67CF9">
            <w:pPr>
              <w:pStyle w:val="TableCopy"/>
              <w:rPr>
                <w:b/>
                <w:bCs/>
              </w:rPr>
            </w:pPr>
            <w:r w:rsidRPr="00E67CF9">
              <w:rPr>
                <w:b/>
                <w:bCs/>
              </w:rPr>
              <w:t>Total</w:t>
            </w:r>
            <w:r w:rsidR="00932420" w:rsidRPr="00E67CF9">
              <w:rPr>
                <w:b/>
                <w:bCs/>
              </w:rPr>
              <w:t xml:space="preserve"> </w:t>
            </w:r>
            <w:r w:rsidRPr="00E67CF9">
              <w:rPr>
                <w:b/>
                <w:bCs/>
              </w:rPr>
              <w:t>output</w:t>
            </w:r>
            <w:r w:rsidR="00932420" w:rsidRPr="00E67CF9">
              <w:rPr>
                <w:b/>
                <w:bCs/>
              </w:rPr>
              <w:t xml:space="preserve"> </w:t>
            </w:r>
            <w:r w:rsidRPr="00E67CF9">
              <w:rPr>
                <w:b/>
                <w:bCs/>
              </w:rPr>
              <w:t>cost</w:t>
            </w:r>
          </w:p>
        </w:tc>
        <w:tc>
          <w:tcPr>
            <w:tcW w:w="1200" w:type="dxa"/>
          </w:tcPr>
          <w:p w14:paraId="26D0A251" w14:textId="234E96E4" w:rsidR="00CA3C5B" w:rsidRPr="00E67CF9" w:rsidRDefault="00260033" w:rsidP="00E67CF9">
            <w:pPr>
              <w:pStyle w:val="TableCopy"/>
              <w:rPr>
                <w:b/>
                <w:bCs/>
              </w:rPr>
            </w:pPr>
            <w:r w:rsidRPr="00E67CF9">
              <w:rPr>
                <w:b/>
                <w:bCs/>
              </w:rPr>
              <w:t>$</w:t>
            </w:r>
            <w:r w:rsidR="00932420" w:rsidRPr="00E67CF9">
              <w:rPr>
                <w:b/>
                <w:bCs/>
              </w:rPr>
              <w:t xml:space="preserve"> </w:t>
            </w:r>
            <w:r w:rsidRPr="00E67CF9">
              <w:rPr>
                <w:b/>
                <w:bCs/>
              </w:rPr>
              <w:t>million</w:t>
            </w:r>
          </w:p>
        </w:tc>
        <w:tc>
          <w:tcPr>
            <w:tcW w:w="1009" w:type="dxa"/>
          </w:tcPr>
          <w:p w14:paraId="2CEFC762" w14:textId="77777777" w:rsidR="00CA3C5B" w:rsidRPr="00E67CF9" w:rsidRDefault="00260033" w:rsidP="00F51FE2">
            <w:pPr>
              <w:pStyle w:val="TableCopy"/>
              <w:jc w:val="right"/>
              <w:rPr>
                <w:b/>
                <w:bCs/>
              </w:rPr>
            </w:pPr>
            <w:r w:rsidRPr="00E67CF9">
              <w:rPr>
                <w:b/>
                <w:bCs/>
              </w:rPr>
              <w:t>2172.4</w:t>
            </w:r>
          </w:p>
        </w:tc>
        <w:tc>
          <w:tcPr>
            <w:tcW w:w="992" w:type="dxa"/>
          </w:tcPr>
          <w:p w14:paraId="05C0B8CC" w14:textId="77777777" w:rsidR="00CA3C5B" w:rsidRPr="00E67CF9" w:rsidRDefault="00260033" w:rsidP="00F51FE2">
            <w:pPr>
              <w:pStyle w:val="TableCopy"/>
              <w:jc w:val="right"/>
              <w:rPr>
                <w:b/>
                <w:bCs/>
              </w:rPr>
            </w:pPr>
            <w:r w:rsidRPr="00E67CF9">
              <w:rPr>
                <w:b/>
                <w:bCs/>
              </w:rPr>
              <w:t>2482.7</w:t>
            </w:r>
          </w:p>
        </w:tc>
        <w:tc>
          <w:tcPr>
            <w:tcW w:w="1428" w:type="dxa"/>
          </w:tcPr>
          <w:p w14:paraId="4D7E1472" w14:textId="77777777" w:rsidR="00CA3C5B" w:rsidRPr="00E67CF9" w:rsidRDefault="00260033" w:rsidP="00F51FE2">
            <w:pPr>
              <w:pStyle w:val="TableCopy"/>
              <w:jc w:val="right"/>
              <w:rPr>
                <w:b/>
                <w:bCs/>
              </w:rPr>
            </w:pPr>
            <w:r w:rsidRPr="00E67CF9">
              <w:rPr>
                <w:b/>
                <w:bCs/>
              </w:rPr>
              <w:t>-12.5%</w:t>
            </w:r>
          </w:p>
        </w:tc>
        <w:tc>
          <w:tcPr>
            <w:tcW w:w="757" w:type="dxa"/>
          </w:tcPr>
          <w:p w14:paraId="78E324F0" w14:textId="12879B01" w:rsidR="00CA3C5B" w:rsidRPr="00F51FE2" w:rsidRDefault="00F51FE2" w:rsidP="00F51FE2">
            <w:pPr>
              <w:pStyle w:val="TableCopy"/>
              <w:jc w:val="right"/>
              <w:rPr>
                <w:b/>
                <w:bCs/>
              </w:rPr>
            </w:pPr>
            <w:r w:rsidRPr="00F51FE2">
              <w:rPr>
                <w:b/>
                <w:bCs/>
              </w:rPr>
              <w:t>1</w:t>
            </w:r>
          </w:p>
        </w:tc>
      </w:tr>
      <w:tr w:rsidR="00F51FE2" w:rsidRPr="00F51FE2" w14:paraId="02D15EAD" w14:textId="77777777" w:rsidTr="00AE2249">
        <w:trPr>
          <w:cantSplit/>
        </w:trPr>
        <w:tc>
          <w:tcPr>
            <w:tcW w:w="4673" w:type="dxa"/>
          </w:tcPr>
          <w:p w14:paraId="7158DF94" w14:textId="624A3A93" w:rsidR="00F51FE2" w:rsidRPr="00F51FE2" w:rsidRDefault="00F51FE2" w:rsidP="00F51FE2">
            <w:pPr>
              <w:pStyle w:val="TableCopy"/>
              <w:rPr>
                <w:i/>
                <w:iCs/>
              </w:rPr>
            </w:pPr>
            <w:r w:rsidRPr="00F51FE2">
              <w:rPr>
                <w:i/>
                <w:iCs/>
              </w:rPr>
              <w:t>The 2022–23 result is lower than the 2022–23 budget mainly due to a rephase of the Victorian Training Guarantee budget and lower depreciation expenditure.</w:t>
            </w:r>
          </w:p>
        </w:tc>
        <w:tc>
          <w:tcPr>
            <w:tcW w:w="1200" w:type="dxa"/>
          </w:tcPr>
          <w:p w14:paraId="7986188A" w14:textId="77777777" w:rsidR="00F51FE2" w:rsidRPr="00F51FE2" w:rsidRDefault="00F51FE2" w:rsidP="00F51FE2">
            <w:pPr>
              <w:pStyle w:val="TableCopy"/>
            </w:pPr>
          </w:p>
        </w:tc>
        <w:tc>
          <w:tcPr>
            <w:tcW w:w="1009" w:type="dxa"/>
          </w:tcPr>
          <w:p w14:paraId="28685601" w14:textId="77777777" w:rsidR="00F51FE2" w:rsidRPr="00F51FE2" w:rsidRDefault="00F51FE2" w:rsidP="00F51FE2">
            <w:pPr>
              <w:pStyle w:val="TableCopy"/>
              <w:jc w:val="right"/>
            </w:pPr>
          </w:p>
        </w:tc>
        <w:tc>
          <w:tcPr>
            <w:tcW w:w="992" w:type="dxa"/>
          </w:tcPr>
          <w:p w14:paraId="45B81F2F" w14:textId="77777777" w:rsidR="00F51FE2" w:rsidRPr="00F51FE2" w:rsidRDefault="00F51FE2" w:rsidP="00F51FE2">
            <w:pPr>
              <w:pStyle w:val="TableCopy"/>
              <w:jc w:val="right"/>
            </w:pPr>
          </w:p>
        </w:tc>
        <w:tc>
          <w:tcPr>
            <w:tcW w:w="1428" w:type="dxa"/>
          </w:tcPr>
          <w:p w14:paraId="4391181A" w14:textId="77777777" w:rsidR="00F51FE2" w:rsidRPr="00F51FE2" w:rsidRDefault="00F51FE2" w:rsidP="00F51FE2">
            <w:pPr>
              <w:pStyle w:val="TableCopy"/>
              <w:jc w:val="right"/>
            </w:pPr>
          </w:p>
        </w:tc>
        <w:tc>
          <w:tcPr>
            <w:tcW w:w="757" w:type="dxa"/>
          </w:tcPr>
          <w:p w14:paraId="305688F8" w14:textId="77777777" w:rsidR="00F51FE2" w:rsidRPr="00F51FE2" w:rsidRDefault="00F51FE2" w:rsidP="00F51FE2">
            <w:pPr>
              <w:pStyle w:val="TableCopy"/>
              <w:jc w:val="right"/>
            </w:pPr>
          </w:p>
        </w:tc>
      </w:tr>
    </w:tbl>
    <w:p w14:paraId="7A5A6017" w14:textId="77777777" w:rsidR="00F51FE2" w:rsidRDefault="00F51FE2" w:rsidP="00F51FE2">
      <w:pPr>
        <w:pStyle w:val="FootnoteText"/>
        <w:spacing w:before="120"/>
      </w:pPr>
      <w:r>
        <w:t>Note:</w:t>
      </w:r>
    </w:p>
    <w:p w14:paraId="7825400C" w14:textId="77777777" w:rsidR="00F51FE2" w:rsidRDefault="00F51FE2" w:rsidP="00F51FE2">
      <w:pPr>
        <w:pStyle w:val="FootnoteText"/>
      </w:pPr>
      <w:r>
        <w:t>1</w:t>
      </w:r>
      <w:r w:rsidRPr="00A517F3">
        <w:t xml:space="preserve"> </w:t>
      </w:r>
      <w:r>
        <w:t>Performance target achieved or exceeded</w:t>
      </w:r>
    </w:p>
    <w:p w14:paraId="48170990" w14:textId="77777777" w:rsidR="00F51FE2" w:rsidRDefault="00F51FE2" w:rsidP="00F51FE2">
      <w:pPr>
        <w:pStyle w:val="FootnoteText"/>
      </w:pPr>
      <w:r>
        <w:t>2</w:t>
      </w:r>
      <w:r w:rsidRPr="00A517F3">
        <w:t xml:space="preserve"> </w:t>
      </w:r>
      <w:r>
        <w:t>Performance target not achieved – but within 5% variance</w:t>
      </w:r>
    </w:p>
    <w:p w14:paraId="36D6C73C" w14:textId="77777777" w:rsidR="00F51FE2" w:rsidRDefault="00F51FE2" w:rsidP="00F51FE2">
      <w:pPr>
        <w:pStyle w:val="FootnoteText"/>
        <w:spacing w:after="280"/>
      </w:pPr>
      <w:r>
        <w:t>3</w:t>
      </w:r>
      <w:r w:rsidRPr="00A517F3">
        <w:t xml:space="preserve"> </w:t>
      </w:r>
      <w:r>
        <w:t>Performance target not achieved – exceeds 5% variance</w:t>
      </w:r>
    </w:p>
    <w:sectPr w:rsidR="00F51FE2" w:rsidSect="004D7477">
      <w:headerReference w:type="even" r:id="rId38"/>
      <w:headerReference w:type="default" r:id="rId39"/>
      <w:footerReference w:type="even" r:id="rId40"/>
      <w:footerReference w:type="default" r:id="rId41"/>
      <w:headerReference w:type="first" r:id="rId42"/>
      <w:footerReference w:type="first" r:id="rId43"/>
      <w:pgSz w:w="11906" w:h="16838" w:code="9"/>
      <w:pgMar w:top="1134" w:right="1134" w:bottom="1134" w:left="1134"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9FF3" w14:textId="77777777" w:rsidR="00AA67F4" w:rsidRDefault="00AA67F4" w:rsidP="00AA67F4">
      <w:pPr>
        <w:spacing w:after="0" w:line="240" w:lineRule="auto"/>
      </w:pPr>
      <w:r>
        <w:separator/>
      </w:r>
    </w:p>
  </w:endnote>
  <w:endnote w:type="continuationSeparator" w:id="0">
    <w:p w14:paraId="019635FC" w14:textId="77777777" w:rsidR="00AA67F4" w:rsidRDefault="00AA67F4" w:rsidP="00AA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altName w:val="Times New Roman"/>
    <w:panose1 w:val="00000000000000000000"/>
    <w:charset w:val="00"/>
    <w:family w:val="auto"/>
    <w:notTrueType/>
    <w:pitch w:val="variable"/>
    <w:sig w:usb0="E00002FF" w:usb1="5000205A" w:usb2="00000000" w:usb3="00000000" w:csb0="0000019F" w:csb1="00000000"/>
  </w:font>
  <w:font w:name="VIC Medium">
    <w:panose1 w:val="000006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Light Italic">
    <w:panose1 w:val="000004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OTF) Light">
    <w:altName w:val="VIC"/>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868" w14:textId="77777777" w:rsidR="00AA67F4" w:rsidRDefault="00AA6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7B5E" w14:textId="77777777" w:rsidR="00AA67F4" w:rsidRDefault="00AA6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BF51" w14:textId="77777777" w:rsidR="00AA67F4" w:rsidRDefault="00AA6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38D8" w14:textId="77777777" w:rsidR="00AA67F4" w:rsidRDefault="00AA67F4" w:rsidP="00AA67F4">
      <w:pPr>
        <w:spacing w:after="0" w:line="240" w:lineRule="auto"/>
      </w:pPr>
      <w:r>
        <w:separator/>
      </w:r>
    </w:p>
  </w:footnote>
  <w:footnote w:type="continuationSeparator" w:id="0">
    <w:p w14:paraId="23457DC5" w14:textId="77777777" w:rsidR="00AA67F4" w:rsidRDefault="00AA67F4" w:rsidP="00AA6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6984" w14:textId="77777777" w:rsidR="00AA67F4" w:rsidRDefault="00AA6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699C" w14:textId="77777777" w:rsidR="00AA67F4" w:rsidRDefault="00AA6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4201" w14:textId="77777777" w:rsidR="00AA67F4" w:rsidRDefault="00AA6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C8A"/>
    <w:multiLevelType w:val="hybridMultilevel"/>
    <w:tmpl w:val="9990A026"/>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num w:numId="1">
    <w:abstractNumId w:val="3"/>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77"/>
    <w:rsid w:val="00065E2C"/>
    <w:rsid w:val="001E3D35"/>
    <w:rsid w:val="0020362D"/>
    <w:rsid w:val="00260033"/>
    <w:rsid w:val="00296C3F"/>
    <w:rsid w:val="002B162E"/>
    <w:rsid w:val="002C0E0B"/>
    <w:rsid w:val="0032347F"/>
    <w:rsid w:val="003A78CF"/>
    <w:rsid w:val="003D67F3"/>
    <w:rsid w:val="003E4F57"/>
    <w:rsid w:val="0043241A"/>
    <w:rsid w:val="00441307"/>
    <w:rsid w:val="00462BEA"/>
    <w:rsid w:val="0047160D"/>
    <w:rsid w:val="004B51F4"/>
    <w:rsid w:val="004D7477"/>
    <w:rsid w:val="005021D6"/>
    <w:rsid w:val="005A297E"/>
    <w:rsid w:val="00611511"/>
    <w:rsid w:val="006612A8"/>
    <w:rsid w:val="00663CE3"/>
    <w:rsid w:val="006900AA"/>
    <w:rsid w:val="0074486D"/>
    <w:rsid w:val="00770C0E"/>
    <w:rsid w:val="0077328E"/>
    <w:rsid w:val="007A7D52"/>
    <w:rsid w:val="007C2199"/>
    <w:rsid w:val="007C691A"/>
    <w:rsid w:val="008672AA"/>
    <w:rsid w:val="00896C86"/>
    <w:rsid w:val="008A5C70"/>
    <w:rsid w:val="008A738D"/>
    <w:rsid w:val="00932420"/>
    <w:rsid w:val="0095528F"/>
    <w:rsid w:val="00963DE9"/>
    <w:rsid w:val="009968E5"/>
    <w:rsid w:val="009E1E84"/>
    <w:rsid w:val="00A517F3"/>
    <w:rsid w:val="00A732AB"/>
    <w:rsid w:val="00A757EA"/>
    <w:rsid w:val="00AA67F4"/>
    <w:rsid w:val="00AE2249"/>
    <w:rsid w:val="00B80DEF"/>
    <w:rsid w:val="00BC3986"/>
    <w:rsid w:val="00C0271E"/>
    <w:rsid w:val="00C11AB3"/>
    <w:rsid w:val="00CA3C5B"/>
    <w:rsid w:val="00D23DEC"/>
    <w:rsid w:val="00D41196"/>
    <w:rsid w:val="00DA783E"/>
    <w:rsid w:val="00E67CF9"/>
    <w:rsid w:val="00EA2FFA"/>
    <w:rsid w:val="00ED306F"/>
    <w:rsid w:val="00F246C6"/>
    <w:rsid w:val="00F51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E04F2"/>
  <w14:defaultImageDpi w14:val="0"/>
  <w15:docId w15:val="{6A7BB993-BD35-45A6-B40B-0F50976F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EA"/>
    <w:pPr>
      <w:suppressAutoHyphens/>
      <w:spacing w:after="280" w:line="276" w:lineRule="auto"/>
    </w:pPr>
    <w:rPr>
      <w:rFonts w:ascii="Arial" w:eastAsia="MS Mincho" w:hAnsi="Arial" w:cs="Arial"/>
      <w:sz w:val="24"/>
      <w:szCs w:val="32"/>
      <w:lang w:eastAsia="en-US"/>
    </w:rPr>
  </w:style>
  <w:style w:type="paragraph" w:styleId="Heading1">
    <w:name w:val="heading 1"/>
    <w:basedOn w:val="Normal"/>
    <w:next w:val="Normal"/>
    <w:link w:val="Heading1Char"/>
    <w:uiPriority w:val="9"/>
    <w:qFormat/>
    <w:rsid w:val="00932420"/>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932420"/>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32420"/>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932420"/>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932420"/>
    <w:pPr>
      <w:numPr>
        <w:numId w:val="4"/>
      </w:numPr>
      <w:spacing w:before="240" w:after="60"/>
      <w:outlineLvl w:val="4"/>
    </w:pPr>
    <w:rPr>
      <w:rFonts w:cs="Times New Roman"/>
      <w:b/>
      <w:bCs/>
      <w:iCs/>
      <w:szCs w:val="26"/>
    </w:rPr>
  </w:style>
  <w:style w:type="paragraph" w:styleId="Heading6">
    <w:name w:val="heading 6"/>
    <w:basedOn w:val="Normal"/>
    <w:next w:val="Normal"/>
    <w:link w:val="Heading6Char"/>
    <w:uiPriority w:val="9"/>
    <w:unhideWhenUsed/>
    <w:qFormat/>
    <w:rsid w:val="00932420"/>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HHeader1-2224VicMedium02Headers">
    <w:name w:val="H: Header 1 - 22/24 Vic Medium (02. Headers)"/>
    <w:basedOn w:val="NoParagraphStyle"/>
    <w:uiPriority w:val="99"/>
    <w:pPr>
      <w:tabs>
        <w:tab w:val="left" w:pos="1240"/>
        <w:tab w:val="left" w:pos="2100"/>
        <w:tab w:val="right" w:pos="7580"/>
      </w:tabs>
      <w:suppressAutoHyphens/>
      <w:spacing w:after="510" w:line="480" w:lineRule="atLeast"/>
    </w:pPr>
    <w:rPr>
      <w:rFonts w:ascii="VIC Medium" w:hAnsi="VIC Medium" w:cs="VIC Medium"/>
      <w:color w:val="000002"/>
      <w:sz w:val="44"/>
      <w:szCs w:val="44"/>
    </w:rPr>
  </w:style>
  <w:style w:type="paragraph" w:customStyle="1" w:styleId="BBody-912ptVICLight03Body">
    <w:name w:val="B: Body - 9/12pt VIC Light (03. Body)"/>
    <w:basedOn w:val="NoParagraphStyle"/>
    <w:uiPriority w:val="99"/>
    <w:pPr>
      <w:keepLines/>
      <w:suppressAutoHyphens/>
      <w:spacing w:after="170" w:line="240" w:lineRule="atLeast"/>
    </w:pPr>
    <w:rPr>
      <w:rFonts w:ascii="VIC Light" w:hAnsi="VIC Light" w:cs="VIC Light"/>
      <w:sz w:val="18"/>
      <w:szCs w:val="18"/>
    </w:rPr>
  </w:style>
  <w:style w:type="paragraph" w:customStyle="1" w:styleId="BBodyColonbeforeBullets03Body">
    <w:name w:val="B: Body (Colon before Bullets) (03. Body)"/>
    <w:basedOn w:val="NoParagraphStyle"/>
    <w:uiPriority w:val="99"/>
    <w:pPr>
      <w:suppressAutoHyphens/>
      <w:spacing w:after="57" w:line="240" w:lineRule="atLeast"/>
    </w:pPr>
    <w:rPr>
      <w:rFonts w:ascii="VIC Light" w:hAnsi="VIC Light" w:cs="VIC Light"/>
      <w:sz w:val="18"/>
      <w:szCs w:val="18"/>
    </w:rPr>
  </w:style>
  <w:style w:type="paragraph" w:customStyle="1" w:styleId="BL1Bullets-912VICLight03Body">
    <w:name w:val="B: L1 Bullets - 9/12 VIC Light (03. Body)"/>
    <w:basedOn w:val="NoParagraphStyle"/>
    <w:uiPriority w:val="99"/>
    <w:pPr>
      <w:suppressAutoHyphens/>
      <w:spacing w:after="57" w:line="240" w:lineRule="atLeast"/>
      <w:ind w:left="227" w:hanging="227"/>
    </w:pPr>
    <w:rPr>
      <w:rFonts w:ascii="VIC Light" w:hAnsi="VIC Light" w:cs="VIC Light"/>
      <w:sz w:val="18"/>
      <w:szCs w:val="18"/>
    </w:rPr>
  </w:style>
  <w:style w:type="paragraph" w:customStyle="1" w:styleId="BL1BulletsLast-912VICLight03Body">
    <w:name w:val="B: L1 Bullets Last - 9/12 VIC Light (03. Body)"/>
    <w:basedOn w:val="BL1Bullets-912VICLight03Body"/>
    <w:uiPriority w:val="99"/>
    <w:pPr>
      <w:spacing w:after="170"/>
    </w:pPr>
  </w:style>
  <w:style w:type="paragraph" w:customStyle="1" w:styleId="HHeader2-1820ptVicLight02Headers">
    <w:name w:val="H: Header 2 - 18/20pt Vic Light (02. Headers)"/>
    <w:basedOn w:val="NoParagraphStyle"/>
    <w:uiPriority w:val="99"/>
    <w:pPr>
      <w:suppressAutoHyphens/>
      <w:spacing w:before="170" w:after="170" w:line="400" w:lineRule="atLeast"/>
    </w:pPr>
    <w:rPr>
      <w:rFonts w:ascii="VIC Light" w:hAnsi="VIC Light" w:cs="VIC Light"/>
      <w:color w:val="000002"/>
      <w:sz w:val="36"/>
      <w:szCs w:val="36"/>
    </w:rPr>
  </w:style>
  <w:style w:type="paragraph" w:customStyle="1" w:styleId="HHeader3-1416ptVICReg02Headers">
    <w:name w:val="H: Header 3 - 14/16pt VIC Reg (02. Headers)"/>
    <w:basedOn w:val="NoParagraphStyle"/>
    <w:uiPriority w:val="99"/>
    <w:pPr>
      <w:suppressAutoHyphens/>
      <w:spacing w:before="170" w:after="57" w:line="320" w:lineRule="atLeast"/>
    </w:pPr>
    <w:rPr>
      <w:rFonts w:ascii="VIC" w:hAnsi="VIC" w:cs="VIC"/>
      <w:color w:val="000002"/>
      <w:sz w:val="28"/>
      <w:szCs w:val="28"/>
    </w:rPr>
  </w:style>
  <w:style w:type="paragraph" w:customStyle="1" w:styleId="HHeader4-1113VICSemiBold02Headers">
    <w:name w:val="H: Header 4 - 11/13 VIC SemiBold (02. Headers)"/>
    <w:basedOn w:val="NoParagraphStyle"/>
    <w:next w:val="NoParagraphStyle"/>
    <w:uiPriority w:val="99"/>
    <w:pPr>
      <w:suppressAutoHyphens/>
      <w:spacing w:before="170" w:after="57" w:line="260" w:lineRule="atLeast"/>
    </w:pPr>
    <w:rPr>
      <w:rFonts w:ascii="VIC SemiBold" w:hAnsi="VIC SemiBold" w:cs="VIC SemiBold"/>
      <w:b/>
      <w:bCs/>
      <w:color w:val="000002"/>
      <w:sz w:val="22"/>
      <w:szCs w:val="22"/>
    </w:rPr>
  </w:style>
  <w:style w:type="paragraph" w:customStyle="1" w:styleId="HHeader5-1012VICReg02Headers">
    <w:name w:val="H: Header 5 - 10/12 VIC Reg (02. Headers)"/>
    <w:basedOn w:val="NoParagraphStyle"/>
    <w:next w:val="NoParagraphStyle"/>
    <w:uiPriority w:val="99"/>
    <w:pPr>
      <w:keepLines/>
      <w:suppressAutoHyphens/>
      <w:spacing w:before="170" w:after="57" w:line="240" w:lineRule="atLeast"/>
    </w:pPr>
    <w:rPr>
      <w:rFonts w:ascii="VIC" w:hAnsi="VIC" w:cs="VIC"/>
      <w:caps/>
      <w:color w:val="0C143F"/>
      <w:sz w:val="20"/>
      <w:szCs w:val="20"/>
    </w:rPr>
  </w:style>
  <w:style w:type="paragraph" w:customStyle="1" w:styleId="Tspace23Light91204Table">
    <w:name w:val="T: space 2/3 (Light 9/12) (04. Table)"/>
    <w:basedOn w:val="NoParagraphStyle"/>
    <w:uiPriority w:val="99"/>
    <w:pPr>
      <w:suppressAutoHyphens/>
      <w:spacing w:before="113" w:after="170" w:line="240" w:lineRule="atLeast"/>
    </w:pPr>
    <w:rPr>
      <w:rFonts w:ascii="VIC Light" w:hAnsi="VIC Light" w:cs="VIC Light"/>
      <w:sz w:val="18"/>
      <w:szCs w:val="18"/>
    </w:rPr>
  </w:style>
  <w:style w:type="paragraph" w:customStyle="1" w:styleId="BL2Bullets-912VICLight03Body">
    <w:name w:val="B: L2 Bullets - 9/12 VIC Light (03. Body)"/>
    <w:basedOn w:val="BL1Bullets-912VICLight03Body"/>
    <w:uiPriority w:val="99"/>
    <w:pPr>
      <w:ind w:left="454"/>
    </w:pPr>
  </w:style>
  <w:style w:type="paragraph" w:customStyle="1" w:styleId="TNotesNormalSpaceAfter204Table">
    <w:name w:val="T: Notes – Normal Space After 2 (04. Table)"/>
    <w:basedOn w:val="NoParagraphStyl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after="113" w:line="160" w:lineRule="atLeast"/>
    </w:pPr>
    <w:rPr>
      <w:rFonts w:ascii="VIC Light Italic" w:hAnsi="VIC Light Italic" w:cs="VIC Light Italic"/>
      <w:i/>
      <w:iCs/>
      <w:sz w:val="14"/>
      <w:szCs w:val="14"/>
    </w:rPr>
  </w:style>
  <w:style w:type="paragraph" w:customStyle="1" w:styleId="TBodycopy04Table">
    <w:name w:val="T: Body copy (04. Table)"/>
    <w:basedOn w:val="NoParagraphStyle"/>
    <w:uiPriority w:val="99"/>
    <w:pPr>
      <w:suppressAutoHyphens/>
      <w:spacing w:after="113" w:line="220" w:lineRule="atLeast"/>
    </w:pPr>
    <w:rPr>
      <w:rFonts w:ascii="VIC Light" w:hAnsi="VIC Light" w:cs="VIC Light"/>
      <w:sz w:val="16"/>
      <w:szCs w:val="16"/>
    </w:rPr>
  </w:style>
  <w:style w:type="paragraph" w:customStyle="1" w:styleId="TColumnHeaderMedium04Table">
    <w:name w:val="T: Column Header Medium (04. Table)"/>
    <w:basedOn w:val="TBodycopy04Table"/>
    <w:uiPriority w:val="99"/>
    <w:pPr>
      <w:jc w:val="right"/>
    </w:pPr>
    <w:rPr>
      <w:rFonts w:ascii="VIC Medium" w:hAnsi="VIC Medium" w:cs="VIC Medium"/>
    </w:rPr>
  </w:style>
  <w:style w:type="paragraph" w:customStyle="1" w:styleId="TSec2BodyLeft04Table">
    <w:name w:val="T: Sec 2 Body Left (04. Table)"/>
    <w:basedOn w:val="NoParagraphStyle"/>
    <w:uiPriority w:val="99"/>
    <w:pPr>
      <w:suppressAutoHyphens/>
      <w:spacing w:after="113" w:line="220" w:lineRule="atLeast"/>
    </w:pPr>
    <w:rPr>
      <w:rFonts w:ascii="VIC Light" w:hAnsi="VIC Light" w:cs="VIC Light"/>
      <w:sz w:val="16"/>
      <w:szCs w:val="16"/>
    </w:rPr>
  </w:style>
  <w:style w:type="paragraph" w:customStyle="1" w:styleId="TSec2BodyRight04Table">
    <w:name w:val="T: Sec 2 Body Right (04. Table)"/>
    <w:basedOn w:val="TSec2BodyLeft04Table"/>
    <w:uiPriority w:val="99"/>
    <w:pPr>
      <w:jc w:val="right"/>
    </w:pPr>
  </w:style>
  <w:style w:type="paragraph" w:customStyle="1" w:styleId="TcrossheadGreen04Table">
    <w:name w:val="T: crosshead (Green) (04. Table)"/>
    <w:basedOn w:val="NoParagraphStyle"/>
    <w:uiPriority w:val="99"/>
    <w:pPr>
      <w:suppressAutoHyphens/>
      <w:spacing w:line="220" w:lineRule="atLeast"/>
    </w:pPr>
    <w:rPr>
      <w:rFonts w:ascii="VIC Medium" w:hAnsi="VIC Medium" w:cs="VIC Medium"/>
      <w:color w:val="59FF00"/>
      <w:sz w:val="16"/>
      <w:szCs w:val="16"/>
    </w:rPr>
  </w:style>
  <w:style w:type="paragraph" w:customStyle="1" w:styleId="TbodyboldtotalGrey04Table">
    <w:name w:val="T: body bold (total) Grey (04. Table)"/>
    <w:basedOn w:val="TBodycopy04Table"/>
    <w:uiPriority w:val="99"/>
    <w:rPr>
      <w:rFonts w:ascii="VIC Medium" w:hAnsi="VIC Medium" w:cs="VIC Medium"/>
    </w:rPr>
  </w:style>
  <w:style w:type="paragraph" w:customStyle="1" w:styleId="TNotesIndent04Table">
    <w:name w:val="T: Notes – Indent  (04. Table)"/>
    <w:basedOn w:val="NoParagraphStyle"/>
    <w:uiPriority w:val="99"/>
    <w:pPr>
      <w:tabs>
        <w:tab w:val="left" w:pos="227"/>
        <w:tab w:val="left" w:pos="283"/>
        <w:tab w:val="left" w:pos="567"/>
        <w:tab w:val="left" w:pos="850"/>
        <w:tab w:val="left" w:pos="1134"/>
        <w:tab w:val="left" w:pos="1417"/>
        <w:tab w:val="left" w:pos="1701"/>
        <w:tab w:val="left" w:pos="1984"/>
        <w:tab w:val="left" w:pos="2268"/>
        <w:tab w:val="left" w:pos="2551"/>
        <w:tab w:val="left" w:pos="2835"/>
        <w:tab w:val="left" w:pos="3118"/>
      </w:tabs>
      <w:suppressAutoHyphens/>
      <w:spacing w:line="160" w:lineRule="atLeast"/>
      <w:ind w:left="227" w:hanging="227"/>
    </w:pPr>
    <w:rPr>
      <w:rFonts w:ascii="VIC Light Italic" w:hAnsi="VIC Light Italic" w:cs="VIC Light Italic"/>
      <w:i/>
      <w:iCs/>
      <w:sz w:val="14"/>
      <w:szCs w:val="14"/>
    </w:rPr>
  </w:style>
  <w:style w:type="paragraph" w:customStyle="1" w:styleId="TNotesIndentSpaceAfter204Table">
    <w:name w:val="T: Notes – Indent – Space After 2  (04. Table)"/>
    <w:basedOn w:val="TNotesIndent04Table"/>
    <w:uiPriority w:val="99"/>
    <w:pPr>
      <w:spacing w:after="113"/>
    </w:pPr>
  </w:style>
  <w:style w:type="character" w:customStyle="1" w:styleId="BItalicsBody">
    <w:name w:val="B: Italics (Body)"/>
    <w:uiPriority w:val="99"/>
    <w:rPr>
      <w:rFonts w:ascii="VIC Light Italic" w:hAnsi="VIC Light Italic" w:cs="VIC Light Italic"/>
      <w:i/>
      <w:iCs/>
    </w:rPr>
  </w:style>
  <w:style w:type="character" w:customStyle="1" w:styleId="FootnotereferencessuperscriptMisc">
    <w:name w:val="Footnote references (superscript) (Misc)"/>
    <w:uiPriority w:val="99"/>
    <w:rPr>
      <w:vertAlign w:val="superscript"/>
    </w:rPr>
  </w:style>
  <w:style w:type="character" w:customStyle="1" w:styleId="TBCMediumTable">
    <w:name w:val="T: BC Medium (Table)"/>
    <w:uiPriority w:val="99"/>
    <w:rPr>
      <w:rFonts w:ascii="VIC Medium" w:hAnsi="VIC Medium" w:cs="VIC Medium"/>
      <w:color w:val="000000"/>
    </w:rPr>
  </w:style>
  <w:style w:type="character" w:customStyle="1" w:styleId="BMediumBody">
    <w:name w:val="B: Medium (Body)"/>
    <w:basedOn w:val="TBCMediumTable"/>
    <w:uiPriority w:val="99"/>
    <w:rPr>
      <w:rFonts w:ascii="VIC Medium" w:hAnsi="VIC Medium" w:cs="VIC Medium"/>
      <w:color w:val="000000"/>
    </w:rPr>
  </w:style>
  <w:style w:type="character" w:styleId="FootnoteReference">
    <w:name w:val="footnote reference"/>
    <w:uiPriority w:val="99"/>
    <w:unhideWhenUsed/>
    <w:rsid w:val="00932420"/>
    <w:rPr>
      <w:rFonts w:ascii="Arial" w:hAnsi="Arial"/>
      <w:vertAlign w:val="superscript"/>
    </w:rPr>
  </w:style>
  <w:style w:type="paragraph" w:customStyle="1" w:styleId="Bullet">
    <w:name w:val="Bullet"/>
    <w:basedOn w:val="Normal"/>
    <w:qFormat/>
    <w:rsid w:val="00932420"/>
    <w:pPr>
      <w:numPr>
        <w:numId w:val="3"/>
      </w:numPr>
      <w:spacing w:after="140"/>
    </w:pPr>
  </w:style>
  <w:style w:type="paragraph" w:customStyle="1" w:styleId="Bullet2">
    <w:name w:val="Bullet 2"/>
    <w:basedOn w:val="Bullet"/>
    <w:qFormat/>
    <w:rsid w:val="00932420"/>
    <w:pPr>
      <w:numPr>
        <w:numId w:val="2"/>
      </w:numPr>
    </w:pPr>
  </w:style>
  <w:style w:type="paragraph" w:customStyle="1" w:styleId="Bulletlast">
    <w:name w:val="Bullet last"/>
    <w:basedOn w:val="Bullet"/>
    <w:qFormat/>
    <w:rsid w:val="00932420"/>
    <w:pPr>
      <w:spacing w:after="280"/>
    </w:pPr>
  </w:style>
  <w:style w:type="paragraph" w:customStyle="1" w:styleId="Default">
    <w:name w:val="Default"/>
    <w:rsid w:val="00932420"/>
    <w:pPr>
      <w:autoSpaceDE w:val="0"/>
      <w:autoSpaceDN w:val="0"/>
      <w:adjustRightInd w:val="0"/>
      <w:spacing w:after="0" w:line="240" w:lineRule="auto"/>
    </w:pPr>
    <w:rPr>
      <w:rFonts w:ascii="Arial" w:eastAsia="Arial" w:hAnsi="Arial" w:cs="Arial"/>
      <w:color w:val="000000"/>
      <w:sz w:val="24"/>
      <w:szCs w:val="24"/>
      <w:lang w:eastAsia="en-US"/>
    </w:rPr>
  </w:style>
  <w:style w:type="character" w:styleId="FollowedHyperlink">
    <w:name w:val="FollowedHyperlink"/>
    <w:uiPriority w:val="99"/>
    <w:semiHidden/>
    <w:unhideWhenUsed/>
    <w:rsid w:val="00932420"/>
    <w:rPr>
      <w:color w:val="800080"/>
      <w:u w:val="single"/>
    </w:rPr>
  </w:style>
  <w:style w:type="paragraph" w:styleId="Footer">
    <w:name w:val="footer"/>
    <w:basedOn w:val="Normal"/>
    <w:link w:val="FooterChar"/>
    <w:uiPriority w:val="99"/>
    <w:unhideWhenUsed/>
    <w:rsid w:val="00932420"/>
    <w:pPr>
      <w:tabs>
        <w:tab w:val="center" w:pos="4320"/>
        <w:tab w:val="right" w:pos="9639"/>
      </w:tabs>
      <w:spacing w:after="0" w:line="200" w:lineRule="atLeast"/>
    </w:pPr>
    <w:rPr>
      <w:sz w:val="16"/>
    </w:rPr>
  </w:style>
  <w:style w:type="character" w:customStyle="1" w:styleId="FooterChar">
    <w:name w:val="Footer Char"/>
    <w:link w:val="Footer"/>
    <w:uiPriority w:val="99"/>
    <w:rsid w:val="00932420"/>
    <w:rPr>
      <w:rFonts w:ascii="Arial" w:eastAsia="MS Mincho" w:hAnsi="Arial" w:cs="Arial"/>
      <w:sz w:val="16"/>
      <w:szCs w:val="32"/>
      <w:lang w:eastAsia="en-US"/>
    </w:rPr>
  </w:style>
  <w:style w:type="paragraph" w:styleId="FootnoteText">
    <w:name w:val="footnote text"/>
    <w:basedOn w:val="Normal"/>
    <w:link w:val="FootnoteTextChar"/>
    <w:uiPriority w:val="99"/>
    <w:unhideWhenUsed/>
    <w:rsid w:val="00932420"/>
    <w:pPr>
      <w:spacing w:after="60"/>
    </w:pPr>
    <w:rPr>
      <w:sz w:val="20"/>
    </w:rPr>
  </w:style>
  <w:style w:type="character" w:customStyle="1" w:styleId="FootnoteTextChar">
    <w:name w:val="Footnote Text Char"/>
    <w:link w:val="FootnoteText"/>
    <w:uiPriority w:val="99"/>
    <w:rsid w:val="00932420"/>
    <w:rPr>
      <w:rFonts w:ascii="Arial" w:eastAsia="MS Mincho" w:hAnsi="Arial" w:cs="Arial"/>
      <w:sz w:val="20"/>
      <w:szCs w:val="32"/>
      <w:lang w:eastAsia="en-US"/>
    </w:rPr>
  </w:style>
  <w:style w:type="paragraph" w:styleId="Header">
    <w:name w:val="header"/>
    <w:basedOn w:val="Normal"/>
    <w:link w:val="HeaderChar"/>
    <w:uiPriority w:val="99"/>
    <w:unhideWhenUsed/>
    <w:rsid w:val="00932420"/>
    <w:pPr>
      <w:tabs>
        <w:tab w:val="center" w:pos="4320"/>
        <w:tab w:val="right" w:pos="8640"/>
      </w:tabs>
    </w:pPr>
  </w:style>
  <w:style w:type="character" w:customStyle="1" w:styleId="HeaderChar">
    <w:name w:val="Header Char"/>
    <w:link w:val="Header"/>
    <w:uiPriority w:val="99"/>
    <w:rsid w:val="00932420"/>
    <w:rPr>
      <w:rFonts w:ascii="Arial" w:eastAsia="MS Mincho" w:hAnsi="Arial" w:cs="Arial"/>
      <w:sz w:val="24"/>
      <w:szCs w:val="32"/>
      <w:lang w:eastAsia="en-US"/>
    </w:rPr>
  </w:style>
  <w:style w:type="character" w:customStyle="1" w:styleId="Heading1Char">
    <w:name w:val="Heading 1 Char"/>
    <w:link w:val="Heading1"/>
    <w:uiPriority w:val="9"/>
    <w:rsid w:val="00932420"/>
    <w:rPr>
      <w:rFonts w:ascii="Arial" w:eastAsia="MS Gothic" w:hAnsi="Arial" w:cs="Times New Roman"/>
      <w:b/>
      <w:bCs/>
      <w:sz w:val="36"/>
      <w:szCs w:val="32"/>
      <w:lang w:eastAsia="en-US"/>
    </w:rPr>
  </w:style>
  <w:style w:type="character" w:customStyle="1" w:styleId="Heading2Char">
    <w:name w:val="Heading 2 Char"/>
    <w:link w:val="Heading2"/>
    <w:uiPriority w:val="9"/>
    <w:rsid w:val="00932420"/>
    <w:rPr>
      <w:rFonts w:ascii="Arial" w:eastAsia="MS Gothic" w:hAnsi="Arial" w:cs="Times New Roman"/>
      <w:b/>
      <w:bCs/>
      <w:sz w:val="32"/>
      <w:szCs w:val="26"/>
      <w:lang w:eastAsia="en-US"/>
    </w:rPr>
  </w:style>
  <w:style w:type="character" w:customStyle="1" w:styleId="Heading3Char">
    <w:name w:val="Heading 3 Char"/>
    <w:link w:val="Heading3"/>
    <w:uiPriority w:val="9"/>
    <w:rsid w:val="00932420"/>
    <w:rPr>
      <w:rFonts w:ascii="Arial" w:eastAsia="MS Gothic" w:hAnsi="Arial" w:cs="Arial"/>
      <w:b/>
      <w:bCs/>
      <w:sz w:val="28"/>
      <w:szCs w:val="32"/>
      <w:lang w:eastAsia="en-US"/>
    </w:rPr>
  </w:style>
  <w:style w:type="character" w:customStyle="1" w:styleId="Heading4Char">
    <w:name w:val="Heading 4 Char"/>
    <w:link w:val="Heading4"/>
    <w:uiPriority w:val="9"/>
    <w:rsid w:val="00932420"/>
    <w:rPr>
      <w:rFonts w:ascii="Arial" w:eastAsia="MS Gothic" w:hAnsi="Arial" w:cs="Arial"/>
      <w:b/>
      <w:bCs/>
      <w:iCs/>
      <w:sz w:val="24"/>
      <w:szCs w:val="32"/>
      <w:lang w:eastAsia="en-US"/>
    </w:rPr>
  </w:style>
  <w:style w:type="character" w:customStyle="1" w:styleId="Heading5Char">
    <w:name w:val="Heading 5 Char"/>
    <w:link w:val="Heading5"/>
    <w:uiPriority w:val="9"/>
    <w:rsid w:val="00932420"/>
    <w:rPr>
      <w:rFonts w:ascii="Arial" w:eastAsia="MS Mincho" w:hAnsi="Arial" w:cs="Times New Roman"/>
      <w:b/>
      <w:bCs/>
      <w:iCs/>
      <w:sz w:val="24"/>
      <w:szCs w:val="26"/>
      <w:lang w:eastAsia="en-US"/>
    </w:rPr>
  </w:style>
  <w:style w:type="character" w:customStyle="1" w:styleId="Heading6Char">
    <w:name w:val="Heading 6 Char"/>
    <w:link w:val="Heading6"/>
    <w:uiPriority w:val="9"/>
    <w:rsid w:val="00932420"/>
    <w:rPr>
      <w:rFonts w:ascii="Arial" w:eastAsia="Times New Roman" w:hAnsi="Arial" w:cs="Times New Roman"/>
      <w:b/>
      <w:bCs/>
      <w:sz w:val="18"/>
      <w:lang w:eastAsia="en-US"/>
    </w:rPr>
  </w:style>
  <w:style w:type="character" w:styleId="Hyperlink">
    <w:name w:val="Hyperlink"/>
    <w:uiPriority w:val="99"/>
    <w:unhideWhenUsed/>
    <w:rsid w:val="00932420"/>
    <w:rPr>
      <w:rFonts w:ascii="Arial" w:hAnsi="Arial"/>
      <w:color w:val="0000FF"/>
      <w:u w:val="single"/>
    </w:rPr>
  </w:style>
  <w:style w:type="character" w:styleId="IntenseEmphasis">
    <w:name w:val="Intense Emphasis"/>
    <w:uiPriority w:val="21"/>
    <w:qFormat/>
    <w:rsid w:val="00932420"/>
    <w:rPr>
      <w:rFonts w:ascii="Arial" w:hAnsi="Arial"/>
      <w:i/>
      <w:iCs/>
      <w:color w:val="5B9BD5"/>
    </w:rPr>
  </w:style>
  <w:style w:type="character" w:styleId="IntenseReference">
    <w:name w:val="Intense Reference"/>
    <w:uiPriority w:val="32"/>
    <w:qFormat/>
    <w:rsid w:val="00932420"/>
    <w:rPr>
      <w:rFonts w:ascii="Arial" w:hAnsi="Arial"/>
      <w:b/>
      <w:bCs/>
      <w:smallCaps/>
      <w:color w:val="5B9BD5"/>
      <w:spacing w:val="5"/>
    </w:rPr>
  </w:style>
  <w:style w:type="paragraph" w:styleId="ListParagraph">
    <w:name w:val="List Paragraph"/>
    <w:basedOn w:val="Normal"/>
    <w:uiPriority w:val="34"/>
    <w:qFormat/>
    <w:rsid w:val="00932420"/>
    <w:pPr>
      <w:numPr>
        <w:numId w:val="5"/>
      </w:numPr>
      <w:tabs>
        <w:tab w:val="left" w:pos="2180"/>
        <w:tab w:val="left" w:pos="2181"/>
      </w:tabs>
      <w:spacing w:after="140"/>
    </w:pPr>
    <w:rPr>
      <w:rFonts w:eastAsia="Times New Roman"/>
      <w:lang w:eastAsia="en-GB"/>
    </w:rPr>
  </w:style>
  <w:style w:type="paragraph" w:styleId="NormalWeb">
    <w:name w:val="Normal (Web)"/>
    <w:basedOn w:val="Normal"/>
    <w:uiPriority w:val="99"/>
    <w:semiHidden/>
    <w:unhideWhenUsed/>
    <w:rsid w:val="00932420"/>
    <w:pPr>
      <w:spacing w:before="100" w:beforeAutospacing="1" w:after="100" w:afterAutospacing="1"/>
    </w:pPr>
    <w:rPr>
      <w:rFonts w:ascii="Times New Roman" w:eastAsia="Times New Roman" w:hAnsi="Times New Roman" w:cs="Times New Roman"/>
      <w:lang w:eastAsia="en-GB"/>
    </w:rPr>
  </w:style>
  <w:style w:type="paragraph" w:customStyle="1" w:styleId="Normalbeforebullets">
    <w:name w:val="Normal before bullets"/>
    <w:basedOn w:val="Normal"/>
    <w:qFormat/>
    <w:rsid w:val="00932420"/>
    <w:pPr>
      <w:keepNext/>
      <w:spacing w:after="140"/>
    </w:pPr>
  </w:style>
  <w:style w:type="character" w:styleId="PageNumber">
    <w:name w:val="page number"/>
    <w:uiPriority w:val="99"/>
    <w:semiHidden/>
    <w:unhideWhenUsed/>
    <w:rsid w:val="00932420"/>
  </w:style>
  <w:style w:type="paragraph" w:styleId="Subtitle">
    <w:name w:val="Subtitle"/>
    <w:basedOn w:val="Normal"/>
    <w:next w:val="Normal"/>
    <w:link w:val="SubtitleChar"/>
    <w:uiPriority w:val="11"/>
    <w:qFormat/>
    <w:rsid w:val="00932420"/>
    <w:pPr>
      <w:spacing w:after="240"/>
      <w:outlineLvl w:val="1"/>
    </w:pPr>
    <w:rPr>
      <w:rFonts w:eastAsia="Times New Roman" w:cs="Times New Roman"/>
      <w:sz w:val="28"/>
      <w:szCs w:val="36"/>
    </w:rPr>
  </w:style>
  <w:style w:type="character" w:customStyle="1" w:styleId="SubtitleChar">
    <w:name w:val="Subtitle Char"/>
    <w:link w:val="Subtitle"/>
    <w:uiPriority w:val="11"/>
    <w:rsid w:val="00932420"/>
    <w:rPr>
      <w:rFonts w:ascii="Arial" w:eastAsia="Times New Roman" w:hAnsi="Arial" w:cs="Times New Roman"/>
      <w:sz w:val="28"/>
      <w:szCs w:val="36"/>
      <w:lang w:eastAsia="en-US"/>
    </w:rPr>
  </w:style>
  <w:style w:type="paragraph" w:customStyle="1" w:styleId="TableCopy">
    <w:name w:val="Table Copy"/>
    <w:basedOn w:val="Normal"/>
    <w:qFormat/>
    <w:rsid w:val="00932420"/>
    <w:pPr>
      <w:spacing w:after="140"/>
    </w:pPr>
  </w:style>
  <w:style w:type="paragraph" w:customStyle="1" w:styleId="TableBullet">
    <w:name w:val="Table Bullet"/>
    <w:basedOn w:val="TableCopy"/>
    <w:qFormat/>
    <w:rsid w:val="00932420"/>
    <w:pPr>
      <w:numPr>
        <w:numId w:val="6"/>
      </w:numPr>
      <w:spacing w:before="60" w:after="60"/>
    </w:pPr>
    <w:rPr>
      <w:szCs w:val="22"/>
    </w:rPr>
  </w:style>
  <w:style w:type="paragraph" w:customStyle="1" w:styleId="TableHeading">
    <w:name w:val="Table Heading"/>
    <w:basedOn w:val="Normal"/>
    <w:qFormat/>
    <w:rsid w:val="00932420"/>
    <w:pPr>
      <w:keepNext/>
      <w:spacing w:after="60"/>
    </w:pPr>
    <w:rPr>
      <w:b/>
      <w:lang w:eastAsia="en-GB"/>
    </w:rPr>
  </w:style>
  <w:style w:type="paragraph" w:customStyle="1" w:styleId="TableColumnHeading">
    <w:name w:val="Table Column Heading"/>
    <w:basedOn w:val="TableHeading"/>
    <w:qFormat/>
    <w:rsid w:val="00932420"/>
    <w:pPr>
      <w:spacing w:before="80" w:after="80"/>
    </w:pPr>
    <w:rPr>
      <w:szCs w:val="36"/>
      <w:lang w:val="en-GB"/>
    </w:rPr>
  </w:style>
  <w:style w:type="table" w:styleId="TableGrid">
    <w:name w:val="Table Grid"/>
    <w:basedOn w:val="TableNormal"/>
    <w:uiPriority w:val="59"/>
    <w:rsid w:val="00932420"/>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932420"/>
    <w:pPr>
      <w:widowControl w:val="0"/>
      <w:autoSpaceDE w:val="0"/>
      <w:autoSpaceDN w:val="0"/>
      <w:spacing w:after="0" w:line="240" w:lineRule="auto"/>
    </w:pPr>
    <w:rPr>
      <w:rFonts w:eastAsia="Arial"/>
      <w:lang w:val="en-US" w:eastAsia="en-US"/>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Paragraph">
    <w:name w:val="Table Paragraph"/>
    <w:basedOn w:val="Normal"/>
    <w:uiPriority w:val="1"/>
    <w:qFormat/>
    <w:rsid w:val="00932420"/>
    <w:pPr>
      <w:spacing w:after="140"/>
    </w:pPr>
    <w:rPr>
      <w:rFonts w:eastAsia="Arial"/>
      <w:szCs w:val="22"/>
      <w:lang w:eastAsia="en-GB"/>
    </w:rPr>
  </w:style>
  <w:style w:type="paragraph" w:styleId="Title">
    <w:name w:val="Title"/>
    <w:basedOn w:val="Normal"/>
    <w:next w:val="Normal"/>
    <w:link w:val="TitleChar"/>
    <w:uiPriority w:val="10"/>
    <w:qFormat/>
    <w:rsid w:val="00932420"/>
    <w:pPr>
      <w:spacing w:after="240" w:line="240" w:lineRule="auto"/>
    </w:pPr>
    <w:rPr>
      <w:rFonts w:eastAsia="Times New Roman" w:cs="Times New Roman"/>
      <w:spacing w:val="-10"/>
      <w:kern w:val="28"/>
      <w:sz w:val="56"/>
      <w:szCs w:val="56"/>
      <w:lang w:val="en-US"/>
    </w:rPr>
  </w:style>
  <w:style w:type="character" w:customStyle="1" w:styleId="TitleChar">
    <w:name w:val="Title Char"/>
    <w:link w:val="Title"/>
    <w:uiPriority w:val="10"/>
    <w:rsid w:val="00932420"/>
    <w:rPr>
      <w:rFonts w:ascii="Arial" w:eastAsia="Times New Roman" w:hAnsi="Arial" w:cs="Times New Roman"/>
      <w:spacing w:val="-10"/>
      <w:kern w:val="28"/>
      <w:sz w:val="56"/>
      <w:szCs w:val="56"/>
      <w:lang w:val="en-US" w:eastAsia="en-US"/>
    </w:rPr>
  </w:style>
  <w:style w:type="paragraph" w:styleId="TOC1">
    <w:name w:val="toc 1"/>
    <w:basedOn w:val="Normal"/>
    <w:next w:val="Normal"/>
    <w:autoRedefine/>
    <w:uiPriority w:val="39"/>
    <w:unhideWhenUsed/>
    <w:rsid w:val="00932420"/>
    <w:pPr>
      <w:spacing w:before="120" w:after="0"/>
    </w:pPr>
    <w:rPr>
      <w:b/>
    </w:rPr>
  </w:style>
  <w:style w:type="paragraph" w:styleId="TOC2">
    <w:name w:val="toc 2"/>
    <w:basedOn w:val="Normal"/>
    <w:next w:val="Normal"/>
    <w:autoRedefine/>
    <w:uiPriority w:val="39"/>
    <w:unhideWhenUsed/>
    <w:rsid w:val="00932420"/>
    <w:pPr>
      <w:spacing w:after="0"/>
      <w:ind w:left="200"/>
    </w:pPr>
    <w:rPr>
      <w:szCs w:val="22"/>
    </w:rPr>
  </w:style>
  <w:style w:type="paragraph" w:styleId="TOC4">
    <w:name w:val="toc 4"/>
    <w:basedOn w:val="Normal"/>
    <w:next w:val="Normal"/>
    <w:autoRedefine/>
    <w:uiPriority w:val="39"/>
    <w:semiHidden/>
    <w:unhideWhenUsed/>
    <w:rsid w:val="00932420"/>
    <w:pPr>
      <w:spacing w:after="0"/>
      <w:ind w:left="600"/>
    </w:pPr>
    <w:rPr>
      <w:rFonts w:ascii="Cambria" w:hAnsi="Cambria"/>
      <w:szCs w:val="20"/>
    </w:rPr>
  </w:style>
  <w:style w:type="paragraph" w:styleId="TOC5">
    <w:name w:val="toc 5"/>
    <w:basedOn w:val="Normal"/>
    <w:next w:val="Normal"/>
    <w:autoRedefine/>
    <w:uiPriority w:val="39"/>
    <w:semiHidden/>
    <w:unhideWhenUsed/>
    <w:rsid w:val="00932420"/>
    <w:pPr>
      <w:spacing w:after="0"/>
      <w:ind w:left="800"/>
    </w:pPr>
    <w:rPr>
      <w:rFonts w:ascii="Cambria" w:hAnsi="Cambria"/>
      <w:szCs w:val="20"/>
    </w:rPr>
  </w:style>
  <w:style w:type="paragraph" w:styleId="TOC6">
    <w:name w:val="toc 6"/>
    <w:basedOn w:val="Normal"/>
    <w:next w:val="Normal"/>
    <w:autoRedefine/>
    <w:uiPriority w:val="39"/>
    <w:semiHidden/>
    <w:unhideWhenUsed/>
    <w:rsid w:val="00932420"/>
    <w:pPr>
      <w:spacing w:after="0"/>
      <w:ind w:left="1000"/>
    </w:pPr>
    <w:rPr>
      <w:rFonts w:ascii="Cambria" w:hAnsi="Cambria"/>
      <w:szCs w:val="20"/>
    </w:rPr>
  </w:style>
  <w:style w:type="paragraph" w:styleId="TOC7">
    <w:name w:val="toc 7"/>
    <w:basedOn w:val="Normal"/>
    <w:next w:val="Normal"/>
    <w:autoRedefine/>
    <w:uiPriority w:val="39"/>
    <w:semiHidden/>
    <w:unhideWhenUsed/>
    <w:rsid w:val="00932420"/>
    <w:pPr>
      <w:spacing w:after="0"/>
      <w:ind w:left="1200"/>
    </w:pPr>
    <w:rPr>
      <w:rFonts w:ascii="Cambria" w:hAnsi="Cambria"/>
      <w:szCs w:val="20"/>
    </w:rPr>
  </w:style>
  <w:style w:type="paragraph" w:styleId="TOC8">
    <w:name w:val="toc 8"/>
    <w:basedOn w:val="Normal"/>
    <w:next w:val="Normal"/>
    <w:autoRedefine/>
    <w:uiPriority w:val="39"/>
    <w:semiHidden/>
    <w:unhideWhenUsed/>
    <w:rsid w:val="00932420"/>
    <w:pPr>
      <w:spacing w:after="0"/>
      <w:ind w:left="1400"/>
    </w:pPr>
    <w:rPr>
      <w:rFonts w:ascii="Cambria" w:hAnsi="Cambria"/>
      <w:szCs w:val="20"/>
    </w:rPr>
  </w:style>
  <w:style w:type="paragraph" w:styleId="TOC9">
    <w:name w:val="toc 9"/>
    <w:basedOn w:val="Normal"/>
    <w:next w:val="Normal"/>
    <w:autoRedefine/>
    <w:uiPriority w:val="39"/>
    <w:semiHidden/>
    <w:unhideWhenUsed/>
    <w:rsid w:val="00932420"/>
    <w:pPr>
      <w:spacing w:after="0"/>
      <w:ind w:left="1600"/>
    </w:pPr>
    <w:rPr>
      <w:rFonts w:ascii="Cambria" w:hAnsi="Cambria"/>
      <w:szCs w:val="20"/>
    </w:rPr>
  </w:style>
  <w:style w:type="paragraph" w:styleId="TOCHeading">
    <w:name w:val="TOC Heading"/>
    <w:basedOn w:val="Heading1"/>
    <w:next w:val="Normal"/>
    <w:uiPriority w:val="39"/>
    <w:unhideWhenUsed/>
    <w:qFormat/>
    <w:rsid w:val="00932420"/>
    <w:pPr>
      <w:pageBreakBefore w:val="0"/>
      <w:spacing w:line="360" w:lineRule="auto"/>
      <w:outlineLvl w:val="9"/>
    </w:pPr>
    <w:rPr>
      <w:sz w:val="32"/>
      <w:szCs w:val="28"/>
    </w:rPr>
  </w:style>
  <w:style w:type="paragraph" w:customStyle="1" w:styleId="HHeader2-Appendix02Headers">
    <w:name w:val="H: Header 2 - Appendix (02. Headers)"/>
    <w:basedOn w:val="NoParagraphStyle"/>
    <w:uiPriority w:val="99"/>
    <w:rsid w:val="004B51F4"/>
    <w:pPr>
      <w:pageBreakBefore/>
      <w:suppressAutoHyphens/>
      <w:spacing w:before="170" w:after="170" w:line="400" w:lineRule="atLeast"/>
    </w:pPr>
    <w:rPr>
      <w:rFonts w:ascii="VIC (OTF) Light" w:hAnsi="VIC (OTF) Light" w:cs="VIC (OTF) Light"/>
      <w:color w:val="3A3C42"/>
      <w:sz w:val="36"/>
      <w:szCs w:val="36"/>
    </w:rPr>
  </w:style>
  <w:style w:type="paragraph" w:customStyle="1" w:styleId="FigureHeading">
    <w:name w:val="Figure Heading"/>
    <w:basedOn w:val="TableHeading"/>
    <w:qFormat/>
    <w:rsid w:val="004B51F4"/>
    <w:pPr>
      <w:spacing w:after="140"/>
    </w:pPr>
  </w:style>
  <w:style w:type="character" w:styleId="CommentReference">
    <w:name w:val="annotation reference"/>
    <w:basedOn w:val="DefaultParagraphFont"/>
    <w:uiPriority w:val="99"/>
    <w:semiHidden/>
    <w:unhideWhenUsed/>
    <w:rsid w:val="00896C86"/>
    <w:rPr>
      <w:sz w:val="16"/>
      <w:szCs w:val="16"/>
    </w:rPr>
  </w:style>
  <w:style w:type="paragraph" w:styleId="CommentText">
    <w:name w:val="annotation text"/>
    <w:basedOn w:val="Normal"/>
    <w:link w:val="CommentTextChar"/>
    <w:uiPriority w:val="99"/>
    <w:semiHidden/>
    <w:unhideWhenUsed/>
    <w:rsid w:val="00896C86"/>
    <w:pPr>
      <w:spacing w:line="240" w:lineRule="auto"/>
    </w:pPr>
    <w:rPr>
      <w:sz w:val="20"/>
      <w:szCs w:val="20"/>
    </w:rPr>
  </w:style>
  <w:style w:type="character" w:customStyle="1" w:styleId="CommentTextChar">
    <w:name w:val="Comment Text Char"/>
    <w:basedOn w:val="DefaultParagraphFont"/>
    <w:link w:val="CommentText"/>
    <w:uiPriority w:val="99"/>
    <w:semiHidden/>
    <w:rsid w:val="00896C86"/>
    <w:rPr>
      <w:rFonts w:ascii="Arial" w:eastAsia="MS Mincho"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896C86"/>
    <w:rPr>
      <w:b/>
      <w:bCs/>
    </w:rPr>
  </w:style>
  <w:style w:type="character" w:customStyle="1" w:styleId="CommentSubjectChar">
    <w:name w:val="Comment Subject Char"/>
    <w:basedOn w:val="CommentTextChar"/>
    <w:link w:val="CommentSubject"/>
    <w:uiPriority w:val="99"/>
    <w:semiHidden/>
    <w:rsid w:val="00896C86"/>
    <w:rPr>
      <w:rFonts w:ascii="Arial" w:eastAsia="MS Mincho"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2.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9" ma:contentTypeDescription="DEDJTR Document" ma:contentTypeScope="" ma:versionID="93d766dc5c5a5d9110173654ddf0454d">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940ab30f2cade75218006b5f21935d77"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A82C5-B67B-421F-84EE-0E2F1633BE68}">
  <ds:schemaRefs>
    <ds:schemaRef ds:uri="http://schemas.openxmlformats.org/officeDocument/2006/bibliography"/>
  </ds:schemaRefs>
</ds:datastoreItem>
</file>

<file path=customXml/itemProps2.xml><?xml version="1.0" encoding="utf-8"?>
<ds:datastoreItem xmlns:ds="http://schemas.openxmlformats.org/officeDocument/2006/customXml" ds:itemID="{3C812BB2-03F6-4EDA-BE35-95D66C86F3F9}">
  <ds:schemaRefs>
    <ds:schemaRef ds:uri="http://schemas.microsoft.com/sharepoint/v3/contenttype/forms"/>
  </ds:schemaRefs>
</ds:datastoreItem>
</file>

<file path=customXml/itemProps3.xml><?xml version="1.0" encoding="utf-8"?>
<ds:datastoreItem xmlns:ds="http://schemas.openxmlformats.org/officeDocument/2006/customXml" ds:itemID="{90125409-93DA-415E-A35B-A2EEC510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70</Pages>
  <Words>15270</Words>
  <Characters>92943</Characters>
  <Application>Microsoft Office Word</Application>
  <DocSecurity>0</DocSecurity>
  <Lines>774</Lines>
  <Paragraphs>215</Paragraphs>
  <ScaleCrop>false</ScaleCrop>
  <HeadingPairs>
    <vt:vector size="2" baseType="variant">
      <vt:variant>
        <vt:lpstr>Title</vt:lpstr>
      </vt:variant>
      <vt:variant>
        <vt:i4>1</vt:i4>
      </vt:variant>
    </vt:vector>
  </HeadingPairs>
  <TitlesOfParts>
    <vt:vector size="1" baseType="lpstr">
      <vt:lpstr>DJSIR Annual Report</vt:lpstr>
    </vt:vector>
  </TitlesOfParts>
  <Company/>
  <LinksUpToDate>false</LinksUpToDate>
  <CharactersWithSpaces>107998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DJSIR Annual Report</dc:title>
  <dc:subject/>
  <dc:creator>Samaa Kirby</dc:creator>
  <cp:keywords/>
  <dc:description>Section 3: Non-financial performance</dc:description>
  <cp:lastModifiedBy>Samaa Kirby</cp:lastModifiedBy>
  <cp:revision>12</cp:revision>
  <dcterms:created xsi:type="dcterms:W3CDTF">2023-11-27T04:06:00Z</dcterms:created>
  <dcterms:modified xsi:type="dcterms:W3CDTF">2023-11-28T04:19:00Z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2023-11-27T04:05:48Z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c42e1111-7c31-4a01-93f4-b25897d5a238</vt:lpwstr>
  </property>
  <property fmtid="{D5CDD505-2E9C-101B-9397-08002B2CF9AE}" pid="8" name="MSIP_Label_d00a4df9-c942-4b09-b23a-6c1023f6de27_ContentBits">
    <vt:lpwstr>3</vt:lpwstr>
  </property>
</Properties>
</file>