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54E0B" w14:textId="5E898742" w:rsidR="004E7F53" w:rsidRPr="004E7F53" w:rsidRDefault="004E7F53" w:rsidP="004E7F53">
      <w:pPr>
        <w:pStyle w:val="Heading1"/>
        <w:numPr>
          <w:ilvl w:val="0"/>
          <w:numId w:val="0"/>
        </w:numPr>
        <w:ind w:left="431" w:hanging="431"/>
        <w:rPr>
          <w:rFonts w:eastAsia="Calibri"/>
          <w:lang w:val="en-GB"/>
        </w:rPr>
      </w:pPr>
      <w:r w:rsidRPr="004E7F53">
        <w:rPr>
          <w:rFonts w:eastAsia="Calibri"/>
          <w:lang w:val="en-GB"/>
        </w:rPr>
        <w:t>Victorian Government Fair Payment Policy</w:t>
      </w:r>
    </w:p>
    <w:p w14:paraId="75FF0C7C"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Contracts for fair payments</w:t>
      </w:r>
    </w:p>
    <w:p w14:paraId="548EF5AB"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All Victorian Government departments and applicable agencies (</w:t>
      </w:r>
      <w:r w:rsidRPr="004E7F53">
        <w:rPr>
          <w:rFonts w:ascii="Calibri" w:eastAsia="Calibri" w:hAnsi="Calibri" w:cs="Calibri"/>
          <w:b/>
          <w:bCs/>
          <w:color w:val="000000"/>
          <w:sz w:val="22"/>
          <w:szCs w:val="22"/>
          <w:lang w:val="en-GB"/>
        </w:rPr>
        <w:t>Appendix A</w:t>
      </w:r>
      <w:r w:rsidRPr="004E7F53">
        <w:rPr>
          <w:rFonts w:ascii="Calibri" w:eastAsia="Calibri" w:hAnsi="Calibri" w:cs="Calibri"/>
          <w:color w:val="000000"/>
          <w:sz w:val="22"/>
          <w:szCs w:val="22"/>
          <w:lang w:val="en-GB"/>
        </w:rPr>
        <w:t>) are required to pay invoices with a contract value of less than $3 million in ten business days and insert fair payments clause into new contacts valued at less than $3 million.</w:t>
      </w:r>
    </w:p>
    <w:p w14:paraId="0B738E72"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6B2C5F69" w14:textId="77777777" w:rsidR="004E7F53" w:rsidRPr="004E7F53" w:rsidRDefault="004E7F53" w:rsidP="004E7F53">
      <w:pPr>
        <w:autoSpaceDE w:val="0"/>
        <w:autoSpaceDN w:val="0"/>
        <w:adjustRightInd w:val="0"/>
        <w:spacing w:before="0" w:after="0"/>
        <w:rPr>
          <w:rFonts w:ascii="Calibri" w:eastAsia="Calibri" w:hAnsi="Calibri" w:cs="Calibri"/>
          <w:b/>
          <w:bCs/>
          <w:color w:val="000000"/>
          <w:sz w:val="22"/>
          <w:szCs w:val="22"/>
          <w:lang w:val="en-GB"/>
        </w:rPr>
      </w:pPr>
      <w:r w:rsidRPr="004E7F53">
        <w:rPr>
          <w:rFonts w:ascii="Calibri" w:eastAsia="Calibri" w:hAnsi="Calibri" w:cs="Calibri"/>
          <w:color w:val="000000"/>
          <w:sz w:val="22"/>
          <w:szCs w:val="22"/>
          <w:lang w:val="en-GB"/>
        </w:rPr>
        <w:t xml:space="preserve">Departments and applicable agencies are obligated to pay penalty interest on payments that are not made within ten business days, at the initiation of the supplier. </w:t>
      </w:r>
      <w:r w:rsidRPr="004E7F53">
        <w:rPr>
          <w:rFonts w:ascii="Calibri" w:eastAsia="Calibri" w:hAnsi="Calibri" w:cs="Calibri"/>
          <w:b/>
          <w:bCs/>
          <w:color w:val="000000"/>
          <w:sz w:val="22"/>
          <w:szCs w:val="22"/>
          <w:lang w:val="en-GB"/>
        </w:rPr>
        <w:t>Please note penalty interest only applies to late payments from 1 April 2021.</w:t>
      </w:r>
    </w:p>
    <w:p w14:paraId="01C24734"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Contracts to which the provision applies</w:t>
      </w:r>
    </w:p>
    <w:p w14:paraId="15324759"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Fair payments provisions apply to contracts </w:t>
      </w:r>
      <w:proofErr w:type="gramStart"/>
      <w:r w:rsidRPr="004E7F53">
        <w:rPr>
          <w:rFonts w:ascii="Calibri" w:eastAsia="Calibri" w:hAnsi="Calibri" w:cs="Calibri"/>
          <w:color w:val="000000"/>
          <w:sz w:val="22"/>
          <w:szCs w:val="22"/>
          <w:lang w:val="en-GB"/>
        </w:rPr>
        <w:t>entered into</w:t>
      </w:r>
      <w:proofErr w:type="gramEnd"/>
      <w:r w:rsidRPr="004E7F53">
        <w:rPr>
          <w:rFonts w:ascii="Calibri" w:eastAsia="Calibri" w:hAnsi="Calibri" w:cs="Calibri"/>
          <w:color w:val="000000"/>
          <w:sz w:val="22"/>
          <w:szCs w:val="22"/>
          <w:lang w:val="en-GB"/>
        </w:rPr>
        <w:t xml:space="preserve"> from 1 January 2021 where the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value of the goods or services does not exceed $3 million.</w:t>
      </w:r>
    </w:p>
    <w:p w14:paraId="44E7D050"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0C2F79A3"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While it is acknowledged that a $3 million threshold will capture some contracts</w:t>
      </w:r>
      <w:r w:rsidRPr="004E7F53">
        <w:rPr>
          <w:rFonts w:ascii="Calibri" w:eastAsia="Calibri" w:hAnsi="Calibri" w:cs="Calibri"/>
          <w:color w:val="auto"/>
          <w:sz w:val="22"/>
          <w:szCs w:val="22"/>
          <w:lang w:val="en-GB"/>
        </w:rPr>
        <w:t xml:space="preserve"> i</w:t>
      </w:r>
      <w:r w:rsidRPr="004E7F53">
        <w:rPr>
          <w:rFonts w:ascii="Calibri" w:eastAsia="Calibri" w:hAnsi="Calibri" w:cs="Calibri"/>
          <w:color w:val="000000"/>
          <w:sz w:val="22"/>
          <w:szCs w:val="22"/>
          <w:lang w:val="en-GB"/>
        </w:rPr>
        <w:t>nvolving larger businesses, it is considered as the appropriate minimum requirement</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to ensure the likely coverage of all contracts involving small and medium businesses.</w:t>
      </w:r>
    </w:p>
    <w:p w14:paraId="60214BE9"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Ten business day payment terms</w:t>
      </w:r>
    </w:p>
    <w:p w14:paraId="786A08CD"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rPr>
      </w:pPr>
      <w:r w:rsidRPr="004E7F53">
        <w:rPr>
          <w:rFonts w:ascii="Calibri" w:eastAsia="Calibri" w:hAnsi="Calibri" w:cs="Calibri"/>
          <w:color w:val="auto"/>
          <w:sz w:val="22"/>
          <w:szCs w:val="22"/>
        </w:rPr>
        <w:t xml:space="preserve">The </w:t>
      </w:r>
      <w:proofErr w:type="gramStart"/>
      <w:r w:rsidRPr="004E7F53">
        <w:rPr>
          <w:rFonts w:ascii="Calibri" w:eastAsia="Calibri" w:hAnsi="Calibri" w:cs="Calibri"/>
          <w:color w:val="auto"/>
          <w:sz w:val="22"/>
          <w:szCs w:val="22"/>
        </w:rPr>
        <w:t>ten business</w:t>
      </w:r>
      <w:proofErr w:type="gramEnd"/>
      <w:r w:rsidRPr="004E7F53">
        <w:rPr>
          <w:rFonts w:ascii="Calibri" w:eastAsia="Calibri" w:hAnsi="Calibri" w:cs="Calibri"/>
          <w:color w:val="auto"/>
          <w:sz w:val="22"/>
          <w:szCs w:val="22"/>
        </w:rPr>
        <w:t xml:space="preserve"> day clock starts ticking from the date of receipt of a correct and complete invoice.  The payment terms do not apply to an invoice which is incorrect, incomplete or under dispute.  An invoice must also be received by the relevant department or agency (i.e. the address and recipient details must be correct), for the payment terms to apply.</w:t>
      </w:r>
    </w:p>
    <w:p w14:paraId="40AF338C"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Standard contract clause</w:t>
      </w:r>
    </w:p>
    <w:p w14:paraId="1C594B4B"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Agencies should include an appropriate fair payments clause in these contracts.</w:t>
      </w:r>
    </w:p>
    <w:p w14:paraId="28AA3006"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24011D5D"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Clauses should provide for:</w:t>
      </w:r>
    </w:p>
    <w:p w14:paraId="59D041B0" w14:textId="77777777" w:rsidR="004E7F53" w:rsidRPr="004E7F53" w:rsidRDefault="004E7F53" w:rsidP="004E7F53">
      <w:pPr>
        <w:numPr>
          <w:ilvl w:val="0"/>
          <w:numId w:val="31"/>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Payment of debts within ten business days</w:t>
      </w:r>
    </w:p>
    <w:p w14:paraId="2574F307" w14:textId="77777777" w:rsidR="004E7F53" w:rsidRPr="004E7F53" w:rsidRDefault="004E7F53" w:rsidP="004E7F53">
      <w:pPr>
        <w:numPr>
          <w:ilvl w:val="0"/>
          <w:numId w:val="31"/>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Penalty interest for late payments</w:t>
      </w:r>
    </w:p>
    <w:p w14:paraId="129C1136" w14:textId="77777777" w:rsidR="004E7F53" w:rsidRPr="004E7F53" w:rsidRDefault="004E7F53" w:rsidP="004E7F53">
      <w:pPr>
        <w:numPr>
          <w:ilvl w:val="0"/>
          <w:numId w:val="31"/>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Requirement for the supplier to give notice of the late payment in order to receive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penalty interest</w:t>
      </w:r>
    </w:p>
    <w:p w14:paraId="084D0AE7" w14:textId="77777777" w:rsidR="004E7F53" w:rsidRPr="004E7F53" w:rsidRDefault="004E7F53" w:rsidP="004E7F53">
      <w:pPr>
        <w:numPr>
          <w:ilvl w:val="0"/>
          <w:numId w:val="31"/>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Suspension of the ten-business day payment period in the event of a dispute.</w:t>
      </w:r>
    </w:p>
    <w:p w14:paraId="5E5EE246"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Fair payments clause</w:t>
      </w:r>
    </w:p>
    <w:p w14:paraId="791B76F6"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A standard clause has been drafted, as follows, for use by departments and agencies.</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Each agency should consult its legal officers to ensure that the clause is appropriately</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tailored on a case-by-case basis.</w:t>
      </w:r>
    </w:p>
    <w:p w14:paraId="4762DCE4" w14:textId="77777777" w:rsidR="004E7F53" w:rsidRPr="004E7F53" w:rsidRDefault="004E7F53" w:rsidP="004E7F53">
      <w:pPr>
        <w:autoSpaceDE w:val="0"/>
        <w:autoSpaceDN w:val="0"/>
        <w:adjustRightInd w:val="0"/>
        <w:spacing w:before="0" w:after="0"/>
        <w:ind w:left="426" w:hanging="426"/>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1.1 [The Agency] will, on demand by [the Contractor], pay simple interest </w:t>
      </w:r>
      <w:proofErr w:type="gramStart"/>
      <w:r w:rsidRPr="004E7F53">
        <w:rPr>
          <w:rFonts w:ascii="Calibri" w:eastAsia="Calibri" w:hAnsi="Calibri" w:cs="Calibri"/>
          <w:color w:val="000000"/>
          <w:sz w:val="22"/>
          <w:szCs w:val="22"/>
          <w:lang w:val="en-GB"/>
        </w:rPr>
        <w:t>on a daily</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basis</w:t>
      </w:r>
      <w:proofErr w:type="gramEnd"/>
      <w:r w:rsidRPr="004E7F53">
        <w:rPr>
          <w:rFonts w:ascii="Calibri" w:eastAsia="Calibri" w:hAnsi="Calibri" w:cs="Calibri"/>
          <w:color w:val="000000"/>
          <w:sz w:val="22"/>
          <w:szCs w:val="22"/>
          <w:lang w:val="en-GB"/>
        </w:rPr>
        <w:t xml:space="preserve"> on any overdue amount, at the rate for the time being fixed under Section 2 of the</w:t>
      </w:r>
      <w:r w:rsidRPr="004E7F53">
        <w:rPr>
          <w:rFonts w:ascii="Calibri" w:eastAsia="Calibri" w:hAnsi="Calibri" w:cs="Calibri"/>
          <w:color w:val="auto"/>
          <w:sz w:val="22"/>
          <w:szCs w:val="22"/>
          <w:lang w:val="en-GB"/>
        </w:rPr>
        <w:t xml:space="preserve"> </w:t>
      </w:r>
      <w:r w:rsidRPr="004E7F53">
        <w:rPr>
          <w:rFonts w:ascii="Calibri" w:eastAsia="Calibri" w:hAnsi="Calibri" w:cs="Calibri"/>
          <w:i/>
          <w:iCs/>
          <w:color w:val="000000"/>
          <w:sz w:val="22"/>
          <w:szCs w:val="22"/>
          <w:lang w:val="en-GB"/>
        </w:rPr>
        <w:t>Penalty Interest Rates Act 1983</w:t>
      </w:r>
      <w:r w:rsidRPr="004E7F53">
        <w:rPr>
          <w:rFonts w:ascii="Calibri" w:eastAsia="Calibri" w:hAnsi="Calibri" w:cs="Calibri"/>
          <w:color w:val="000000"/>
          <w:sz w:val="22"/>
          <w:szCs w:val="22"/>
          <w:lang w:val="en-GB"/>
        </w:rPr>
        <w:t xml:space="preserve"> (Vic).</w:t>
      </w:r>
    </w:p>
    <w:p w14:paraId="36C0E91A"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p>
    <w:p w14:paraId="21BB4EDB" w14:textId="77777777" w:rsidR="004E7F53" w:rsidRPr="004E7F53" w:rsidRDefault="004E7F53" w:rsidP="004E7F53">
      <w:pPr>
        <w:autoSpaceDE w:val="0"/>
        <w:autoSpaceDN w:val="0"/>
        <w:adjustRightInd w:val="0"/>
        <w:spacing w:before="0" w:after="0"/>
        <w:ind w:left="426" w:hanging="426"/>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1.2 For the purposes of clause 1.1, "overdue amount" means an amount (or part thereof)</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that is not, or is no longer, disputed in accordance with this Agreement:</w:t>
      </w:r>
    </w:p>
    <w:p w14:paraId="29CCFB2E"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p>
    <w:p w14:paraId="37CCE276" w14:textId="77777777" w:rsidR="004E7F53" w:rsidRPr="004E7F53" w:rsidRDefault="004E7F53" w:rsidP="004E7F53">
      <w:pPr>
        <w:autoSpaceDE w:val="0"/>
        <w:autoSpaceDN w:val="0"/>
        <w:adjustRightInd w:val="0"/>
        <w:spacing w:before="0" w:after="0"/>
        <w:ind w:left="851" w:hanging="425"/>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(a) </w:t>
      </w:r>
      <w:r w:rsidRPr="004E7F53">
        <w:rPr>
          <w:rFonts w:ascii="Calibri" w:eastAsia="Calibri" w:hAnsi="Calibri" w:cs="Calibri"/>
          <w:color w:val="000000"/>
          <w:sz w:val="22"/>
          <w:szCs w:val="22"/>
          <w:lang w:val="en-GB"/>
        </w:rPr>
        <w:tab/>
        <w:t>that is due and owing under a tax invoice (as defined in the A New Tax System (Goods and Services Tax) Act 1999</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w:t>
      </w:r>
      <w:proofErr w:type="spellStart"/>
      <w:r w:rsidRPr="004E7F53">
        <w:rPr>
          <w:rFonts w:ascii="Calibri" w:eastAsia="Calibri" w:hAnsi="Calibri" w:cs="Calibri"/>
          <w:color w:val="000000"/>
          <w:sz w:val="22"/>
          <w:szCs w:val="22"/>
          <w:lang w:val="en-GB"/>
        </w:rPr>
        <w:t>Cth</w:t>
      </w:r>
      <w:proofErr w:type="spellEnd"/>
      <w:r w:rsidRPr="004E7F53">
        <w:rPr>
          <w:rFonts w:ascii="Calibri" w:eastAsia="Calibri" w:hAnsi="Calibri" w:cs="Calibri"/>
          <w:color w:val="000000"/>
          <w:sz w:val="22"/>
          <w:szCs w:val="22"/>
          <w:lang w:val="en-GB"/>
        </w:rPr>
        <w:t>)) properly rendered by the Contractor in</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accordance with this Agreement</w:t>
      </w:r>
    </w:p>
    <w:p w14:paraId="4A189F09"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p>
    <w:p w14:paraId="2D99F1C4" w14:textId="77777777" w:rsidR="004E7F53" w:rsidRPr="004E7F53" w:rsidRDefault="004E7F53" w:rsidP="004E7F53">
      <w:pPr>
        <w:autoSpaceDE w:val="0"/>
        <w:autoSpaceDN w:val="0"/>
        <w:adjustRightInd w:val="0"/>
        <w:spacing w:before="0" w:after="0"/>
        <w:ind w:left="851" w:hanging="425"/>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(b) </w:t>
      </w:r>
      <w:r w:rsidRPr="004E7F53">
        <w:rPr>
          <w:rFonts w:ascii="Calibri" w:eastAsia="Calibri" w:hAnsi="Calibri" w:cs="Calibri"/>
          <w:color w:val="000000"/>
          <w:sz w:val="22"/>
          <w:szCs w:val="22"/>
          <w:lang w:val="en-GB"/>
        </w:rPr>
        <w:tab/>
        <w:t>which has been outstanding for more than ten business days from the date of receipt of the correctly rendered invoice or the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 xml:space="preserve">date that the amount ceased to be </w:t>
      </w:r>
      <w:proofErr w:type="gramStart"/>
      <w:r w:rsidRPr="004E7F53">
        <w:rPr>
          <w:rFonts w:ascii="Calibri" w:eastAsia="Calibri" w:hAnsi="Calibri" w:cs="Calibri"/>
          <w:color w:val="000000"/>
          <w:sz w:val="22"/>
          <w:szCs w:val="22"/>
          <w:lang w:val="en-GB"/>
        </w:rPr>
        <w:t>disputed, as the case may be</w:t>
      </w:r>
      <w:proofErr w:type="gramEnd"/>
      <w:r w:rsidRPr="004E7F53">
        <w:rPr>
          <w:rFonts w:ascii="Calibri" w:eastAsia="Calibri" w:hAnsi="Calibri" w:cs="Calibri"/>
          <w:color w:val="000000"/>
          <w:sz w:val="22"/>
          <w:szCs w:val="22"/>
          <w:lang w:val="en-GB"/>
        </w:rPr>
        <w:t>.</w:t>
      </w:r>
    </w:p>
    <w:p w14:paraId="7D597732"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Monitoring, reporting and evaluation</w:t>
      </w:r>
    </w:p>
    <w:p w14:paraId="6C3EBE62"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Agencies should ensure that appropriate monitoring and reporting mechanisms are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established. This will enable an evaluation of the fair payments provisions to determine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their effectiveness in ensuring prompt payment of Victorian Government debt to business.</w:t>
      </w:r>
    </w:p>
    <w:p w14:paraId="3E1AB44E"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2183F42C"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Specifically, information should be collected on:</w:t>
      </w:r>
    </w:p>
    <w:p w14:paraId="5E3AFBAC" w14:textId="77777777" w:rsidR="004E7F53" w:rsidRPr="004E7F53" w:rsidRDefault="004E7F53" w:rsidP="004E7F53">
      <w:pPr>
        <w:numPr>
          <w:ilvl w:val="0"/>
          <w:numId w:val="32"/>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Number of claims for penalty interest</w:t>
      </w:r>
    </w:p>
    <w:p w14:paraId="17D5DE76" w14:textId="77777777" w:rsidR="004E7F53" w:rsidRPr="004E7F53" w:rsidRDefault="004E7F53" w:rsidP="004E7F53">
      <w:pPr>
        <w:numPr>
          <w:ilvl w:val="0"/>
          <w:numId w:val="32"/>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Value of the invoices involved</w:t>
      </w:r>
    </w:p>
    <w:p w14:paraId="02C41AB4" w14:textId="07A18214" w:rsidR="004E7F53" w:rsidRPr="004E7F53" w:rsidRDefault="004E7F53" w:rsidP="004E7F53">
      <w:pPr>
        <w:numPr>
          <w:ilvl w:val="0"/>
          <w:numId w:val="32"/>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Overall payment terms, i.e. </w:t>
      </w:r>
      <w:r w:rsidR="00A141F1">
        <w:rPr>
          <w:rFonts w:ascii="Calibri" w:eastAsia="Calibri" w:hAnsi="Calibri" w:cs="Calibri"/>
          <w:color w:val="000000"/>
          <w:sz w:val="22"/>
          <w:szCs w:val="22"/>
          <w:lang w:val="en-GB"/>
        </w:rPr>
        <w:t xml:space="preserve">average number of days to pay an invoice, </w:t>
      </w:r>
      <w:r w:rsidRPr="004E7F53">
        <w:rPr>
          <w:rFonts w:ascii="Calibri" w:eastAsia="Calibri" w:hAnsi="Calibri" w:cs="Calibri"/>
          <w:color w:val="000000"/>
          <w:sz w:val="22"/>
          <w:szCs w:val="22"/>
          <w:lang w:val="en-GB"/>
        </w:rPr>
        <w:t>percentage of all payments made within ten business days.</w:t>
      </w:r>
    </w:p>
    <w:p w14:paraId="36F3692F"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Interest on late payments</w:t>
      </w:r>
    </w:p>
    <w:p w14:paraId="3316FE00" w14:textId="77777777" w:rsidR="004E7F53" w:rsidRPr="004E7F53" w:rsidRDefault="004E7F53" w:rsidP="004E7F53">
      <w:pPr>
        <w:autoSpaceDE w:val="0"/>
        <w:autoSpaceDN w:val="0"/>
        <w:adjustRightInd w:val="0"/>
        <w:spacing w:before="0" w:after="0"/>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 xml:space="preserve">The interest payable on late payments will be in accordance with existing Victorian legislation, namely, the </w:t>
      </w:r>
      <w:r w:rsidRPr="004E7F53">
        <w:rPr>
          <w:rFonts w:ascii="Calibri" w:eastAsia="Calibri" w:hAnsi="Calibri" w:cs="Calibri"/>
          <w:i/>
          <w:iCs/>
          <w:color w:val="000000"/>
          <w:sz w:val="22"/>
          <w:szCs w:val="22"/>
          <w:lang w:val="en-GB"/>
        </w:rPr>
        <w:t>Penalty Interest Rates Act 1983</w:t>
      </w:r>
      <w:r w:rsidRPr="004E7F53">
        <w:rPr>
          <w:rFonts w:ascii="Calibri" w:eastAsia="Calibri" w:hAnsi="Calibri" w:cs="Calibri"/>
          <w:color w:val="000000"/>
          <w:sz w:val="22"/>
          <w:szCs w:val="22"/>
          <w:lang w:val="en-GB"/>
        </w:rPr>
        <w:t xml:space="preserve">. Under this legislation, the penalty interest rate which would apply to the late payment of commercial debts by agencies would be the interest rate expressed as a percentage fixed by the Attorney-General from time to time by notice published in the </w:t>
      </w:r>
      <w:r w:rsidRPr="004E7F53">
        <w:rPr>
          <w:rFonts w:ascii="Calibri" w:eastAsia="Calibri" w:hAnsi="Calibri" w:cs="Calibri"/>
          <w:i/>
          <w:iCs/>
          <w:color w:val="000000"/>
          <w:sz w:val="22"/>
          <w:szCs w:val="22"/>
          <w:lang w:val="en-GB"/>
        </w:rPr>
        <w:t>Government Gazette</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Such penalty interest would accrue ten business days after the debt arises.</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The current penalty interest rate is available from the Department of Justice and</w:t>
      </w:r>
      <w:r w:rsidRPr="004E7F53">
        <w:rPr>
          <w:rFonts w:ascii="Calibri" w:eastAsia="Calibri" w:hAnsi="Calibri" w:cs="Calibri"/>
          <w:color w:val="auto"/>
          <w:sz w:val="22"/>
          <w:szCs w:val="22"/>
          <w:lang w:val="en-GB"/>
        </w:rPr>
        <w:t xml:space="preserve"> </w:t>
      </w:r>
      <w:r w:rsidRPr="004E7F53">
        <w:rPr>
          <w:rFonts w:ascii="Calibri" w:eastAsia="Calibri" w:hAnsi="Calibri" w:cs="Calibri"/>
          <w:color w:val="000000"/>
          <w:sz w:val="22"/>
          <w:szCs w:val="22"/>
          <w:lang w:val="en-GB"/>
        </w:rPr>
        <w:t>Community Safety website.</w:t>
      </w:r>
    </w:p>
    <w:p w14:paraId="141B1C3F"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6F1752FB" w14:textId="77777777" w:rsidR="004E7F53" w:rsidRPr="004E7F53" w:rsidRDefault="004E7F53" w:rsidP="004E7F53">
      <w:pPr>
        <w:autoSpaceDE w:val="0"/>
        <w:autoSpaceDN w:val="0"/>
        <w:adjustRightInd w:val="0"/>
        <w:spacing w:before="0" w:after="0"/>
        <w:rPr>
          <w:rFonts w:ascii="Calibri" w:eastAsia="Calibri" w:hAnsi="Calibri" w:cs="Calibri"/>
          <w:b/>
          <w:bCs/>
          <w:color w:val="auto"/>
          <w:sz w:val="22"/>
          <w:szCs w:val="22"/>
          <w:lang w:val="en-GB"/>
        </w:rPr>
      </w:pPr>
      <w:r w:rsidRPr="004E7F53">
        <w:rPr>
          <w:rFonts w:ascii="Calibri" w:eastAsia="Calibri" w:hAnsi="Calibri" w:cs="Calibri"/>
          <w:b/>
          <w:bCs/>
          <w:color w:val="000000"/>
          <w:sz w:val="22"/>
          <w:szCs w:val="22"/>
          <w:lang w:val="en-GB"/>
        </w:rPr>
        <w:t>Example penalty interest calculation (assuming the following):</w:t>
      </w:r>
    </w:p>
    <w:p w14:paraId="6CD76CEE" w14:textId="77777777" w:rsidR="004E7F53" w:rsidRPr="004E7F53" w:rsidRDefault="004E7F53" w:rsidP="004E7F53">
      <w:pPr>
        <w:numPr>
          <w:ilvl w:val="0"/>
          <w:numId w:val="33"/>
        </w:numPr>
        <w:autoSpaceDE w:val="0"/>
        <w:autoSpaceDN w:val="0"/>
        <w:adjustRightInd w:val="0"/>
        <w:spacing w:before="0" w:after="0"/>
        <w:contextualSpacing/>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Penalty interest rate is 10 per cent</w:t>
      </w:r>
    </w:p>
    <w:p w14:paraId="1F7AC925" w14:textId="77777777" w:rsidR="004E7F53" w:rsidRPr="004E7F53" w:rsidRDefault="004E7F53" w:rsidP="004E7F53">
      <w:pPr>
        <w:numPr>
          <w:ilvl w:val="0"/>
          <w:numId w:val="33"/>
        </w:numPr>
        <w:autoSpaceDE w:val="0"/>
        <w:autoSpaceDN w:val="0"/>
        <w:adjustRightInd w:val="0"/>
        <w:spacing w:before="0" w:after="0"/>
        <w:contextualSpacing/>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Value of the invoice is $100,000</w:t>
      </w:r>
    </w:p>
    <w:p w14:paraId="44834C76" w14:textId="77777777" w:rsidR="004E7F53" w:rsidRPr="004E7F53" w:rsidRDefault="004E7F53" w:rsidP="004E7F53">
      <w:pPr>
        <w:numPr>
          <w:ilvl w:val="0"/>
          <w:numId w:val="33"/>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Payment occurs 12 days after the conclusion of the 10-business day period</w:t>
      </w:r>
    </w:p>
    <w:p w14:paraId="7C19114C" w14:textId="77777777" w:rsidR="004E7F53" w:rsidRPr="004E7F53" w:rsidRDefault="004E7F53" w:rsidP="004E7F53">
      <w:pPr>
        <w:numPr>
          <w:ilvl w:val="0"/>
          <w:numId w:val="33"/>
        </w:numPr>
        <w:autoSpaceDE w:val="0"/>
        <w:autoSpaceDN w:val="0"/>
        <w:adjustRightInd w:val="0"/>
        <w:spacing w:before="0" w:after="0"/>
        <w:contextualSpacing/>
        <w:rPr>
          <w:rFonts w:ascii="Calibri" w:eastAsia="Calibri" w:hAnsi="Calibri" w:cs="Calibri"/>
          <w:color w:val="auto"/>
          <w:sz w:val="22"/>
          <w:szCs w:val="22"/>
          <w:lang w:val="en-GB"/>
        </w:rPr>
      </w:pPr>
      <w:r w:rsidRPr="004E7F53">
        <w:rPr>
          <w:rFonts w:ascii="Calibri" w:eastAsia="Calibri" w:hAnsi="Calibri" w:cs="Calibri"/>
          <w:color w:val="000000"/>
          <w:sz w:val="22"/>
          <w:szCs w:val="22"/>
          <w:lang w:val="en-GB"/>
        </w:rPr>
        <w:t>Interest owing = $ 100,000 × 10.00 per cent × 12/365 = $328.77.</w:t>
      </w:r>
    </w:p>
    <w:p w14:paraId="3079DE62" w14:textId="77777777" w:rsidR="004E7F53" w:rsidRPr="004E7F53" w:rsidRDefault="004E7F53" w:rsidP="004E7F53">
      <w:pPr>
        <w:pStyle w:val="Heading2"/>
        <w:numPr>
          <w:ilvl w:val="0"/>
          <w:numId w:val="0"/>
        </w:numPr>
        <w:ind w:left="576" w:hanging="576"/>
        <w:rPr>
          <w:rFonts w:eastAsia="Calibri"/>
          <w:lang w:val="en-GB"/>
        </w:rPr>
      </w:pPr>
      <w:r w:rsidRPr="004E7F53">
        <w:rPr>
          <w:rFonts w:eastAsia="Calibri"/>
          <w:lang w:val="en-GB"/>
        </w:rPr>
        <w:t>Initiation of penalty payments</w:t>
      </w:r>
    </w:p>
    <w:p w14:paraId="4E55167D"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r w:rsidRPr="004E7F53">
        <w:rPr>
          <w:rFonts w:ascii="Calibri" w:eastAsia="Calibri" w:hAnsi="Calibri" w:cs="Calibri"/>
          <w:color w:val="000000"/>
          <w:sz w:val="22"/>
          <w:szCs w:val="22"/>
          <w:lang w:val="en-GB"/>
        </w:rPr>
        <w:t>In respect of the ongoing administration of the commitment, the penalty interest component on late payments will be based on the supplier's initiation, which will minimise tracking of individual payments by departments.</w:t>
      </w:r>
    </w:p>
    <w:p w14:paraId="314C9ECA" w14:textId="63962EC6" w:rsidR="004E7F53" w:rsidRPr="004E7F53" w:rsidRDefault="004E7F53" w:rsidP="004E7F53">
      <w:pPr>
        <w:spacing w:before="0" w:after="0"/>
        <w:rPr>
          <w:rFonts w:ascii="Calibri" w:eastAsia="Calibri" w:hAnsi="Calibri" w:cs="Calibri"/>
          <w:color w:val="000000"/>
          <w:sz w:val="22"/>
          <w:szCs w:val="22"/>
          <w:lang w:val="en-GB"/>
        </w:rPr>
      </w:pPr>
    </w:p>
    <w:p w14:paraId="63747C01" w14:textId="77777777" w:rsidR="004E7F53" w:rsidRPr="004E7F53" w:rsidRDefault="004E7F53" w:rsidP="004E7F53">
      <w:pPr>
        <w:spacing w:before="0" w:after="0"/>
        <w:jc w:val="right"/>
        <w:rPr>
          <w:rFonts w:ascii="Calibri" w:eastAsia="Calibri" w:hAnsi="Calibri"/>
          <w:color w:val="auto"/>
          <w:sz w:val="24"/>
          <w:szCs w:val="24"/>
        </w:rPr>
      </w:pPr>
      <w:r w:rsidRPr="004E7F53">
        <w:rPr>
          <w:rFonts w:ascii="Calibri" w:eastAsia="Calibri" w:hAnsi="Calibri"/>
          <w:color w:val="auto"/>
          <w:sz w:val="24"/>
          <w:szCs w:val="24"/>
        </w:rPr>
        <w:t>Appendix A</w:t>
      </w:r>
    </w:p>
    <w:p w14:paraId="06C61D4A" w14:textId="77777777" w:rsidR="004E7F53" w:rsidRPr="004E7F53" w:rsidRDefault="004E7F53" w:rsidP="004E7F53">
      <w:pPr>
        <w:spacing w:before="0" w:after="0"/>
        <w:rPr>
          <w:rFonts w:ascii="Calibri" w:eastAsia="Calibri" w:hAnsi="Calibri"/>
          <w:b/>
          <w:bCs/>
          <w:color w:val="auto"/>
          <w:sz w:val="32"/>
          <w:szCs w:val="32"/>
        </w:rPr>
      </w:pPr>
    </w:p>
    <w:p w14:paraId="795E5B13" w14:textId="113A98F4" w:rsidR="004E7F53" w:rsidRPr="004E7F53" w:rsidRDefault="00D76346" w:rsidP="00310022">
      <w:pPr>
        <w:pStyle w:val="Heading1"/>
        <w:numPr>
          <w:ilvl w:val="0"/>
          <w:numId w:val="0"/>
        </w:numPr>
        <w:rPr>
          <w:rFonts w:eastAsia="Calibri"/>
        </w:rPr>
      </w:pPr>
      <w:r>
        <w:rPr>
          <w:rFonts w:eastAsia="Calibri"/>
        </w:rPr>
        <w:lastRenderedPageBreak/>
        <w:t xml:space="preserve">Appendix A: </w:t>
      </w:r>
      <w:r w:rsidR="004E7F53" w:rsidRPr="004E7F53">
        <w:rPr>
          <w:rFonts w:eastAsia="Calibri"/>
        </w:rPr>
        <w:t>Fair Payments Policy – Departments and applicable agencies</w:t>
      </w:r>
    </w:p>
    <w:p w14:paraId="33D8D4C6" w14:textId="77777777" w:rsidR="004E7F53" w:rsidRPr="004E7F53" w:rsidRDefault="004E7F53" w:rsidP="004E7F53">
      <w:pPr>
        <w:spacing w:before="0" w:after="0"/>
        <w:rPr>
          <w:rFonts w:ascii="Calibri" w:eastAsia="Calibri" w:hAnsi="Calibri"/>
          <w:color w:val="auto"/>
          <w:sz w:val="24"/>
          <w:szCs w:val="24"/>
        </w:rPr>
      </w:pPr>
    </w:p>
    <w:tbl>
      <w:tblPr>
        <w:tblStyle w:val="TableGrid1"/>
        <w:tblW w:w="0" w:type="auto"/>
        <w:tblLook w:val="04A0" w:firstRow="1" w:lastRow="0" w:firstColumn="1" w:lastColumn="0" w:noHBand="0" w:noVBand="1"/>
      </w:tblPr>
      <w:tblGrid>
        <w:gridCol w:w="4530"/>
        <w:gridCol w:w="4531"/>
      </w:tblGrid>
      <w:tr w:rsidR="004E7F53" w:rsidRPr="004E7F53" w14:paraId="7C5D71B3" w14:textId="77777777" w:rsidTr="000E594A">
        <w:tc>
          <w:tcPr>
            <w:tcW w:w="4675" w:type="dxa"/>
          </w:tcPr>
          <w:p w14:paraId="206786EC" w14:textId="77777777" w:rsidR="004E7F53" w:rsidRPr="004E7F53" w:rsidRDefault="004E7F53" w:rsidP="004E7F53">
            <w:pPr>
              <w:spacing w:before="0"/>
              <w:rPr>
                <w:rFonts w:ascii="Calibri" w:hAnsi="Calibri"/>
                <w:b/>
                <w:bCs/>
                <w:color w:val="auto"/>
                <w:sz w:val="22"/>
                <w:szCs w:val="22"/>
              </w:rPr>
            </w:pPr>
            <w:r w:rsidRPr="004E7F53">
              <w:rPr>
                <w:rFonts w:ascii="Calibri" w:hAnsi="Calibri"/>
                <w:b/>
                <w:bCs/>
                <w:color w:val="auto"/>
                <w:sz w:val="22"/>
                <w:szCs w:val="22"/>
              </w:rPr>
              <w:t>Departments</w:t>
            </w:r>
          </w:p>
        </w:tc>
        <w:tc>
          <w:tcPr>
            <w:tcW w:w="4675" w:type="dxa"/>
          </w:tcPr>
          <w:p w14:paraId="3EAFE127" w14:textId="77777777" w:rsidR="004E7F53" w:rsidRPr="004E7F53" w:rsidRDefault="004E7F53" w:rsidP="004E7F53">
            <w:pPr>
              <w:spacing w:before="0"/>
              <w:rPr>
                <w:rFonts w:ascii="Calibri" w:hAnsi="Calibri"/>
                <w:b/>
                <w:bCs/>
                <w:color w:val="auto"/>
                <w:sz w:val="22"/>
                <w:szCs w:val="22"/>
              </w:rPr>
            </w:pPr>
            <w:r w:rsidRPr="004E7F53">
              <w:rPr>
                <w:rFonts w:ascii="Calibri" w:hAnsi="Calibri"/>
                <w:b/>
                <w:bCs/>
                <w:color w:val="auto"/>
                <w:sz w:val="22"/>
                <w:szCs w:val="22"/>
              </w:rPr>
              <w:t>Applicable Agencies</w:t>
            </w:r>
          </w:p>
        </w:tc>
      </w:tr>
      <w:tr w:rsidR="004E7F53" w:rsidRPr="004E7F53" w14:paraId="0EDD3848" w14:textId="77777777" w:rsidTr="000E594A">
        <w:tc>
          <w:tcPr>
            <w:tcW w:w="4675" w:type="dxa"/>
          </w:tcPr>
          <w:p w14:paraId="27DFECBF" w14:textId="4C422F9F"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Department of Education</w:t>
            </w:r>
            <w:r w:rsidR="00A429B7">
              <w:rPr>
                <w:rFonts w:ascii="Calibri" w:hAnsi="Calibri"/>
                <w:color w:val="auto"/>
                <w:sz w:val="22"/>
                <w:szCs w:val="22"/>
              </w:rPr>
              <w:t xml:space="preserve"> and Training</w:t>
            </w:r>
          </w:p>
          <w:p w14:paraId="548A13A8" w14:textId="65D2FC80" w:rsid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 xml:space="preserve">Department of </w:t>
            </w:r>
            <w:r w:rsidR="00A429B7">
              <w:rPr>
                <w:rFonts w:ascii="Calibri" w:hAnsi="Calibri" w:cs="Calibri"/>
                <w:color w:val="000000"/>
                <w:sz w:val="22"/>
                <w:szCs w:val="22"/>
                <w:lang w:eastAsia="en-GB"/>
              </w:rPr>
              <w:t>Energy, Environment and Climate Action</w:t>
            </w:r>
          </w:p>
          <w:p w14:paraId="7491BD64" w14:textId="36A7BD54" w:rsidR="00A429B7" w:rsidRDefault="00A429B7" w:rsidP="004E7F53">
            <w:pPr>
              <w:spacing w:before="0"/>
              <w:rPr>
                <w:rFonts w:ascii="Calibri" w:hAnsi="Calibri" w:cs="Calibri"/>
                <w:color w:val="000000"/>
                <w:sz w:val="22"/>
                <w:szCs w:val="22"/>
                <w:lang w:eastAsia="en-GB"/>
              </w:rPr>
            </w:pPr>
            <w:r>
              <w:rPr>
                <w:rFonts w:ascii="Calibri" w:hAnsi="Calibri" w:cs="Calibri"/>
                <w:color w:val="000000"/>
                <w:sz w:val="22"/>
                <w:szCs w:val="22"/>
                <w:lang w:eastAsia="en-GB"/>
              </w:rPr>
              <w:t>Department of Families, Fairness and Housing</w:t>
            </w:r>
          </w:p>
          <w:p w14:paraId="38DF8DD2" w14:textId="52F6F674" w:rsidR="00A429B7" w:rsidRPr="004E7F53" w:rsidRDefault="00A429B7" w:rsidP="004E7F53">
            <w:pPr>
              <w:spacing w:before="0"/>
              <w:rPr>
                <w:rFonts w:ascii="Calibri" w:hAnsi="Calibri" w:cs="Calibri"/>
                <w:color w:val="000000"/>
                <w:sz w:val="22"/>
                <w:szCs w:val="22"/>
                <w:lang w:eastAsia="en-GB"/>
              </w:rPr>
            </w:pPr>
            <w:r>
              <w:rPr>
                <w:rFonts w:ascii="Calibri" w:hAnsi="Calibri" w:cs="Calibri"/>
                <w:color w:val="000000"/>
                <w:sz w:val="22"/>
                <w:szCs w:val="22"/>
                <w:lang w:eastAsia="en-GB"/>
              </w:rPr>
              <w:t>Department of Government Services</w:t>
            </w:r>
          </w:p>
          <w:p w14:paraId="5020FDAE" w14:textId="7CE40D59" w:rsidR="004E7F53" w:rsidRPr="004E7F53" w:rsidRDefault="004E7F53" w:rsidP="004E7F53">
            <w:pPr>
              <w:spacing w:before="0"/>
              <w:rPr>
                <w:rFonts w:ascii="Calibri" w:hAnsi="Calibri" w:cs="Calibri"/>
                <w:color w:val="FF0000"/>
                <w:sz w:val="22"/>
                <w:szCs w:val="22"/>
                <w:lang w:eastAsia="en-GB"/>
              </w:rPr>
            </w:pPr>
            <w:r w:rsidRPr="004E7F53">
              <w:rPr>
                <w:rFonts w:ascii="Calibri" w:hAnsi="Calibri" w:cs="Calibri"/>
                <w:color w:val="auto"/>
                <w:sz w:val="22"/>
                <w:szCs w:val="22"/>
                <w:lang w:eastAsia="en-GB"/>
              </w:rPr>
              <w:t>Department of Health</w:t>
            </w:r>
          </w:p>
          <w:p w14:paraId="1CB0DA66" w14:textId="6D3BFC5B"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 xml:space="preserve">Department of Jobs, </w:t>
            </w:r>
            <w:r w:rsidR="00A429B7">
              <w:rPr>
                <w:rFonts w:ascii="Calibri" w:hAnsi="Calibri"/>
                <w:color w:val="auto"/>
                <w:sz w:val="22"/>
                <w:szCs w:val="22"/>
              </w:rPr>
              <w:t>Skills, Industry and Regions</w:t>
            </w:r>
          </w:p>
          <w:p w14:paraId="47B73AE5"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Department of Justice and Community Safety</w:t>
            </w:r>
          </w:p>
          <w:p w14:paraId="5B5B33BD"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Department of Premier and Cabinet</w:t>
            </w:r>
          </w:p>
          <w:p w14:paraId="54DCBD9D" w14:textId="3ED66553"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Department of Transport</w:t>
            </w:r>
            <w:r w:rsidR="00A429B7">
              <w:rPr>
                <w:rFonts w:ascii="Calibri" w:hAnsi="Calibri"/>
                <w:color w:val="auto"/>
                <w:sz w:val="22"/>
                <w:szCs w:val="22"/>
              </w:rPr>
              <w:t xml:space="preserve"> and Planning</w:t>
            </w:r>
          </w:p>
          <w:p w14:paraId="336315B7"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Department of Treasury and Finance</w:t>
            </w:r>
          </w:p>
          <w:p w14:paraId="7B44D39C" w14:textId="77777777" w:rsidR="004E7F53" w:rsidRPr="004E7F53" w:rsidRDefault="004E7F53" w:rsidP="004E7F53">
            <w:pPr>
              <w:spacing w:before="0"/>
              <w:rPr>
                <w:rFonts w:ascii="Calibri" w:hAnsi="Calibri"/>
                <w:b/>
                <w:bCs/>
                <w:color w:val="auto"/>
                <w:sz w:val="22"/>
                <w:szCs w:val="22"/>
              </w:rPr>
            </w:pPr>
          </w:p>
        </w:tc>
        <w:tc>
          <w:tcPr>
            <w:tcW w:w="4675" w:type="dxa"/>
          </w:tcPr>
          <w:p w14:paraId="1A77087A"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Adult Multicultural Education Services Australia</w:t>
            </w:r>
          </w:p>
          <w:p w14:paraId="638CED16"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Alfred Health</w:t>
            </w:r>
          </w:p>
          <w:p w14:paraId="30704ABF"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Austin Health</w:t>
            </w:r>
          </w:p>
          <w:p w14:paraId="5EF04E7D"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Australian Centre for the Moving Image</w:t>
            </w:r>
          </w:p>
          <w:p w14:paraId="43FFE7BA"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 xml:space="preserve">Bendigo </w:t>
            </w:r>
            <w:proofErr w:type="spellStart"/>
            <w:r w:rsidRPr="004E7F53">
              <w:rPr>
                <w:rFonts w:ascii="Calibri" w:hAnsi="Calibri"/>
                <w:color w:val="auto"/>
                <w:sz w:val="22"/>
                <w:szCs w:val="22"/>
              </w:rPr>
              <w:t>Kangan</w:t>
            </w:r>
            <w:proofErr w:type="spellEnd"/>
            <w:r w:rsidRPr="004E7F53">
              <w:rPr>
                <w:rFonts w:ascii="Calibri" w:hAnsi="Calibri"/>
                <w:color w:val="auto"/>
                <w:sz w:val="22"/>
                <w:szCs w:val="22"/>
              </w:rPr>
              <w:t xml:space="preserve"> Institute</w:t>
            </w:r>
          </w:p>
          <w:p w14:paraId="4B69AE00"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Chisholm Institute</w:t>
            </w:r>
          </w:p>
          <w:p w14:paraId="30451144"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City West Water Corporation</w:t>
            </w:r>
          </w:p>
          <w:p w14:paraId="64B41A51"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Country Fire Authority</w:t>
            </w:r>
          </w:p>
          <w:p w14:paraId="6C62939A"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Eastern Health</w:t>
            </w:r>
          </w:p>
          <w:p w14:paraId="1CC576A8"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Essential Services Commission</w:t>
            </w:r>
          </w:p>
          <w:p w14:paraId="5E65BA4F"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Goulburn Murray Rural Water Corporation</w:t>
            </w:r>
          </w:p>
          <w:p w14:paraId="7FA95A23"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Holmesglen Institute</w:t>
            </w:r>
          </w:p>
          <w:p w14:paraId="1EF3F112"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Independent Broad-Based Anti-Corruption Commission</w:t>
            </w:r>
          </w:p>
          <w:p w14:paraId="0F73F8DD"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Infrastructure Victoria</w:t>
            </w:r>
          </w:p>
          <w:p w14:paraId="6F1EE809"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Melbourne Health</w:t>
            </w:r>
          </w:p>
          <w:p w14:paraId="0FB8927D"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Melbourne Polytechnic</w:t>
            </w:r>
          </w:p>
          <w:p w14:paraId="36D88A92"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Melbourne Water</w:t>
            </w:r>
          </w:p>
          <w:p w14:paraId="2C48CF9E"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Metropolitan Fire and Emergency Services Board</w:t>
            </w:r>
          </w:p>
          <w:p w14:paraId="0051AC4E"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Monash Health</w:t>
            </w:r>
          </w:p>
          <w:p w14:paraId="584BDFE3"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Museums Victoria</w:t>
            </w:r>
          </w:p>
          <w:p w14:paraId="71D8E01B"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South East Water</w:t>
            </w:r>
          </w:p>
          <w:p w14:paraId="281A4F77"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State Emergency Services</w:t>
            </w:r>
          </w:p>
          <w:p w14:paraId="14675230"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State Revenue Office</w:t>
            </w:r>
          </w:p>
          <w:p w14:paraId="5AC8B9A0"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State Trustees Limited</w:t>
            </w:r>
          </w:p>
          <w:p w14:paraId="6186262F"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The Council of Trustees of the National Gallery of Victoria</w:t>
            </w:r>
          </w:p>
          <w:p w14:paraId="7273CAF6"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Victoria Police</w:t>
            </w:r>
          </w:p>
          <w:p w14:paraId="5F3E432A"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Victorian Electoral Commission</w:t>
            </w:r>
          </w:p>
          <w:p w14:paraId="72A38F93" w14:textId="77777777" w:rsidR="004E7F53" w:rsidRPr="004E7F53"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Victorian Legal Aid</w:t>
            </w:r>
          </w:p>
          <w:p w14:paraId="07C7FB22"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Victorian Management Insurance Authority</w:t>
            </w:r>
          </w:p>
          <w:p w14:paraId="1DF9FD3A"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Victorian Ombudsman</w:t>
            </w:r>
          </w:p>
          <w:p w14:paraId="1A74648D"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Victorian Public Sector Commission</w:t>
            </w:r>
          </w:p>
          <w:p w14:paraId="7E423DD3" w14:textId="77777777" w:rsidR="004E7F53" w:rsidRPr="004E7F53" w:rsidRDefault="004E7F53" w:rsidP="004E7F53">
            <w:pPr>
              <w:spacing w:before="0"/>
              <w:rPr>
                <w:rFonts w:ascii="Calibri" w:hAnsi="Calibri"/>
                <w:color w:val="auto"/>
                <w:sz w:val="22"/>
                <w:szCs w:val="22"/>
              </w:rPr>
            </w:pPr>
            <w:r w:rsidRPr="004E7F53">
              <w:rPr>
                <w:rFonts w:ascii="Calibri" w:hAnsi="Calibri"/>
                <w:color w:val="auto"/>
                <w:sz w:val="22"/>
                <w:szCs w:val="22"/>
              </w:rPr>
              <w:t>Visit Victoria</w:t>
            </w:r>
          </w:p>
          <w:p w14:paraId="25F04D96" w14:textId="41F9F91E" w:rsidR="004E7F53" w:rsidRPr="00A429B7" w:rsidRDefault="004E7F53" w:rsidP="004E7F53">
            <w:pPr>
              <w:spacing w:before="0"/>
              <w:rPr>
                <w:rFonts w:ascii="Calibri" w:hAnsi="Calibri" w:cs="Calibri"/>
                <w:color w:val="000000"/>
                <w:sz w:val="22"/>
                <w:szCs w:val="22"/>
                <w:lang w:eastAsia="en-GB"/>
              </w:rPr>
            </w:pPr>
            <w:r w:rsidRPr="004E7F53">
              <w:rPr>
                <w:rFonts w:ascii="Calibri" w:hAnsi="Calibri" w:cs="Calibri"/>
                <w:color w:val="000000"/>
                <w:sz w:val="22"/>
                <w:szCs w:val="22"/>
                <w:lang w:eastAsia="en-GB"/>
              </w:rPr>
              <w:t>Yarra Valley Water Corporation</w:t>
            </w:r>
          </w:p>
        </w:tc>
      </w:tr>
    </w:tbl>
    <w:p w14:paraId="57C4CBE4" w14:textId="77777777" w:rsidR="004E7F53" w:rsidRPr="004E7F53" w:rsidRDefault="004E7F53" w:rsidP="004E7F53">
      <w:pPr>
        <w:spacing w:before="0" w:after="0"/>
        <w:rPr>
          <w:rFonts w:ascii="Calibri" w:eastAsia="Calibri" w:hAnsi="Calibri"/>
          <w:b/>
          <w:bCs/>
          <w:color w:val="auto"/>
          <w:sz w:val="22"/>
          <w:szCs w:val="22"/>
        </w:rPr>
      </w:pPr>
    </w:p>
    <w:p w14:paraId="33CECA56" w14:textId="77777777" w:rsidR="004E7F53" w:rsidRPr="004E7F53" w:rsidRDefault="004E7F53" w:rsidP="004E7F53">
      <w:pPr>
        <w:spacing w:before="0" w:after="0"/>
        <w:rPr>
          <w:rFonts w:ascii="Calibri" w:eastAsia="Calibri" w:hAnsi="Calibri"/>
          <w:b/>
          <w:bCs/>
          <w:color w:val="auto"/>
          <w:sz w:val="22"/>
          <w:szCs w:val="22"/>
        </w:rPr>
      </w:pPr>
    </w:p>
    <w:p w14:paraId="1F351D49" w14:textId="77777777" w:rsidR="004E7F53" w:rsidRPr="004E7F53" w:rsidRDefault="004E7F53" w:rsidP="004E7F53">
      <w:pPr>
        <w:autoSpaceDE w:val="0"/>
        <w:autoSpaceDN w:val="0"/>
        <w:adjustRightInd w:val="0"/>
        <w:spacing w:before="0" w:after="0"/>
        <w:rPr>
          <w:rFonts w:ascii="Calibri" w:eastAsia="Calibri" w:hAnsi="Calibri" w:cs="Calibri"/>
          <w:color w:val="000000"/>
          <w:sz w:val="22"/>
          <w:szCs w:val="22"/>
          <w:lang w:val="en-GB"/>
        </w:rPr>
      </w:pPr>
    </w:p>
    <w:p w14:paraId="71AE905B" w14:textId="77777777" w:rsidR="004371F6" w:rsidRPr="001D6D9E" w:rsidRDefault="004371F6" w:rsidP="001D6D9E"/>
    <w:sectPr w:rsidR="004371F6" w:rsidRPr="001D6D9E" w:rsidSect="00FE5BB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134" w:right="1701"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4825" w14:textId="77777777" w:rsidR="003110E1" w:rsidRDefault="003110E1" w:rsidP="00D96C1E">
      <w:r>
        <w:separator/>
      </w:r>
    </w:p>
    <w:p w14:paraId="6418A69B" w14:textId="77777777" w:rsidR="003110E1" w:rsidRDefault="003110E1" w:rsidP="00D96C1E"/>
  </w:endnote>
  <w:endnote w:type="continuationSeparator" w:id="0">
    <w:p w14:paraId="77197172" w14:textId="77777777" w:rsidR="003110E1" w:rsidRDefault="003110E1" w:rsidP="00D96C1E">
      <w:r>
        <w:continuationSeparator/>
      </w:r>
    </w:p>
    <w:p w14:paraId="2622228B" w14:textId="77777777" w:rsidR="003110E1" w:rsidRDefault="003110E1" w:rsidP="00D9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A372" w14:textId="55F7FE75" w:rsidR="00A429B7" w:rsidRDefault="00A429B7">
    <w:pPr>
      <w:pStyle w:val="Footer"/>
    </w:pPr>
    <w:r>
      <w:rPr>
        <w:noProof/>
      </w:rPr>
      <mc:AlternateContent>
        <mc:Choice Requires="wps">
          <w:drawing>
            <wp:anchor distT="0" distB="0" distL="0" distR="0" simplePos="0" relativeHeight="251688960" behindDoc="0" locked="0" layoutInCell="1" allowOverlap="1" wp14:anchorId="25E9BDB3" wp14:editId="3E9C1D41">
              <wp:simplePos x="635" y="635"/>
              <wp:positionH relativeFrom="page">
                <wp:align>center</wp:align>
              </wp:positionH>
              <wp:positionV relativeFrom="page">
                <wp:align>bottom</wp:align>
              </wp:positionV>
              <wp:extent cx="686435" cy="441960"/>
              <wp:effectExtent l="0" t="0" r="12065" b="0"/>
              <wp:wrapNone/>
              <wp:docPr id="9913433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BBF8F1C" w14:textId="6EE1EAB4"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9BDB3" id="_x0000_t202" coordsize="21600,21600" o:spt="202" path="m,l,21600r21600,l21600,xe">
              <v:stroke joinstyle="miter"/>
              <v:path gradientshapeok="t" o:connecttype="rect"/>
            </v:shapetype>
            <v:shape id="Text Box 5" o:spid="_x0000_s1028" type="#_x0000_t202" alt="OFFICIAL" style="position:absolute;margin-left:0;margin-top:0;width:54.05pt;height:34.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" filled="f" stroked="f">
              <v:textbox style="mso-fit-shape-to-text:t" inset="0,0,0,15pt">
                <w:txbxContent>
                  <w:p w14:paraId="2BBF8F1C" w14:textId="6EE1EAB4"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2A7A" w14:textId="57856D29" w:rsidR="00A429B7" w:rsidRDefault="00A429B7">
    <w:pPr>
      <w:pStyle w:val="Footer"/>
    </w:pPr>
    <w:r>
      <w:rPr>
        <w:noProof/>
      </w:rPr>
      <mc:AlternateContent>
        <mc:Choice Requires="wps">
          <w:drawing>
            <wp:anchor distT="0" distB="0" distL="0" distR="0" simplePos="0" relativeHeight="251689984" behindDoc="0" locked="0" layoutInCell="1" allowOverlap="1" wp14:anchorId="34B99962" wp14:editId="01D3A116">
              <wp:simplePos x="0" y="0"/>
              <wp:positionH relativeFrom="page">
                <wp:align>center</wp:align>
              </wp:positionH>
              <wp:positionV relativeFrom="page">
                <wp:align>bottom</wp:align>
              </wp:positionV>
              <wp:extent cx="686435" cy="441960"/>
              <wp:effectExtent l="0" t="0" r="12065" b="0"/>
              <wp:wrapNone/>
              <wp:docPr id="16213214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4DAF6BD" w14:textId="5F38554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99962" id="_x0000_t202" coordsize="21600,21600" o:spt="202" path="m,l,21600r21600,l21600,xe">
              <v:stroke joinstyle="miter"/>
              <v:path gradientshapeok="t" o:connecttype="rect"/>
            </v:shapetype>
            <v:shape id="Text Box 6" o:spid="_x0000_s1029" type="#_x0000_t202" alt="OFFICIAL" style="position:absolute;margin-left:0;margin-top:0;width:54.05pt;height:34.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" filled="f" stroked="f">
              <v:textbox style="mso-fit-shape-to-text:t" inset="0,0,0,15pt">
                <w:txbxContent>
                  <w:p w14:paraId="04DAF6BD" w14:textId="5F38554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FF06" w14:textId="2846CE30" w:rsidR="00A429B7" w:rsidRDefault="00A429B7">
    <w:pPr>
      <w:pStyle w:val="Footer"/>
    </w:pPr>
    <w:r>
      <w:rPr>
        <w:noProof/>
      </w:rPr>
      <mc:AlternateContent>
        <mc:Choice Requires="wps">
          <w:drawing>
            <wp:anchor distT="0" distB="0" distL="0" distR="0" simplePos="0" relativeHeight="251687936" behindDoc="0" locked="0" layoutInCell="1" allowOverlap="1" wp14:anchorId="3F60E121" wp14:editId="04B32EA6">
              <wp:simplePos x="0" y="0"/>
              <wp:positionH relativeFrom="page">
                <wp:align>center</wp:align>
              </wp:positionH>
              <wp:positionV relativeFrom="page">
                <wp:align>bottom</wp:align>
              </wp:positionV>
              <wp:extent cx="686435" cy="441960"/>
              <wp:effectExtent l="0" t="0" r="12065" b="0"/>
              <wp:wrapNone/>
              <wp:docPr id="17595048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2CCE497" w14:textId="396A59D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0E121" id="_x0000_t202" coordsize="21600,21600" o:spt="202" path="m,l,21600r21600,l21600,xe">
              <v:stroke joinstyle="miter"/>
              <v:path gradientshapeok="t" o:connecttype="rect"/>
            </v:shapetype>
            <v:shape id="Text Box 4" o:spid="_x0000_s1031" type="#_x0000_t202" alt="OFFICIAL" style="position:absolute;margin-left:0;margin-top:0;width:54.05pt;height:34.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" filled="f" stroked="f">
              <v:textbox style="mso-fit-shape-to-text:t" inset="0,0,0,15pt">
                <w:txbxContent>
                  <w:p w14:paraId="72CCE497" w14:textId="396A59D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B4AB0" w14:textId="77777777" w:rsidR="003110E1" w:rsidRDefault="003110E1" w:rsidP="00D96C1E">
      <w:r>
        <w:separator/>
      </w:r>
    </w:p>
    <w:p w14:paraId="659D05D2" w14:textId="77777777" w:rsidR="003110E1" w:rsidRDefault="003110E1" w:rsidP="00D96C1E"/>
  </w:footnote>
  <w:footnote w:type="continuationSeparator" w:id="0">
    <w:p w14:paraId="01931529" w14:textId="77777777" w:rsidR="003110E1" w:rsidRDefault="003110E1" w:rsidP="00D96C1E">
      <w:r>
        <w:continuationSeparator/>
      </w:r>
    </w:p>
    <w:p w14:paraId="029F7315" w14:textId="77777777" w:rsidR="003110E1" w:rsidRDefault="003110E1" w:rsidP="00D96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843F6" w14:textId="09796767" w:rsidR="00A429B7" w:rsidRDefault="00A429B7">
    <w:pPr>
      <w:pStyle w:val="Header"/>
    </w:pPr>
    <w:r>
      <w:rPr>
        <w:noProof/>
      </w:rPr>
      <mc:AlternateContent>
        <mc:Choice Requires="wps">
          <w:drawing>
            <wp:anchor distT="0" distB="0" distL="0" distR="0" simplePos="0" relativeHeight="251685888" behindDoc="0" locked="0" layoutInCell="1" allowOverlap="1" wp14:anchorId="11809BC2" wp14:editId="466798CA">
              <wp:simplePos x="635" y="635"/>
              <wp:positionH relativeFrom="page">
                <wp:align>center</wp:align>
              </wp:positionH>
              <wp:positionV relativeFrom="page">
                <wp:align>top</wp:align>
              </wp:positionV>
              <wp:extent cx="686435" cy="441960"/>
              <wp:effectExtent l="0" t="0" r="12065" b="2540"/>
              <wp:wrapNone/>
              <wp:docPr id="8896408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6FDE96" w14:textId="14BAECE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09BC2"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" filled="f" stroked="f">
              <v:textbox style="mso-fit-shape-to-text:t" inset="0,15pt,0,0">
                <w:txbxContent>
                  <w:p w14:paraId="2E6FDE96" w14:textId="14BAECEC"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EBC" w14:textId="0B15F550" w:rsidR="00F821D9" w:rsidRDefault="00A429B7" w:rsidP="00F821D9">
    <w:pPr>
      <w:rPr>
        <w:color w:val="auto"/>
        <w:sz w:val="20"/>
      </w:rPr>
    </w:pPr>
    <w:r>
      <w:rPr>
        <w:noProof/>
        <w:color w:val="auto"/>
        <w:sz w:val="20"/>
      </w:rPr>
      <mc:AlternateContent>
        <mc:Choice Requires="wps">
          <w:drawing>
            <wp:anchor distT="0" distB="0" distL="0" distR="0" simplePos="0" relativeHeight="251686912" behindDoc="0" locked="0" layoutInCell="1" allowOverlap="1" wp14:anchorId="6470BBE0" wp14:editId="08072F91">
              <wp:simplePos x="0" y="0"/>
              <wp:positionH relativeFrom="page">
                <wp:align>center</wp:align>
              </wp:positionH>
              <wp:positionV relativeFrom="page">
                <wp:align>top</wp:align>
              </wp:positionV>
              <wp:extent cx="686435" cy="441960"/>
              <wp:effectExtent l="0" t="0" r="12065" b="2540"/>
              <wp:wrapNone/>
              <wp:docPr id="12807665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AF5BF46" w14:textId="70B7DF48"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70BBE0"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" filled="f" stroked="f">
              <v:textbox style="mso-fit-shape-to-text:t" inset="0,15pt,0,0">
                <w:txbxContent>
                  <w:p w14:paraId="6AF5BF46" w14:textId="70B7DF48"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r w:rsidR="00F821D9">
      <w:rPr>
        <w:noProof/>
        <w:color w:val="auto"/>
        <w:sz w:val="20"/>
      </w:rPr>
      <w:drawing>
        <wp:anchor distT="0" distB="0" distL="114300" distR="114300" simplePos="0" relativeHeight="251683840" behindDoc="1" locked="1" layoutInCell="1" allowOverlap="1" wp14:anchorId="5F74B12C" wp14:editId="1ABDD468">
          <wp:simplePos x="0" y="0"/>
          <wp:positionH relativeFrom="page">
            <wp:align>center</wp:align>
          </wp:positionH>
          <wp:positionV relativeFrom="page">
            <wp:posOffset>180340</wp:posOffset>
          </wp:positionV>
          <wp:extent cx="7203600" cy="324000"/>
          <wp:effectExtent l="0" t="0" r="0" b="0"/>
          <wp:wrapNone/>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C2893" w14:textId="77777777" w:rsidR="00F821D9" w:rsidRDefault="00F821D9" w:rsidP="00F82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2534" w14:textId="4F223603" w:rsidR="00606B6E" w:rsidRDefault="00A429B7" w:rsidP="00687E64">
    <w:pPr>
      <w:rPr>
        <w:color w:val="auto"/>
        <w:sz w:val="20"/>
      </w:rPr>
    </w:pPr>
    <w:r>
      <w:rPr>
        <w:noProof/>
        <w:color w:val="auto"/>
        <w:sz w:val="20"/>
      </w:rPr>
      <mc:AlternateContent>
        <mc:Choice Requires="wps">
          <w:drawing>
            <wp:anchor distT="0" distB="0" distL="0" distR="0" simplePos="0" relativeHeight="251684864" behindDoc="0" locked="0" layoutInCell="1" allowOverlap="1" wp14:anchorId="6E7EE9E1" wp14:editId="2232B25F">
              <wp:simplePos x="0" y="0"/>
              <wp:positionH relativeFrom="page">
                <wp:align>center</wp:align>
              </wp:positionH>
              <wp:positionV relativeFrom="page">
                <wp:align>top</wp:align>
              </wp:positionV>
              <wp:extent cx="686435" cy="441960"/>
              <wp:effectExtent l="0" t="0" r="12065" b="2540"/>
              <wp:wrapNone/>
              <wp:docPr id="19399973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422F5F69" w14:textId="2E6C15D7"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7EE9E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" filled="f" stroked="f">
              <v:textbox style="mso-fit-shape-to-text:t" inset="0,15pt,0,0">
                <w:txbxContent>
                  <w:p w14:paraId="422F5F69" w14:textId="2E6C15D7" w:rsidR="00A429B7" w:rsidRPr="00A429B7" w:rsidRDefault="00A429B7" w:rsidP="00A429B7">
                    <w:pPr>
                      <w:spacing w:after="0"/>
                      <w:rPr>
                        <w:rFonts w:eastAsia="Arial" w:cs="Arial"/>
                        <w:noProof/>
                        <w:color w:val="000000"/>
                        <w:sz w:val="24"/>
                        <w:szCs w:val="24"/>
                      </w:rPr>
                    </w:pPr>
                    <w:r w:rsidRPr="00A429B7">
                      <w:rPr>
                        <w:rFonts w:eastAsia="Arial" w:cs="Arial"/>
                        <w:noProof/>
                        <w:color w:val="000000"/>
                        <w:sz w:val="24"/>
                        <w:szCs w:val="24"/>
                      </w:rPr>
                      <w:t>OFFICIAL</w:t>
                    </w:r>
                  </w:p>
                </w:txbxContent>
              </v:textbox>
              <w10:wrap anchorx="page" anchory="page"/>
            </v:shape>
          </w:pict>
        </mc:Fallback>
      </mc:AlternateContent>
    </w:r>
    <w:r w:rsidR="00FE5BB6">
      <w:rPr>
        <w:noProof/>
        <w:color w:val="auto"/>
        <w:sz w:val="20"/>
      </w:rPr>
      <w:drawing>
        <wp:anchor distT="0" distB="0" distL="114300" distR="114300" simplePos="0" relativeHeight="251681792" behindDoc="1" locked="1" layoutInCell="1" allowOverlap="1" wp14:anchorId="7F8A5113" wp14:editId="7855480D">
          <wp:simplePos x="0" y="0"/>
          <wp:positionH relativeFrom="page">
            <wp:align>center</wp:align>
          </wp:positionH>
          <wp:positionV relativeFrom="page">
            <wp:posOffset>180340</wp:posOffset>
          </wp:positionV>
          <wp:extent cx="7203600" cy="324000"/>
          <wp:effectExtent l="0" t="0" r="0"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EA21F1" w14:textId="77777777" w:rsidR="00606B6E" w:rsidRDefault="00606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98DE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5D7B19"/>
    <w:multiLevelType w:val="hybridMultilevel"/>
    <w:tmpl w:val="718C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6C2FFC"/>
    <w:multiLevelType w:val="hybridMultilevel"/>
    <w:tmpl w:val="49E4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3A7CA6"/>
    <w:multiLevelType w:val="hybridMultilevel"/>
    <w:tmpl w:val="90186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4371057">
    <w:abstractNumId w:val="25"/>
  </w:num>
  <w:num w:numId="2" w16cid:durableId="474444633">
    <w:abstractNumId w:val="25"/>
  </w:num>
  <w:num w:numId="3" w16cid:durableId="1432503627">
    <w:abstractNumId w:val="25"/>
  </w:num>
  <w:num w:numId="4" w16cid:durableId="762215987">
    <w:abstractNumId w:val="25"/>
  </w:num>
  <w:num w:numId="5" w16cid:durableId="1498157210">
    <w:abstractNumId w:val="25"/>
  </w:num>
  <w:num w:numId="6" w16cid:durableId="2127118749">
    <w:abstractNumId w:val="20"/>
  </w:num>
  <w:num w:numId="7" w16cid:durableId="666830118">
    <w:abstractNumId w:val="28"/>
  </w:num>
  <w:num w:numId="8" w16cid:durableId="158231726">
    <w:abstractNumId w:val="26"/>
  </w:num>
  <w:num w:numId="9" w16cid:durableId="252207922">
    <w:abstractNumId w:val="14"/>
  </w:num>
  <w:num w:numId="10" w16cid:durableId="281307542">
    <w:abstractNumId w:val="11"/>
  </w:num>
  <w:num w:numId="11" w16cid:durableId="716046454">
    <w:abstractNumId w:val="12"/>
  </w:num>
  <w:num w:numId="12" w16cid:durableId="1569417702">
    <w:abstractNumId w:val="19"/>
  </w:num>
  <w:num w:numId="13" w16cid:durableId="1927496451">
    <w:abstractNumId w:val="17"/>
  </w:num>
  <w:num w:numId="14" w16cid:durableId="1253932974">
    <w:abstractNumId w:val="18"/>
  </w:num>
  <w:num w:numId="15" w16cid:durableId="353851992">
    <w:abstractNumId w:val="0"/>
  </w:num>
  <w:num w:numId="16" w16cid:durableId="1189299622">
    <w:abstractNumId w:val="1"/>
  </w:num>
  <w:num w:numId="17" w16cid:durableId="1533030902">
    <w:abstractNumId w:val="2"/>
  </w:num>
  <w:num w:numId="18" w16cid:durableId="1367875747">
    <w:abstractNumId w:val="3"/>
  </w:num>
  <w:num w:numId="19" w16cid:durableId="729422822">
    <w:abstractNumId w:val="4"/>
  </w:num>
  <w:num w:numId="20" w16cid:durableId="2016809920">
    <w:abstractNumId w:val="9"/>
  </w:num>
  <w:num w:numId="21" w16cid:durableId="685978908">
    <w:abstractNumId w:val="5"/>
  </w:num>
  <w:num w:numId="22" w16cid:durableId="1492525728">
    <w:abstractNumId w:val="6"/>
  </w:num>
  <w:num w:numId="23" w16cid:durableId="1542789302">
    <w:abstractNumId w:val="7"/>
  </w:num>
  <w:num w:numId="24" w16cid:durableId="404642837">
    <w:abstractNumId w:val="8"/>
  </w:num>
  <w:num w:numId="25" w16cid:durableId="448086730">
    <w:abstractNumId w:val="10"/>
  </w:num>
  <w:num w:numId="26" w16cid:durableId="95517249">
    <w:abstractNumId w:val="15"/>
  </w:num>
  <w:num w:numId="27" w16cid:durableId="327905244">
    <w:abstractNumId w:val="16"/>
  </w:num>
  <w:num w:numId="28" w16cid:durableId="1681815448">
    <w:abstractNumId w:val="22"/>
  </w:num>
  <w:num w:numId="29" w16cid:durableId="605310243">
    <w:abstractNumId w:val="27"/>
  </w:num>
  <w:num w:numId="30" w16cid:durableId="2070615578">
    <w:abstractNumId w:val="24"/>
  </w:num>
  <w:num w:numId="31" w16cid:durableId="1715738723">
    <w:abstractNumId w:val="23"/>
  </w:num>
  <w:num w:numId="32" w16cid:durableId="583414988">
    <w:abstractNumId w:val="21"/>
  </w:num>
  <w:num w:numId="33" w16cid:durableId="1820657987">
    <w:abstractNumId w:val="13"/>
  </w:num>
  <w:num w:numId="34" w16cid:durableId="1763380735">
    <w:abstractNumId w:val="26"/>
  </w:num>
  <w:num w:numId="35" w16cid:durableId="1353920898">
    <w:abstractNumId w:val="26"/>
  </w:num>
  <w:num w:numId="36" w16cid:durableId="1869946085">
    <w:abstractNumId w:val="26"/>
  </w:num>
  <w:num w:numId="37" w16cid:durableId="1706444894">
    <w:abstractNumId w:val="26"/>
  </w:num>
  <w:num w:numId="38" w16cid:durableId="22832895">
    <w:abstractNumId w:val="26"/>
  </w:num>
  <w:num w:numId="39" w16cid:durableId="2130083636">
    <w:abstractNumId w:val="26"/>
  </w:num>
  <w:num w:numId="40" w16cid:durableId="2686633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53"/>
    <w:rsid w:val="0000762E"/>
    <w:rsid w:val="00034053"/>
    <w:rsid w:val="0004322F"/>
    <w:rsid w:val="00043BBD"/>
    <w:rsid w:val="00044DC5"/>
    <w:rsid w:val="00060302"/>
    <w:rsid w:val="000636CE"/>
    <w:rsid w:val="000664EC"/>
    <w:rsid w:val="00070516"/>
    <w:rsid w:val="000809CD"/>
    <w:rsid w:val="00083F3A"/>
    <w:rsid w:val="000B2BD7"/>
    <w:rsid w:val="000B5CE2"/>
    <w:rsid w:val="000B7105"/>
    <w:rsid w:val="000E39A7"/>
    <w:rsid w:val="000F0296"/>
    <w:rsid w:val="000F7643"/>
    <w:rsid w:val="00106B24"/>
    <w:rsid w:val="001266CB"/>
    <w:rsid w:val="00133F06"/>
    <w:rsid w:val="00135B6F"/>
    <w:rsid w:val="001410ED"/>
    <w:rsid w:val="001417FE"/>
    <w:rsid w:val="001441F4"/>
    <w:rsid w:val="00152EB9"/>
    <w:rsid w:val="001575E7"/>
    <w:rsid w:val="00162799"/>
    <w:rsid w:val="00162CEF"/>
    <w:rsid w:val="00164024"/>
    <w:rsid w:val="00164461"/>
    <w:rsid w:val="00164987"/>
    <w:rsid w:val="00166869"/>
    <w:rsid w:val="00167CD4"/>
    <w:rsid w:val="001774D2"/>
    <w:rsid w:val="00181199"/>
    <w:rsid w:val="001858C2"/>
    <w:rsid w:val="00186B61"/>
    <w:rsid w:val="00187CBA"/>
    <w:rsid w:val="00190A16"/>
    <w:rsid w:val="001A653B"/>
    <w:rsid w:val="001D6D9E"/>
    <w:rsid w:val="001F0A49"/>
    <w:rsid w:val="001F3D55"/>
    <w:rsid w:val="001F76F6"/>
    <w:rsid w:val="001F7FE5"/>
    <w:rsid w:val="00206DAB"/>
    <w:rsid w:val="0021262D"/>
    <w:rsid w:val="00213285"/>
    <w:rsid w:val="00214165"/>
    <w:rsid w:val="0022061D"/>
    <w:rsid w:val="00240644"/>
    <w:rsid w:val="00247333"/>
    <w:rsid w:val="002541E8"/>
    <w:rsid w:val="00270CB2"/>
    <w:rsid w:val="00275C41"/>
    <w:rsid w:val="00277A1E"/>
    <w:rsid w:val="002848F0"/>
    <w:rsid w:val="00292254"/>
    <w:rsid w:val="00294079"/>
    <w:rsid w:val="00294DCD"/>
    <w:rsid w:val="002A56CF"/>
    <w:rsid w:val="002A72B2"/>
    <w:rsid w:val="002B0A79"/>
    <w:rsid w:val="002B38ED"/>
    <w:rsid w:val="002B5841"/>
    <w:rsid w:val="002C2F1F"/>
    <w:rsid w:val="002D1F76"/>
    <w:rsid w:val="002E04F8"/>
    <w:rsid w:val="002E3C2C"/>
    <w:rsid w:val="00300D80"/>
    <w:rsid w:val="00310022"/>
    <w:rsid w:val="003108AD"/>
    <w:rsid w:val="003110E1"/>
    <w:rsid w:val="00311E13"/>
    <w:rsid w:val="003219ED"/>
    <w:rsid w:val="00322AE7"/>
    <w:rsid w:val="0034620F"/>
    <w:rsid w:val="00353D57"/>
    <w:rsid w:val="003603BD"/>
    <w:rsid w:val="003628E3"/>
    <w:rsid w:val="00375F08"/>
    <w:rsid w:val="0038237E"/>
    <w:rsid w:val="0038297E"/>
    <w:rsid w:val="00391A43"/>
    <w:rsid w:val="003B0708"/>
    <w:rsid w:val="003B093E"/>
    <w:rsid w:val="003B31C0"/>
    <w:rsid w:val="003B37BD"/>
    <w:rsid w:val="003B4F2D"/>
    <w:rsid w:val="003D44AD"/>
    <w:rsid w:val="003E55B0"/>
    <w:rsid w:val="003E690A"/>
    <w:rsid w:val="003E73DE"/>
    <w:rsid w:val="003E746F"/>
    <w:rsid w:val="00412227"/>
    <w:rsid w:val="00421E8D"/>
    <w:rsid w:val="00422F1C"/>
    <w:rsid w:val="00431CED"/>
    <w:rsid w:val="00435FCF"/>
    <w:rsid w:val="004368D2"/>
    <w:rsid w:val="004371F6"/>
    <w:rsid w:val="00440DF0"/>
    <w:rsid w:val="004464C4"/>
    <w:rsid w:val="004477B6"/>
    <w:rsid w:val="00456170"/>
    <w:rsid w:val="004602BE"/>
    <w:rsid w:val="004621A0"/>
    <w:rsid w:val="0047003A"/>
    <w:rsid w:val="00474D13"/>
    <w:rsid w:val="004837F1"/>
    <w:rsid w:val="004A147F"/>
    <w:rsid w:val="004B3C74"/>
    <w:rsid w:val="004B3FC2"/>
    <w:rsid w:val="004C5942"/>
    <w:rsid w:val="004D194A"/>
    <w:rsid w:val="004D653B"/>
    <w:rsid w:val="004E4C95"/>
    <w:rsid w:val="004E7F53"/>
    <w:rsid w:val="004F10C7"/>
    <w:rsid w:val="004F1E91"/>
    <w:rsid w:val="005001F0"/>
    <w:rsid w:val="0050512C"/>
    <w:rsid w:val="00506A93"/>
    <w:rsid w:val="005104E6"/>
    <w:rsid w:val="005163FE"/>
    <w:rsid w:val="005257C6"/>
    <w:rsid w:val="005276EB"/>
    <w:rsid w:val="00535D6A"/>
    <w:rsid w:val="00537F3D"/>
    <w:rsid w:val="005656A1"/>
    <w:rsid w:val="005723C8"/>
    <w:rsid w:val="00585115"/>
    <w:rsid w:val="00591895"/>
    <w:rsid w:val="005A6D9F"/>
    <w:rsid w:val="005B0813"/>
    <w:rsid w:val="005D4B13"/>
    <w:rsid w:val="005E284D"/>
    <w:rsid w:val="005F5CFC"/>
    <w:rsid w:val="005F655D"/>
    <w:rsid w:val="005F66C6"/>
    <w:rsid w:val="005F6CE7"/>
    <w:rsid w:val="00604D7C"/>
    <w:rsid w:val="0060555E"/>
    <w:rsid w:val="00606B6E"/>
    <w:rsid w:val="00607F8D"/>
    <w:rsid w:val="006202B7"/>
    <w:rsid w:val="00625114"/>
    <w:rsid w:val="00644924"/>
    <w:rsid w:val="0064636E"/>
    <w:rsid w:val="006664B6"/>
    <w:rsid w:val="00677E57"/>
    <w:rsid w:val="00687148"/>
    <w:rsid w:val="00687E64"/>
    <w:rsid w:val="006905F9"/>
    <w:rsid w:val="00696044"/>
    <w:rsid w:val="00696640"/>
    <w:rsid w:val="006A2FFA"/>
    <w:rsid w:val="006A4825"/>
    <w:rsid w:val="006A6607"/>
    <w:rsid w:val="006B778A"/>
    <w:rsid w:val="006C0F74"/>
    <w:rsid w:val="006C7DEC"/>
    <w:rsid w:val="006D68A4"/>
    <w:rsid w:val="006E6885"/>
    <w:rsid w:val="006F01F2"/>
    <w:rsid w:val="006F0E7E"/>
    <w:rsid w:val="006F0ECE"/>
    <w:rsid w:val="006F1AA2"/>
    <w:rsid w:val="006F6135"/>
    <w:rsid w:val="006F6E52"/>
    <w:rsid w:val="00700B64"/>
    <w:rsid w:val="00704AF9"/>
    <w:rsid w:val="00707D32"/>
    <w:rsid w:val="00707F05"/>
    <w:rsid w:val="00710763"/>
    <w:rsid w:val="00720471"/>
    <w:rsid w:val="00720991"/>
    <w:rsid w:val="0072425B"/>
    <w:rsid w:val="00724531"/>
    <w:rsid w:val="00730369"/>
    <w:rsid w:val="00734911"/>
    <w:rsid w:val="00740629"/>
    <w:rsid w:val="007431E7"/>
    <w:rsid w:val="007444DD"/>
    <w:rsid w:val="00747C75"/>
    <w:rsid w:val="007646AA"/>
    <w:rsid w:val="00770803"/>
    <w:rsid w:val="00771777"/>
    <w:rsid w:val="00782C92"/>
    <w:rsid w:val="007B4719"/>
    <w:rsid w:val="007C1287"/>
    <w:rsid w:val="007D40B8"/>
    <w:rsid w:val="007E01B3"/>
    <w:rsid w:val="008027EC"/>
    <w:rsid w:val="00805E7C"/>
    <w:rsid w:val="00814984"/>
    <w:rsid w:val="008151D9"/>
    <w:rsid w:val="00821D06"/>
    <w:rsid w:val="00830467"/>
    <w:rsid w:val="00854053"/>
    <w:rsid w:val="00855D60"/>
    <w:rsid w:val="008571B4"/>
    <w:rsid w:val="00864B2F"/>
    <w:rsid w:val="0086526A"/>
    <w:rsid w:val="0087121B"/>
    <w:rsid w:val="008730BD"/>
    <w:rsid w:val="00892F06"/>
    <w:rsid w:val="008D72D6"/>
    <w:rsid w:val="008E34C0"/>
    <w:rsid w:val="008E45EE"/>
    <w:rsid w:val="008E4A82"/>
    <w:rsid w:val="008F6252"/>
    <w:rsid w:val="00907F21"/>
    <w:rsid w:val="00913117"/>
    <w:rsid w:val="00914E64"/>
    <w:rsid w:val="00921A00"/>
    <w:rsid w:val="0093205D"/>
    <w:rsid w:val="009324C3"/>
    <w:rsid w:val="00942086"/>
    <w:rsid w:val="00961C45"/>
    <w:rsid w:val="00961E35"/>
    <w:rsid w:val="00965A99"/>
    <w:rsid w:val="00965E6E"/>
    <w:rsid w:val="00974135"/>
    <w:rsid w:val="009749A5"/>
    <w:rsid w:val="00975F0E"/>
    <w:rsid w:val="00983FCB"/>
    <w:rsid w:val="009960AA"/>
    <w:rsid w:val="009B079D"/>
    <w:rsid w:val="009C2EAA"/>
    <w:rsid w:val="009D44FC"/>
    <w:rsid w:val="009E0B3D"/>
    <w:rsid w:val="009E2D7A"/>
    <w:rsid w:val="009E692C"/>
    <w:rsid w:val="00A013D3"/>
    <w:rsid w:val="00A0687D"/>
    <w:rsid w:val="00A07DF2"/>
    <w:rsid w:val="00A11752"/>
    <w:rsid w:val="00A141F1"/>
    <w:rsid w:val="00A1590C"/>
    <w:rsid w:val="00A17119"/>
    <w:rsid w:val="00A22F97"/>
    <w:rsid w:val="00A34096"/>
    <w:rsid w:val="00A40738"/>
    <w:rsid w:val="00A41A0F"/>
    <w:rsid w:val="00A429B7"/>
    <w:rsid w:val="00A465E3"/>
    <w:rsid w:val="00A52815"/>
    <w:rsid w:val="00A529EA"/>
    <w:rsid w:val="00A6196F"/>
    <w:rsid w:val="00A94CD5"/>
    <w:rsid w:val="00AA44D7"/>
    <w:rsid w:val="00AB1D65"/>
    <w:rsid w:val="00AB2E25"/>
    <w:rsid w:val="00AD211E"/>
    <w:rsid w:val="00AD7309"/>
    <w:rsid w:val="00AE6758"/>
    <w:rsid w:val="00AF152C"/>
    <w:rsid w:val="00B14DDB"/>
    <w:rsid w:val="00B33D08"/>
    <w:rsid w:val="00B349EC"/>
    <w:rsid w:val="00B5046E"/>
    <w:rsid w:val="00B62A2A"/>
    <w:rsid w:val="00B63B43"/>
    <w:rsid w:val="00B71016"/>
    <w:rsid w:val="00B83FEC"/>
    <w:rsid w:val="00B863CD"/>
    <w:rsid w:val="00B938A7"/>
    <w:rsid w:val="00B93FD6"/>
    <w:rsid w:val="00B97001"/>
    <w:rsid w:val="00B973EE"/>
    <w:rsid w:val="00BA390F"/>
    <w:rsid w:val="00BA70A6"/>
    <w:rsid w:val="00BC4ABE"/>
    <w:rsid w:val="00BC4B89"/>
    <w:rsid w:val="00BE131F"/>
    <w:rsid w:val="00BF2BA6"/>
    <w:rsid w:val="00BF533D"/>
    <w:rsid w:val="00BF6637"/>
    <w:rsid w:val="00C003C2"/>
    <w:rsid w:val="00C122E4"/>
    <w:rsid w:val="00C61F44"/>
    <w:rsid w:val="00C63BDC"/>
    <w:rsid w:val="00C73282"/>
    <w:rsid w:val="00C80E10"/>
    <w:rsid w:val="00C829C6"/>
    <w:rsid w:val="00C83E7A"/>
    <w:rsid w:val="00CA59D5"/>
    <w:rsid w:val="00CB4A0F"/>
    <w:rsid w:val="00CB73CA"/>
    <w:rsid w:val="00CC72D9"/>
    <w:rsid w:val="00CD7E6A"/>
    <w:rsid w:val="00CE520B"/>
    <w:rsid w:val="00CF3770"/>
    <w:rsid w:val="00CF6EB4"/>
    <w:rsid w:val="00D120F8"/>
    <w:rsid w:val="00D308D4"/>
    <w:rsid w:val="00D651F4"/>
    <w:rsid w:val="00D729FA"/>
    <w:rsid w:val="00D76346"/>
    <w:rsid w:val="00D76844"/>
    <w:rsid w:val="00D8542D"/>
    <w:rsid w:val="00D96C1E"/>
    <w:rsid w:val="00DA0941"/>
    <w:rsid w:val="00DA6EFC"/>
    <w:rsid w:val="00DB0DED"/>
    <w:rsid w:val="00DB1E27"/>
    <w:rsid w:val="00DB26D5"/>
    <w:rsid w:val="00DC4912"/>
    <w:rsid w:val="00DD6894"/>
    <w:rsid w:val="00DE5D59"/>
    <w:rsid w:val="00DE623C"/>
    <w:rsid w:val="00DF6190"/>
    <w:rsid w:val="00DF7534"/>
    <w:rsid w:val="00E017A7"/>
    <w:rsid w:val="00E02831"/>
    <w:rsid w:val="00E06D21"/>
    <w:rsid w:val="00E10C62"/>
    <w:rsid w:val="00E2142B"/>
    <w:rsid w:val="00E22A18"/>
    <w:rsid w:val="00E25444"/>
    <w:rsid w:val="00E31E09"/>
    <w:rsid w:val="00E354A3"/>
    <w:rsid w:val="00E42772"/>
    <w:rsid w:val="00E45D83"/>
    <w:rsid w:val="00E5567F"/>
    <w:rsid w:val="00E57C8F"/>
    <w:rsid w:val="00E72A0D"/>
    <w:rsid w:val="00E806E9"/>
    <w:rsid w:val="00E85CDC"/>
    <w:rsid w:val="00EB1F33"/>
    <w:rsid w:val="00EB2544"/>
    <w:rsid w:val="00EB5CE6"/>
    <w:rsid w:val="00ED5C66"/>
    <w:rsid w:val="00ED7FC5"/>
    <w:rsid w:val="00EE00A0"/>
    <w:rsid w:val="00EE1BC7"/>
    <w:rsid w:val="00F06025"/>
    <w:rsid w:val="00F4526C"/>
    <w:rsid w:val="00F45D9E"/>
    <w:rsid w:val="00F535CE"/>
    <w:rsid w:val="00F67529"/>
    <w:rsid w:val="00F732CD"/>
    <w:rsid w:val="00F821D9"/>
    <w:rsid w:val="00F824C0"/>
    <w:rsid w:val="00F82CEB"/>
    <w:rsid w:val="00F9423E"/>
    <w:rsid w:val="00F973F3"/>
    <w:rsid w:val="00FA2EDF"/>
    <w:rsid w:val="00FB0DEA"/>
    <w:rsid w:val="00FB11D1"/>
    <w:rsid w:val="00FB5F7E"/>
    <w:rsid w:val="00FC1922"/>
    <w:rsid w:val="00FE0570"/>
    <w:rsid w:val="00FE13BF"/>
    <w:rsid w:val="00FE5BB6"/>
    <w:rsid w:val="00FF03FE"/>
    <w:rsid w:val="00FF2D2B"/>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2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hAnsi="Arial" w:cs="Times New Roman"/>
      <w:color w:val="53565A" w:themeColor="accent2"/>
      <w:sz w:val="18"/>
      <w:szCs w:val="20"/>
    </w:rPr>
  </w:style>
  <w:style w:type="paragraph" w:styleId="Heading1">
    <w:name w:val="heading 1"/>
    <w:basedOn w:val="Normal"/>
    <w:next w:val="Normal"/>
    <w:link w:val="Heading1Char"/>
    <w:uiPriority w:val="9"/>
    <w:qFormat/>
    <w:rsid w:val="001575E7"/>
    <w:pPr>
      <w:keepNext/>
      <w:keepLines/>
      <w:pageBreakBefore/>
      <w:numPr>
        <w:numId w:val="8"/>
      </w:numPr>
      <w:spacing w:before="520" w:after="480"/>
      <w:ind w:left="431" w:hanging="431"/>
      <w:outlineLvl w:val="0"/>
    </w:pPr>
    <w:rPr>
      <w:b/>
      <w:bCs/>
      <w:color w:val="100249" w:themeColor="accent4"/>
      <w:sz w:val="36"/>
      <w:szCs w:val="32"/>
    </w:rPr>
  </w:style>
  <w:style w:type="paragraph" w:styleId="Heading2">
    <w:name w:val="heading 2"/>
    <w:basedOn w:val="Normal"/>
    <w:next w:val="Normal"/>
    <w:link w:val="Heading2Char"/>
    <w:uiPriority w:val="9"/>
    <w:qFormat/>
    <w:rsid w:val="00E42772"/>
    <w:pPr>
      <w:keepNext/>
      <w:keepLines/>
      <w:numPr>
        <w:ilvl w:val="1"/>
        <w:numId w:val="8"/>
      </w:numPr>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8"/>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8"/>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8"/>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F821D9"/>
    <w:pPr>
      <w:tabs>
        <w:tab w:val="left" w:pos="600"/>
        <w:tab w:val="right" w:pos="9071"/>
        <w:tab w:val="left" w:leader="dot" w:pos="14175"/>
      </w:tabs>
      <w:spacing w:before="240" w:after="100"/>
    </w:p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table" w:customStyle="1" w:styleId="TableGrid1">
    <w:name w:val="Table Grid1"/>
    <w:basedOn w:val="TableNormal"/>
    <w:next w:val="TableGrid"/>
    <w:uiPriority w:val="39"/>
    <w:rsid w:val="004E7F53"/>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310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73E8-002A-4236-AA29-1516B705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Fair Payments Policy</dc:title>
  <dc:subject/>
  <dc:creator/>
  <cp:keywords/>
  <dc:description/>
  <cp:lastModifiedBy/>
  <cp:revision>1</cp:revision>
  <dcterms:created xsi:type="dcterms:W3CDTF">2024-08-09T02:46:00Z</dcterms:created>
  <dcterms:modified xsi:type="dcterms:W3CDTF">2024-08-09T02:58:00Z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73a202a7,3506d781,4c56f266</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68dfe9bf,3b16b307,60a36705</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2024-08-09T02:46:52Z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80844054-c537-4640-8ef7-1c035235d525</vt:lpwstr>
  </property>
  <property fmtid="{D5CDD505-2E9C-101B-9397-08002B2CF9AE}" pid="14" name="MSIP_Label_d00a4df9-c942-4b09-b23a-6c1023f6de27_ContentBits">
    <vt:lpwstr>3</vt:lpwstr>
  </property>
</Properties>
</file>