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E9EF" w14:textId="77777777" w:rsidR="00EE2FC0" w:rsidRPr="00EE2FC0" w:rsidRDefault="00EE2FC0" w:rsidP="00EE2FC0">
      <w:pPr>
        <w:pStyle w:val="Reporttitle"/>
        <w:rPr>
          <w:b/>
          <w:bCs w:val="0"/>
          <w:color w:val="auto"/>
        </w:rPr>
      </w:pPr>
      <w:r w:rsidRPr="00EE2FC0">
        <w:rPr>
          <w:b/>
          <w:bCs w:val="0"/>
          <w:color w:val="auto"/>
        </w:rPr>
        <w:t xml:space="preserve">Kangaroo Harvest Program </w:t>
      </w:r>
    </w:p>
    <w:p w14:paraId="25444181" w14:textId="0581D346" w:rsidR="00EE2FC0" w:rsidRPr="00EE2FC0" w:rsidRDefault="00EE2FC0" w:rsidP="00EE2FC0">
      <w:pPr>
        <w:pStyle w:val="Reporttitle"/>
        <w:rPr>
          <w:b/>
          <w:bCs w:val="0"/>
          <w:color w:val="auto"/>
          <w:sz w:val="36"/>
          <w:szCs w:val="16"/>
        </w:rPr>
      </w:pPr>
      <w:r w:rsidRPr="00EE2FC0">
        <w:rPr>
          <w:b/>
          <w:bCs w:val="0"/>
          <w:color w:val="auto"/>
          <w:sz w:val="36"/>
          <w:szCs w:val="16"/>
        </w:rPr>
        <w:t>QUARTER ONE SUMMARY REPORT 202</w:t>
      </w:r>
      <w:r>
        <w:rPr>
          <w:b/>
          <w:bCs w:val="0"/>
          <w:color w:val="auto"/>
          <w:sz w:val="36"/>
          <w:szCs w:val="16"/>
        </w:rPr>
        <w:t>4</w:t>
      </w:r>
    </w:p>
    <w:p w14:paraId="432D99D7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7191F33E" w14:textId="43F043DD" w:rsidR="004B661B" w:rsidRPr="00EE2FC0" w:rsidRDefault="00EE2FC0" w:rsidP="00EE2FC0">
      <w:pPr>
        <w:pStyle w:val="TOCHeading"/>
        <w:rPr>
          <w:bCs/>
          <w:caps w:val="0"/>
          <w:color w:val="auto"/>
          <w:szCs w:val="32"/>
        </w:rPr>
      </w:pPr>
      <w:r>
        <w:rPr>
          <w:bCs/>
          <w:caps w:val="0"/>
          <w:color w:val="auto"/>
          <w:szCs w:val="32"/>
        </w:rPr>
        <w:t>Table of contents</w:t>
      </w:r>
    </w:p>
    <w:p w14:paraId="65F63DC2" w14:textId="5546240B" w:rsidR="00D462A9" w:rsidRPr="00EE2FC0" w:rsidRDefault="0047378C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r w:rsidRPr="00EE2FC0">
        <w:rPr>
          <w:b/>
          <w:bCs/>
        </w:rPr>
        <w:fldChar w:fldCharType="begin"/>
      </w:r>
      <w:r w:rsidRPr="00EE2FC0">
        <w:rPr>
          <w:b/>
          <w:bCs/>
        </w:rPr>
        <w:instrText xml:space="preserve"> TOC \o "1-2" \h \z \u </w:instrText>
      </w:r>
      <w:r w:rsidRPr="00EE2FC0">
        <w:rPr>
          <w:b/>
          <w:bCs/>
        </w:rPr>
        <w:fldChar w:fldCharType="separate"/>
      </w:r>
      <w:hyperlink w:anchor="_Toc155250932" w:history="1">
        <w:r w:rsidR="00D462A9" w:rsidRPr="00EE2FC0">
          <w:rPr>
            <w:rStyle w:val="Hyperlink"/>
            <w:b/>
            <w:bCs/>
            <w:noProof/>
          </w:rPr>
          <w:t>1.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Annual Quota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_Toc155250932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1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32AC2D25" w14:textId="4A67A4DE" w:rsidR="00D462A9" w:rsidRPr="00EE2FC0" w:rsidRDefault="00000000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3" w:history="1">
        <w:r w:rsidR="00D462A9" w:rsidRPr="00EE2FC0">
          <w:rPr>
            <w:rStyle w:val="Hyperlink"/>
            <w:b/>
            <w:bCs/>
            <w:noProof/>
          </w:rPr>
          <w:t>1.1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Overview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_Toc155250933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1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124CACFA" w14:textId="5096FFD1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4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 xml:space="preserve">1.1.1 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1 - Annual quota and allocation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_Toc155250934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1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22949FB4" w14:textId="3EBC98B6" w:rsidR="00D462A9" w:rsidRPr="00EE2FC0" w:rsidRDefault="00000000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5" w:history="1">
        <w:r w:rsidR="00D462A9" w:rsidRPr="00EE2FC0">
          <w:rPr>
            <w:rStyle w:val="Hyperlink"/>
            <w:b/>
            <w:bCs/>
            <w:noProof/>
          </w:rPr>
          <w:t>2.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Quota allocation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_Toc155250935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2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3ABF8EAA" w14:textId="396CCFE0" w:rsidR="00D462A9" w:rsidRPr="00EE2FC0" w:rsidRDefault="00000000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6" w:history="1">
        <w:r w:rsidR="00D462A9" w:rsidRPr="00EE2FC0">
          <w:rPr>
            <w:rStyle w:val="Hyperlink"/>
            <w:b/>
            <w:bCs/>
            <w:noProof/>
          </w:rPr>
          <w:t>2.1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Overview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_Toc155250936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2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61D0D42A" w14:textId="62DBA936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7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 xml:space="preserve">2.1.1 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2 - Allocation and consumption figures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_Toc155250937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2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2368493E" w14:textId="4415E37A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8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2.1.2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3 - Monthly consumption figures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_Toc155250938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3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72CE9E45" w14:textId="4C1090B2" w:rsidR="00D462A9" w:rsidRPr="00EE2FC0" w:rsidRDefault="00000000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39" w:history="1">
        <w:r w:rsidR="00D462A9" w:rsidRPr="00EE2FC0">
          <w:rPr>
            <w:rStyle w:val="Hyperlink"/>
            <w:b/>
            <w:bCs/>
            <w:noProof/>
          </w:rPr>
          <w:t>3.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Harvest Information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_Toc155250939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4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7B9AB998" w14:textId="57D1C43E" w:rsidR="00D462A9" w:rsidRPr="00EE2FC0" w:rsidRDefault="00000000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0" w:history="1">
        <w:r w:rsidR="00D462A9" w:rsidRPr="00EE2FC0">
          <w:rPr>
            <w:rStyle w:val="Hyperlink"/>
            <w:b/>
            <w:bCs/>
            <w:noProof/>
          </w:rPr>
          <w:t>3.1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Overview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_Toc155250940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4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79CEF839" w14:textId="54217D3E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1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3.1.1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4 - Harvest summary figures per zone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_Toc155250941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4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1415943A" w14:textId="5D99CE93" w:rsidR="00D462A9" w:rsidRPr="00EE2FC0" w:rsidRDefault="00000000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2" w:history="1">
        <w:r w:rsidR="00D462A9" w:rsidRPr="00EE2FC0">
          <w:rPr>
            <w:rStyle w:val="Hyperlink"/>
            <w:b/>
            <w:bCs/>
            <w:noProof/>
          </w:rPr>
          <w:t>4.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Compliance figures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_Toc155250942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5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1AE42FBE" w14:textId="3EA18B08" w:rsidR="00D462A9" w:rsidRPr="00EE2FC0" w:rsidRDefault="00000000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3" w:history="1">
        <w:r w:rsidR="00D462A9" w:rsidRPr="00EE2FC0">
          <w:rPr>
            <w:rStyle w:val="Hyperlink"/>
            <w:b/>
            <w:bCs/>
            <w:noProof/>
          </w:rPr>
          <w:t>4.1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b/>
            <w:bCs/>
            <w:noProof/>
          </w:rPr>
          <w:t>Compliance overview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_Toc155250943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5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3F08481E" w14:textId="665BB504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4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4.1.1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5 - Compliance summary data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_Toc155250944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5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3BC3744D" w14:textId="125F3295" w:rsidR="00D462A9" w:rsidRPr="00EE2FC0" w:rsidRDefault="00000000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AU" w:eastAsia="en-AU"/>
        </w:rPr>
      </w:pPr>
      <w:hyperlink w:anchor="_Toc155250945" w:history="1"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4.1.2</w:t>
        </w:r>
        <w:r w:rsidR="00D462A9" w:rsidRPr="00EE2FC0">
          <w:rPr>
            <w:rFonts w:asciiTheme="minorHAnsi" w:eastAsiaTheme="minorEastAsia" w:hAnsiTheme="minorHAnsi" w:cstheme="minorBidi"/>
            <w:b/>
            <w:bCs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EE2FC0">
          <w:rPr>
            <w:rStyle w:val="Hyperlink"/>
            <w:rFonts w:asciiTheme="majorHAnsi" w:eastAsiaTheme="majorEastAsia" w:hAnsiTheme="majorHAnsi" w:cstheme="majorBidi"/>
            <w:b/>
            <w:bCs/>
            <w:noProof/>
          </w:rPr>
          <w:t>Table 6 - 2023 monthly audit statistics</w:t>
        </w:r>
        <w:r w:rsidR="00D462A9" w:rsidRPr="00EE2FC0">
          <w:rPr>
            <w:b/>
            <w:bCs/>
            <w:noProof/>
            <w:webHidden/>
          </w:rPr>
          <w:tab/>
        </w:r>
        <w:r w:rsidR="00D462A9" w:rsidRPr="00EE2FC0">
          <w:rPr>
            <w:b/>
            <w:bCs/>
            <w:noProof/>
            <w:webHidden/>
          </w:rPr>
          <w:fldChar w:fldCharType="begin"/>
        </w:r>
        <w:r w:rsidR="00D462A9" w:rsidRPr="00EE2FC0">
          <w:rPr>
            <w:b/>
            <w:bCs/>
            <w:noProof/>
            <w:webHidden/>
          </w:rPr>
          <w:instrText xml:space="preserve"> PAGEREF _Toc155250945 \h </w:instrText>
        </w:r>
        <w:r w:rsidR="00D462A9" w:rsidRPr="00EE2FC0">
          <w:rPr>
            <w:b/>
            <w:bCs/>
            <w:noProof/>
            <w:webHidden/>
          </w:rPr>
        </w:r>
        <w:r w:rsidR="00D462A9" w:rsidRPr="00EE2FC0">
          <w:rPr>
            <w:b/>
            <w:bCs/>
            <w:noProof/>
            <w:webHidden/>
          </w:rPr>
          <w:fldChar w:fldCharType="separate"/>
        </w:r>
        <w:r w:rsidR="00D462A9" w:rsidRPr="00EE2FC0">
          <w:rPr>
            <w:b/>
            <w:bCs/>
            <w:noProof/>
            <w:webHidden/>
          </w:rPr>
          <w:t>6</w:t>
        </w:r>
        <w:r w:rsidR="00D462A9" w:rsidRPr="00EE2FC0">
          <w:rPr>
            <w:b/>
            <w:bCs/>
            <w:noProof/>
            <w:webHidden/>
          </w:rPr>
          <w:fldChar w:fldCharType="end"/>
        </w:r>
      </w:hyperlink>
    </w:p>
    <w:p w14:paraId="49A3FECA" w14:textId="545179CD" w:rsidR="004B661B" w:rsidRPr="00EE2FC0" w:rsidRDefault="0047378C" w:rsidP="004B661B">
      <w:pPr>
        <w:rPr>
          <w:b/>
          <w:bCs/>
        </w:rPr>
      </w:pPr>
      <w:r w:rsidRPr="00EE2FC0">
        <w:rPr>
          <w:b/>
          <w:bCs/>
        </w:rPr>
        <w:fldChar w:fldCharType="end"/>
      </w:r>
    </w:p>
    <w:p w14:paraId="4693AE07" w14:textId="77777777" w:rsidR="004B661B" w:rsidRPr="00EE2FC0" w:rsidRDefault="004B661B" w:rsidP="004B661B">
      <w:pPr>
        <w:rPr>
          <w:b/>
          <w:bCs/>
          <w:lang w:val="en-GB"/>
        </w:rPr>
        <w:sectPr w:rsidR="004B661B" w:rsidRPr="00EE2FC0" w:rsidSect="008806B7">
          <w:headerReference w:type="default" r:id="rId11"/>
          <w:footerReference w:type="default" r:id="rId12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Pr="00EE2FC0" w:rsidRDefault="00690A14" w:rsidP="00EE2FC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0" w:name="_Toc155250932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Annual Quota</w:t>
      </w:r>
      <w:bookmarkEnd w:id="0"/>
    </w:p>
    <w:p w14:paraId="3CFA2692" w14:textId="7EDE53B3" w:rsidR="00690A14" w:rsidRPr="00EE2FC0" w:rsidRDefault="00690A14" w:rsidP="00EE2FC0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auto"/>
          <w:sz w:val="28"/>
          <w:szCs w:val="26"/>
          <w:lang w:val="en-AU"/>
        </w:rPr>
      </w:pPr>
      <w:bookmarkStart w:id="1" w:name="_Toc77936063"/>
      <w:bookmarkStart w:id="2" w:name="_Toc140584197"/>
      <w:bookmarkStart w:id="3" w:name="_Toc155250933"/>
      <w:r w:rsidRPr="00EE2FC0">
        <w:rPr>
          <w:rFonts w:eastAsia="Times New Roman" w:cs="Times New Roman"/>
          <w:bCs/>
          <w:color w:val="auto"/>
          <w:sz w:val="28"/>
          <w:szCs w:val="26"/>
          <w:lang w:val="en-AU"/>
        </w:rPr>
        <w:t>Overview</w:t>
      </w:r>
      <w:bookmarkEnd w:id="1"/>
      <w:bookmarkEnd w:id="2"/>
      <w:bookmarkEnd w:id="3"/>
    </w:p>
    <w:p w14:paraId="42674A77" w14:textId="0084A88F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by the Kangaroo Harvest Management Plan </w:t>
      </w:r>
      <w:r w:rsidR="002466F1" w:rsidRPr="005C624E">
        <w:rPr>
          <w:sz w:val="22"/>
          <w:szCs w:val="22"/>
        </w:rPr>
        <w:t>202</w:t>
      </w:r>
      <w:r w:rsidR="002466F1">
        <w:rPr>
          <w:sz w:val="22"/>
          <w:szCs w:val="22"/>
        </w:rPr>
        <w:t>4</w:t>
      </w:r>
      <w:r w:rsidR="002466F1" w:rsidRPr="005C624E">
        <w:rPr>
          <w:sz w:val="22"/>
          <w:szCs w:val="22"/>
        </w:rPr>
        <w:t>-202</w:t>
      </w:r>
      <w:r w:rsidR="002466F1">
        <w:rPr>
          <w:sz w:val="22"/>
          <w:szCs w:val="22"/>
        </w:rPr>
        <w:t>8</w:t>
      </w:r>
      <w:r w:rsidR="002466F1" w:rsidRPr="005C624E"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 xml:space="preserve">under the </w:t>
      </w:r>
      <w:r w:rsidRPr="005C624E">
        <w:rPr>
          <w:i/>
          <w:iCs/>
          <w:sz w:val="22"/>
          <w:szCs w:val="22"/>
        </w:rPr>
        <w:t>Wildlife Act 1975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Change Action (DECCA)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 w:rsidR="002466F1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592BDD">
        <w:rPr>
          <w:sz w:val="22"/>
          <w:szCs w:val="22"/>
        </w:rPr>
        <w:t xml:space="preserve"> </w:t>
      </w:r>
      <w:r w:rsidR="002466F1">
        <w:rPr>
          <w:sz w:val="22"/>
          <w:szCs w:val="22"/>
        </w:rPr>
        <w:t>i</w:t>
      </w:r>
      <w:r w:rsidR="002466F1" w:rsidRPr="00592BDD">
        <w:rPr>
          <w:sz w:val="22"/>
          <w:szCs w:val="22"/>
        </w:rPr>
        <w:t xml:space="preserve">s </w:t>
      </w:r>
      <w:r w:rsidR="002466F1">
        <w:rPr>
          <w:sz w:val="22"/>
          <w:szCs w:val="22"/>
        </w:rPr>
        <w:t>155,650</w:t>
      </w:r>
      <w:r w:rsidRPr="00592BD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2466F1">
        <w:rPr>
          <w:color w:val="000000" w:themeColor="text1"/>
          <w:sz w:val="22"/>
          <w:szCs w:val="22"/>
        </w:rPr>
        <w:t xml:space="preserve">Quota is released in four batches, at the start of every quarter.  </w:t>
      </w:r>
      <w:r w:rsidR="002466F1">
        <w:rPr>
          <w:sz w:val="22"/>
          <w:szCs w:val="22"/>
        </w:rPr>
        <w:t>Where quota is not fully allocated, it can be carried over into the following quarter</w:t>
      </w:r>
      <w:r w:rsidR="004C2E10">
        <w:rPr>
          <w:sz w:val="22"/>
          <w:szCs w:val="22"/>
        </w:rPr>
        <w:t xml:space="preserve">. </w:t>
      </w:r>
    </w:p>
    <w:p w14:paraId="3D9C3132" w14:textId="3851F61A" w:rsidR="00A509F3" w:rsidRPr="00EE2FC0" w:rsidRDefault="00A509F3" w:rsidP="00EE2FC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bookmarkStart w:id="4" w:name="_Toc155250934"/>
      <w:bookmarkStart w:id="5" w:name="_Toc140584198"/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1.1.1 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>Table 1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>Annual quota and allocation</w:t>
      </w:r>
      <w:bookmarkEnd w:id="4"/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r w:rsidR="00611209">
        <w:rPr>
          <w:rFonts w:eastAsia="Times New Roman" w:cs="Times New Roman"/>
          <w:color w:val="auto"/>
          <w:sz w:val="22"/>
          <w:szCs w:val="22"/>
          <w:lang w:val="en-AU"/>
        </w:rPr>
        <w:t>figures</w:t>
      </w:r>
    </w:p>
    <w:p w14:paraId="3E057BA1" w14:textId="77777777" w:rsidR="004C2E10" w:rsidRDefault="004C2E10" w:rsidP="00690A14">
      <w:pPr>
        <w:spacing w:after="0" w:line="360" w:lineRule="auto"/>
        <w:jc w:val="both"/>
        <w:rPr>
          <w:rStyle w:val="Heading4Char"/>
        </w:rPr>
      </w:pPr>
    </w:p>
    <w:tbl>
      <w:tblPr>
        <w:tblpPr w:leftFromText="180" w:rightFromText="180" w:vertAnchor="page" w:horzAnchor="margin" w:tblpY="5242"/>
        <w:tblW w:w="5000" w:type="pct"/>
        <w:tblLook w:val="04A0" w:firstRow="1" w:lastRow="0" w:firstColumn="1" w:lastColumn="0" w:noHBand="0" w:noVBand="1"/>
      </w:tblPr>
      <w:tblGrid>
        <w:gridCol w:w="3506"/>
        <w:gridCol w:w="2021"/>
        <w:gridCol w:w="1904"/>
        <w:gridCol w:w="1728"/>
        <w:gridCol w:w="1725"/>
        <w:gridCol w:w="2305"/>
      </w:tblGrid>
      <w:tr w:rsidR="00A509F3" w:rsidRPr="00A251F8" w14:paraId="532CE13F" w14:textId="77777777" w:rsidTr="00EE2FC0">
        <w:trPr>
          <w:trHeight w:val="715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122BBF6" w14:textId="77777777" w:rsidR="00A509F3" w:rsidRPr="00C71A95" w:rsidRDefault="00A509F3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C9184F1" w14:textId="77777777" w:rsidR="00A509F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 </w:t>
            </w:r>
          </w:p>
          <w:p w14:paraId="65A5CA58" w14:textId="77777777" w:rsidR="00A509F3" w:rsidRPr="00C71A95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509189" w14:textId="77777777" w:rsidR="00A509F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</w:t>
            </w:r>
          </w:p>
          <w:p w14:paraId="41EC04CB" w14:textId="77777777" w:rsidR="00A509F3" w:rsidRPr="00012D0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680B94A" w14:textId="77777777" w:rsidR="00A509F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635101AE" w14:textId="77777777" w:rsidR="00A509F3" w:rsidRPr="00012D0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5BA5A16" w14:textId="77777777" w:rsidR="00A509F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012D03">
              <w:rPr>
                <w:b/>
                <w:bCs/>
                <w:color w:val="1F1547"/>
                <w:sz w:val="20"/>
                <w:lang w:eastAsia="en-AU"/>
              </w:rPr>
              <w:t xml:space="preserve">Quota  </w:t>
            </w:r>
          </w:p>
          <w:p w14:paraId="491ECAB8" w14:textId="77777777" w:rsidR="00A509F3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 4</w:t>
            </w:r>
          </w:p>
        </w:tc>
        <w:tc>
          <w:tcPr>
            <w:tcW w:w="874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D53CEAF" w14:textId="5DBEF255" w:rsidR="00A509F3" w:rsidRPr="00C71A95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71A95">
              <w:rPr>
                <w:b/>
                <w:bCs/>
                <w:color w:val="1F1547"/>
                <w:sz w:val="20"/>
                <w:lang w:eastAsia="en-AU"/>
              </w:rPr>
              <w:t xml:space="preserve">Total </w:t>
            </w:r>
            <w:r>
              <w:rPr>
                <w:b/>
                <w:bCs/>
                <w:color w:val="1F1547"/>
                <w:sz w:val="20"/>
                <w:lang w:eastAsia="en-AU"/>
              </w:rPr>
              <w:t>Allocation 202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4</w:t>
            </w:r>
          </w:p>
        </w:tc>
      </w:tr>
      <w:tr w:rsidR="002466F1" w:rsidRPr="00A251F8" w14:paraId="1E873C44" w14:textId="77777777" w:rsidTr="00EE2FC0">
        <w:trPr>
          <w:trHeight w:val="406"/>
        </w:trPr>
        <w:tc>
          <w:tcPr>
            <w:tcW w:w="13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BCA0746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66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085FD05" w14:textId="4DF472D4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72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F487491" w14:textId="27267625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65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9ACD105" w14:textId="7188308D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654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15DB677D" w14:textId="41EFA8FC" w:rsidR="002466F1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13,700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D1DE281" w14:textId="082FD10F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61,700</w:t>
            </w:r>
          </w:p>
        </w:tc>
      </w:tr>
      <w:tr w:rsidR="002466F1" w:rsidRPr="00A251F8" w14:paraId="22ECEF16" w14:textId="77777777" w:rsidTr="00EE2FC0">
        <w:trPr>
          <w:trHeight w:val="398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1FC888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F5CDC59" w14:textId="547010EB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87E4575" w14:textId="5371C83D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F3B6E8B" w14:textId="06007D59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60CD0EB" w14:textId="090E7A86" w:rsidR="002466F1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4B79C1D" w14:textId="3CED861E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13,700</w:t>
            </w:r>
          </w:p>
        </w:tc>
      </w:tr>
      <w:tr w:rsidR="002466F1" w:rsidRPr="00A251F8" w14:paraId="45F1FD56" w14:textId="77777777" w:rsidTr="00EE2FC0">
        <w:trPr>
          <w:trHeight w:val="403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69CDDB4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AF243DD" w14:textId="19F9B6F5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B2270B1" w14:textId="74C46843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34A166F" w14:textId="25467085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3C4B7BE3" w14:textId="26DEB969" w:rsidR="002466F1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9,000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36DC8BF5" w14:textId="7E50A296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39,000</w:t>
            </w:r>
          </w:p>
        </w:tc>
      </w:tr>
      <w:tr w:rsidR="00A509F3" w:rsidRPr="00A251F8" w14:paraId="6ED0F8DB" w14:textId="77777777" w:rsidTr="00EE2FC0">
        <w:trPr>
          <w:trHeight w:val="409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F90A315" w14:textId="77777777" w:rsidR="00A509F3" w:rsidRPr="00C71A95" w:rsidRDefault="00A509F3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ACD4A7A" w14:textId="64DA2978" w:rsidR="00A509F3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0AEE8E2" w14:textId="412ADB66" w:rsidR="00A509F3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12919A4" w14:textId="50E99A55" w:rsidR="00A509F3" w:rsidRPr="00C71A95" w:rsidRDefault="00A509F3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0C985DE" w14:textId="77777777" w:rsidR="00A509F3" w:rsidRDefault="00A509F3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4E214E98" w14:textId="4063CB64" w:rsidR="00A509F3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2466F1" w:rsidRPr="00A251F8" w14:paraId="3D176354" w14:textId="77777777" w:rsidTr="00EE2FC0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1E7D47B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C71A95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5CF5451" w14:textId="2040F6C3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DE274E7" w14:textId="1BB4578D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2270E3">
              <w:rPr>
                <w:color w:val="1F1547"/>
                <w:sz w:val="20"/>
                <w:lang w:eastAsia="en-AU"/>
              </w:rPr>
              <w:t>0</w:t>
            </w:r>
            <w:r>
              <w:rPr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03AB94B8" w14:textId="5EC64997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874FF4E" w14:textId="2C09F40A" w:rsidR="002466F1" w:rsidRDefault="002270E3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1,850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B733078" w14:textId="47ADD9B8" w:rsidR="002466F1" w:rsidRPr="00C71A95" w:rsidRDefault="008462B4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8,100</w:t>
            </w:r>
          </w:p>
        </w:tc>
      </w:tr>
      <w:tr w:rsidR="002466F1" w:rsidRPr="00A251F8" w14:paraId="7D5E2523" w14:textId="77777777" w:rsidTr="00EE2FC0">
        <w:trPr>
          <w:trHeight w:val="407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454A718B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F2CE24" w14:textId="05FAAB97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DB2375" w14:textId="50EB7275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5EBF3F5" w14:textId="03CE9265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7FAB72D" w14:textId="47720B0C" w:rsidR="002466F1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3,300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8520386" w14:textId="28313203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15,350</w:t>
            </w:r>
          </w:p>
        </w:tc>
      </w:tr>
      <w:tr w:rsidR="002466F1" w:rsidRPr="00A251F8" w14:paraId="352CBCED" w14:textId="77777777" w:rsidTr="00EE2FC0">
        <w:trPr>
          <w:trHeight w:val="402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FC39A7D" w14:textId="77777777" w:rsidR="002466F1" w:rsidRPr="00C71A95" w:rsidRDefault="002466F1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2E0A811B" w14:textId="0EEEB91A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407BE86" w14:textId="637F2913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18251318" w14:textId="02E8E38E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2F39" w14:textId="1BF6843A" w:rsidR="002466F1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3,400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BD27DB0" w14:textId="514821C0" w:rsidR="002466F1" w:rsidRPr="00C71A95" w:rsidRDefault="002466F1" w:rsidP="00EE2FC0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17,800</w:t>
            </w:r>
          </w:p>
        </w:tc>
      </w:tr>
      <w:tr w:rsidR="00A509F3" w:rsidRPr="00A251F8" w14:paraId="13B68EC4" w14:textId="77777777" w:rsidTr="00EE2FC0">
        <w:trPr>
          <w:trHeight w:val="596"/>
        </w:trPr>
        <w:tc>
          <w:tcPr>
            <w:tcW w:w="132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058B0D5" w14:textId="77777777" w:rsidR="00A509F3" w:rsidRPr="00C71A95" w:rsidRDefault="00A509F3" w:rsidP="00EE2FC0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C71A95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584A1F6" w14:textId="7402D0B8" w:rsidR="00A509F3" w:rsidRPr="00C71A95" w:rsidRDefault="002466F1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C463841" w14:textId="324C0E8B" w:rsidR="00A509F3" w:rsidRPr="00C71A95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0</w:t>
            </w:r>
            <w:r>
              <w:rPr>
                <w:b/>
                <w:bCs/>
                <w:color w:val="1F1547"/>
                <w:sz w:val="20"/>
                <w:lang w:eastAsia="en-AU"/>
              </w:rPr>
              <w:t>,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2</w:t>
            </w:r>
            <w:r>
              <w:rPr>
                <w:b/>
                <w:bCs/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CE8DFF1" w14:textId="1ADA372B" w:rsidR="00A509F3" w:rsidRPr="00C71A95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0</w:t>
            </w:r>
            <w:r>
              <w:rPr>
                <w:b/>
                <w:bCs/>
                <w:color w:val="1F1547"/>
                <w:sz w:val="20"/>
                <w:lang w:eastAsia="en-AU"/>
              </w:rPr>
              <w:t>,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2</w:t>
            </w:r>
            <w:r>
              <w:rPr>
                <w:b/>
                <w:bCs/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CE40195" w14:textId="733C41FB" w:rsidR="00A509F3" w:rsidRDefault="002466F1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34</w:t>
            </w:r>
            <w:r w:rsidR="00A509F3">
              <w:rPr>
                <w:b/>
                <w:bCs/>
                <w:color w:val="1F1547"/>
                <w:sz w:val="20"/>
                <w:lang w:eastAsia="en-AU"/>
              </w:rPr>
              <w:t>,650</w:t>
            </w:r>
          </w:p>
        </w:tc>
        <w:tc>
          <w:tcPr>
            <w:tcW w:w="874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21D93AA" w14:textId="5D55350B" w:rsidR="00A509F3" w:rsidRPr="00C71A95" w:rsidRDefault="00A509F3" w:rsidP="00EE2FC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</w:t>
            </w:r>
            <w:r w:rsidR="002466F1">
              <w:rPr>
                <w:b/>
                <w:bCs/>
                <w:color w:val="1F1547"/>
                <w:sz w:val="20"/>
                <w:lang w:eastAsia="en-AU"/>
              </w:rPr>
              <w:t>55,650</w:t>
            </w:r>
          </w:p>
        </w:tc>
      </w:tr>
    </w:tbl>
    <w:p w14:paraId="76869775" w14:textId="2FCA7C6D" w:rsidR="00F9162F" w:rsidRPr="00EE2FC0" w:rsidRDefault="00F9162F" w:rsidP="00EE2FC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6" w:name="_Toc77936065"/>
      <w:bookmarkStart w:id="7" w:name="_Toc155250935"/>
      <w:bookmarkStart w:id="8" w:name="_Toc140584199"/>
      <w:bookmarkEnd w:id="5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Quota allocation</w:t>
      </w:r>
      <w:bookmarkEnd w:id="6"/>
      <w:bookmarkEnd w:id="7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  <w:bookmarkEnd w:id="8"/>
    </w:p>
    <w:p w14:paraId="3CB3CB01" w14:textId="77777777" w:rsidR="00F9162F" w:rsidRPr="00EE2FC0" w:rsidRDefault="00F9162F" w:rsidP="00EE2FC0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auto"/>
          <w:sz w:val="28"/>
          <w:szCs w:val="26"/>
          <w:lang w:val="en-AU"/>
        </w:rPr>
      </w:pPr>
      <w:bookmarkStart w:id="9" w:name="_Toc77936066"/>
      <w:bookmarkStart w:id="10" w:name="_Toc140584200"/>
      <w:bookmarkStart w:id="11" w:name="_Toc155250936"/>
      <w:r w:rsidRPr="00EE2FC0">
        <w:rPr>
          <w:rFonts w:eastAsia="Times New Roman" w:cs="Times New Roman"/>
          <w:bCs/>
          <w:color w:val="auto"/>
          <w:sz w:val="28"/>
          <w:szCs w:val="26"/>
          <w:lang w:val="en-AU"/>
        </w:rPr>
        <w:t>Overview</w:t>
      </w:r>
      <w:bookmarkEnd w:id="10"/>
      <w:bookmarkEnd w:id="11"/>
      <w:r w:rsidRPr="00EE2FC0">
        <w:rPr>
          <w:rFonts w:eastAsia="Times New Roman" w:cs="Times New Roman"/>
          <w:bCs/>
          <w:color w:val="auto"/>
          <w:sz w:val="28"/>
          <w:szCs w:val="26"/>
          <w:lang w:val="en-AU"/>
        </w:rPr>
        <w:t xml:space="preserve"> </w:t>
      </w:r>
      <w:bookmarkStart w:id="12" w:name="_Toc314821342"/>
      <w:bookmarkStart w:id="13" w:name="_Toc314822264"/>
      <w:bookmarkStart w:id="14" w:name="_Toc315765094"/>
      <w:bookmarkEnd w:id="9"/>
    </w:p>
    <w:p w14:paraId="587FC62B" w14:textId="4D2838F7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were valid for three years (202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2466F1">
        <w:rPr>
          <w:sz w:val="22"/>
          <w:szCs w:val="22"/>
        </w:rPr>
        <w:t>7</w:t>
      </w:r>
      <w:r w:rsidRPr="00881EEB">
        <w:rPr>
          <w:sz w:val="22"/>
          <w:szCs w:val="22"/>
        </w:rPr>
        <w:t>), for 202</w:t>
      </w:r>
      <w:r w:rsidR="002466F1">
        <w:rPr>
          <w:sz w:val="22"/>
          <w:szCs w:val="22"/>
        </w:rPr>
        <w:t>4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2466F1">
        <w:rPr>
          <w:sz w:val="22"/>
          <w:szCs w:val="22"/>
        </w:rPr>
        <w:t>are currently 113</w:t>
      </w:r>
      <w:r w:rsidR="00F9162F">
        <w:rPr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 </w:t>
      </w:r>
    </w:p>
    <w:p w14:paraId="49320903" w14:textId="6843B9A0" w:rsidR="001A3B11" w:rsidRPr="002466F1" w:rsidRDefault="002466F1" w:rsidP="002466F1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997A71">
        <w:rPr>
          <w:sz w:val="22"/>
          <w:szCs w:val="22"/>
        </w:rPr>
        <w:t xml:space="preserve">From January to March 2024, 30,520 tags </w:t>
      </w:r>
      <w:r w:rsidR="001A3B11">
        <w:rPr>
          <w:sz w:val="22"/>
          <w:szCs w:val="22"/>
        </w:rPr>
        <w:t xml:space="preserve">were released </w:t>
      </w:r>
      <w:r w:rsidRPr="00997A71">
        <w:rPr>
          <w:sz w:val="22"/>
          <w:szCs w:val="22"/>
        </w:rPr>
        <w:t>across the state which equates to 75% of the 40,600 tags available for Quarter One</w:t>
      </w:r>
      <w:r>
        <w:rPr>
          <w:sz w:val="22"/>
          <w:szCs w:val="22"/>
        </w:rPr>
        <w:t xml:space="preserve"> and 20% of the annual 155,650 tags available. </w:t>
      </w:r>
    </w:p>
    <w:p w14:paraId="5DAB8888" w14:textId="19240388" w:rsidR="00F9162F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Of the tags that</w:t>
      </w:r>
      <w:r w:rsidR="001A3B11">
        <w:rPr>
          <w:sz w:val="22"/>
          <w:szCs w:val="22"/>
        </w:rPr>
        <w:t xml:space="preserve"> were released, </w:t>
      </w:r>
      <w:r w:rsidR="002466F1">
        <w:rPr>
          <w:sz w:val="22"/>
          <w:szCs w:val="22"/>
        </w:rPr>
        <w:t>13,974 have been</w:t>
      </w:r>
      <w:r w:rsidR="001A3B11">
        <w:rPr>
          <w:sz w:val="22"/>
          <w:szCs w:val="22"/>
        </w:rPr>
        <w:t xml:space="preserve"> consumed </w:t>
      </w:r>
    </w:p>
    <w:p w14:paraId="1834C2B1" w14:textId="0AB6833B" w:rsidR="00F9162F" w:rsidRPr="00EE2FC0" w:rsidRDefault="00F9162F" w:rsidP="00EE2FC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bookmarkStart w:id="15" w:name="_Toc155250937"/>
      <w:bookmarkStart w:id="16" w:name="_Toc77936067"/>
      <w:bookmarkStart w:id="17" w:name="_Toc140584201"/>
      <w:bookmarkEnd w:id="12"/>
      <w:bookmarkEnd w:id="13"/>
      <w:bookmarkEnd w:id="14"/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2.1.1 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="004C2E10" w:rsidRPr="00EE2FC0">
        <w:rPr>
          <w:rFonts w:eastAsia="Times New Roman" w:cs="Times New Roman"/>
          <w:color w:val="auto"/>
          <w:sz w:val="22"/>
          <w:szCs w:val="22"/>
          <w:lang w:val="en-AU"/>
        </w:rPr>
        <w:t>Table 2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="004C2E10"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>Allocation and consumption figures</w:t>
      </w:r>
      <w:bookmarkEnd w:id="15"/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  <w:bookmarkEnd w:id="16"/>
      <w:bookmarkEnd w:id="17"/>
      <w:r w:rsidR="00611209">
        <w:rPr>
          <w:rFonts w:eastAsia="Times New Roman" w:cs="Times New Roman"/>
          <w:color w:val="auto"/>
          <w:sz w:val="22"/>
          <w:szCs w:val="22"/>
          <w:lang w:val="en-AU"/>
        </w:rPr>
        <w:t>– Quarter one release (January to March 2024)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093"/>
        <w:gridCol w:w="2099"/>
        <w:gridCol w:w="2109"/>
        <w:gridCol w:w="2112"/>
        <w:gridCol w:w="2389"/>
        <w:gridCol w:w="288"/>
      </w:tblGrid>
      <w:tr w:rsidR="00F9162F" w:rsidRPr="00F047B4" w14:paraId="7E895F52" w14:textId="77777777" w:rsidTr="00F9162F">
        <w:trPr>
          <w:gridAfter w:val="1"/>
          <w:wAfter w:w="109" w:type="pct"/>
          <w:trHeight w:val="418"/>
        </w:trPr>
        <w:tc>
          <w:tcPr>
            <w:tcW w:w="4891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66FB8F6A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>4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2466F1">
              <w:rPr>
                <w:b/>
                <w:bCs/>
                <w:color w:val="FFFFFF"/>
                <w:sz w:val="20"/>
                <w:lang w:eastAsia="en-AU"/>
              </w:rPr>
              <w:t>Quarter One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Figures</w:t>
            </w:r>
          </w:p>
        </w:tc>
      </w:tr>
      <w:tr w:rsidR="004C2E10" w:rsidRPr="00F047B4" w14:paraId="6E5DA2FC" w14:textId="77777777" w:rsidTr="00F9162F">
        <w:trPr>
          <w:gridAfter w:val="1"/>
          <w:wAfter w:w="109" w:type="pct"/>
          <w:trHeight w:val="464"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B81D98F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F83FDFE" w14:textId="6D4B8348" w:rsidR="004C2E10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611209">
              <w:rPr>
                <w:b/>
                <w:bCs/>
                <w:color w:val="1F1547"/>
                <w:sz w:val="20"/>
                <w:lang w:eastAsia="en-AU"/>
              </w:rPr>
              <w:t xml:space="preserve">1 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quota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available</w:t>
            </w:r>
            <w:r w:rsidR="004C2E10" w:rsidRPr="00A251F8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7A486A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138D835" w14:textId="432FAC9F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611209">
              <w:rPr>
                <w:b/>
                <w:bCs/>
                <w:color w:val="1F1547"/>
                <w:sz w:val="20"/>
                <w:lang w:eastAsia="en-AU"/>
              </w:rPr>
              <w:t>1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quota released </w:t>
            </w:r>
          </w:p>
          <w:p w14:paraId="02605795" w14:textId="65B3D83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50C8EAC" w14:textId="08B87C8F" w:rsidR="004C2E10" w:rsidRPr="00F047B4" w:rsidRDefault="00045B75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Quarter</w:t>
            </w:r>
            <w:r w:rsidR="00611209">
              <w:rPr>
                <w:b/>
                <w:bCs/>
                <w:color w:val="1F1547"/>
                <w:sz w:val="20"/>
                <w:lang w:eastAsia="en-AU"/>
              </w:rPr>
              <w:t xml:space="preserve"> 1</w:t>
            </w:r>
            <w:r>
              <w:rPr>
                <w:b/>
                <w:bCs/>
                <w:color w:val="1F1547"/>
                <w:sz w:val="20"/>
                <w:lang w:eastAsia="en-AU"/>
              </w:rPr>
              <w:t xml:space="preserve"> q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 xml:space="preserve">uota 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="004C2E10" w:rsidRPr="39E2F7B9">
              <w:rPr>
                <w:b/>
                <w:bCs/>
                <w:color w:val="1F1547"/>
                <w:sz w:val="20"/>
                <w:lang w:eastAsia="en-AU"/>
              </w:rPr>
              <w:t>emaining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17E40BB" w14:textId="77777777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  <w:p w14:paraId="5386204C" w14:textId="17B4A170" w:rsidR="004C2E10" w:rsidRDefault="002466F1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Quarter </w:t>
            </w:r>
            <w:r w:rsidR="00611209">
              <w:rPr>
                <w:b/>
                <w:bCs/>
                <w:color w:val="1F1547"/>
                <w:sz w:val="20"/>
                <w:lang w:eastAsia="en-AU"/>
              </w:rPr>
              <w:t>1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quota consumed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F9162F">
        <w:trPr>
          <w:trHeight w:val="418"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2466F1" w:rsidRPr="00F047B4" w14:paraId="12B3FEC4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540019" w14:textId="3BC7149F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16,000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C9473FC" w14:textId="455726FA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9,500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32472A" w14:textId="769EE19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6,500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E0EE13" w14:textId="36FABF40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5,269</w:t>
            </w:r>
          </w:p>
        </w:tc>
        <w:tc>
          <w:tcPr>
            <w:tcW w:w="9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D1A243E" w14:textId="68F4D4A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</w:t>
            </w:r>
          </w:p>
        </w:tc>
        <w:tc>
          <w:tcPr>
            <w:tcW w:w="109" w:type="pct"/>
            <w:vAlign w:val="center"/>
            <w:hideMark/>
          </w:tcPr>
          <w:p w14:paraId="1EED5A7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48B49FE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18CDCB12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60A4B6E9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2B6FACE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0E317273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1,438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072FE662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 w:rsidRPr="00761694">
              <w:rPr>
                <w:b/>
                <w:bCs/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109" w:type="pct"/>
            <w:vAlign w:val="center"/>
            <w:hideMark/>
          </w:tcPr>
          <w:p w14:paraId="475A76C5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19B4712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A27AB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4B094F" w14:textId="2B944789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BB11071" w14:textId="57AB4A72" w:rsidR="002466F1" w:rsidRPr="00F047B4" w:rsidRDefault="00045B75" w:rsidP="00045B75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2D07261" w14:textId="60EB59A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1C0B6FA" w14:textId="218EFEE3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</w:t>
            </w:r>
            <w:r w:rsidR="00045B75">
              <w:rPr>
                <w:color w:val="1F1547"/>
                <w:sz w:val="20"/>
                <w:lang w:eastAsia="en-AU"/>
              </w:rPr>
              <w:t>7</w:t>
            </w: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9385017" w14:textId="1E9D2F45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47</w:t>
            </w:r>
          </w:p>
        </w:tc>
        <w:tc>
          <w:tcPr>
            <w:tcW w:w="109" w:type="pct"/>
            <w:vAlign w:val="center"/>
            <w:hideMark/>
          </w:tcPr>
          <w:p w14:paraId="10654FD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F553EA5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D356720" w14:textId="0E6FD4F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4C1E1A2" w14:textId="5D4A3386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CF9E7BC" w14:textId="1015A01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3BCFA6" w14:textId="293C522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399B732" w14:textId="57FC703B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2B15D33B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23703977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 w:rsidRPr="00F047B4"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3A2B133B" w14:textId="33285E32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2,250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18D7FA0" w14:textId="42419108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2,820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C65D1A6" w14:textId="3A97C39A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-570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928B3CE" w14:textId="19F7DD42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1,442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986D242" w14:textId="3517CF0F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109" w:type="pct"/>
            <w:vAlign w:val="center"/>
            <w:hideMark/>
          </w:tcPr>
          <w:p w14:paraId="343D0186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642B25CA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1B259A7" w14:textId="65813F27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2261C55" w14:textId="7A235E3C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B19B95A" w14:textId="526048E7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4E88EAF" w14:textId="14963061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1,276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8B69303" w14:textId="5FBD9C59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</w:t>
            </w:r>
          </w:p>
        </w:tc>
        <w:tc>
          <w:tcPr>
            <w:tcW w:w="109" w:type="pct"/>
            <w:vAlign w:val="center"/>
            <w:hideMark/>
          </w:tcPr>
          <w:p w14:paraId="4F329FD9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7975FAAD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655AE0B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002B8E9" w14:textId="5D026871" w:rsidR="002466F1" w:rsidRPr="00F047B4" w:rsidRDefault="00045B75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37C7F1E" w14:textId="6D5714A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  <w:r w:rsidR="00045B75">
              <w:rPr>
                <w:color w:val="1F1547"/>
                <w:sz w:val="20"/>
                <w:lang w:eastAsia="en-AU"/>
              </w:rPr>
              <w:t>,270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5A25456A" w14:textId="023A227F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2E4DEED" w14:textId="5D81156C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01490EA8" w14:textId="671DA37A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109" w:type="pct"/>
            <w:vAlign w:val="center"/>
            <w:hideMark/>
          </w:tcPr>
          <w:p w14:paraId="6AC3ED5D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2466F1" w:rsidRPr="00F047B4" w14:paraId="5ADFC963" w14:textId="77777777" w:rsidTr="00F9162F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77777777" w:rsidR="002466F1" w:rsidRPr="00F047B4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7CDFE880" w:rsidR="002466F1" w:rsidRPr="00F047B4" w:rsidRDefault="00045B75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40,600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5D7BDEFB" w:rsidR="002466F1" w:rsidRPr="00F047B4" w:rsidRDefault="00045B75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30,520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14F52D7E" w:rsidR="002466F1" w:rsidRPr="00F047B4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10,</w:t>
            </w:r>
            <w:r w:rsidR="009F7A55">
              <w:rPr>
                <w:b/>
                <w:bCs/>
                <w:color w:val="1F1547"/>
                <w:sz w:val="20"/>
                <w:lang w:eastAsia="en-AU"/>
              </w:rPr>
              <w:t>0</w:t>
            </w:r>
            <w:r>
              <w:rPr>
                <w:b/>
                <w:bCs/>
                <w:color w:val="1F1547"/>
                <w:sz w:val="20"/>
                <w:lang w:eastAsia="en-AU"/>
              </w:rPr>
              <w:t>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36DDCDC3" w:rsidR="002466F1" w:rsidRPr="00F047B4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13,9</w:t>
            </w:r>
            <w:r w:rsidR="00045B75">
              <w:rPr>
                <w:b/>
                <w:bCs/>
                <w:color w:val="1F1547"/>
                <w:sz w:val="20"/>
                <w:lang w:eastAsia="en-AU"/>
              </w:rPr>
              <w:t>9</w:t>
            </w:r>
            <w:r>
              <w:rPr>
                <w:b/>
                <w:bCs/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486A1B61" w:rsidR="002466F1" w:rsidRPr="00F047B4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N/A</w:t>
            </w:r>
          </w:p>
        </w:tc>
        <w:tc>
          <w:tcPr>
            <w:tcW w:w="109" w:type="pct"/>
            <w:vAlign w:val="center"/>
            <w:hideMark/>
          </w:tcPr>
          <w:p w14:paraId="4F99D07A" w14:textId="77777777" w:rsidR="002466F1" w:rsidRPr="00F047B4" w:rsidRDefault="002466F1" w:rsidP="002466F1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32C0122E" w:rsidR="00F9162F" w:rsidRPr="00611209" w:rsidRDefault="00F9162F" w:rsidP="00611209">
      <w:pPr>
        <w:suppressAutoHyphens w:val="0"/>
        <w:autoSpaceDE/>
        <w:autoSpaceDN/>
        <w:adjustRightInd/>
        <w:spacing w:before="120" w:after="200" w:line="240" w:lineRule="auto"/>
        <w:jc w:val="both"/>
        <w:textAlignment w:val="auto"/>
        <w:rPr>
          <w:rFonts w:eastAsia="Times New Roman" w:cs="Times New Roman"/>
          <w:color w:val="000000" w:themeColor="text1"/>
          <w:vertAlign w:val="superscript"/>
          <w:lang w:val="en-AU"/>
        </w:rPr>
      </w:pPr>
      <w:r w:rsidRPr="00611209">
        <w:rPr>
          <w:rFonts w:eastAsia="Times New Roman" w:cs="Times New Roman"/>
          <w:color w:val="000000" w:themeColor="text1"/>
          <w:vertAlign w:val="superscript"/>
          <w:lang w:val="en-AU"/>
        </w:rPr>
        <w:t>1</w:t>
      </w:r>
      <w:r w:rsidR="004C2E10" w:rsidRPr="00611209">
        <w:rPr>
          <w:rFonts w:eastAsia="Times New Roman" w:cs="Times New Roman"/>
          <w:color w:val="000000" w:themeColor="text1"/>
          <w:vertAlign w:val="superscript"/>
          <w:lang w:val="en-AU"/>
        </w:rPr>
        <w:t xml:space="preserve"> </w:t>
      </w:r>
      <w:r w:rsidR="004C2E10" w:rsidRPr="00611209">
        <w:rPr>
          <w:rFonts w:eastAsia="Times New Roman" w:cs="Times New Roman"/>
          <w:i/>
          <w:iCs/>
          <w:color w:val="000000" w:themeColor="text1"/>
          <w:lang w:val="en-AU"/>
        </w:rPr>
        <w:t>H</w:t>
      </w:r>
      <w:r w:rsidRPr="00611209">
        <w:rPr>
          <w:rFonts w:eastAsia="Times New Roman" w:cs="Times New Roman"/>
          <w:i/>
          <w:iCs/>
          <w:color w:val="000000" w:themeColor="text1"/>
          <w:lang w:val="en-AU"/>
        </w:rPr>
        <w:t>arvesters can operate across more than one zone</w:t>
      </w:r>
      <w:r w:rsidRPr="00611209">
        <w:rPr>
          <w:rFonts w:eastAsia="Times New Roman" w:cs="Times New Roman"/>
          <w:color w:val="000000" w:themeColor="text1"/>
          <w:vertAlign w:val="superscript"/>
          <w:lang w:val="en-AU"/>
        </w:rPr>
        <w:t xml:space="preserve"> </w:t>
      </w:r>
    </w:p>
    <w:p w14:paraId="4CC9C560" w14:textId="13BEA68E" w:rsidR="004C2E10" w:rsidRPr="00EE2FC0" w:rsidRDefault="004C2E10" w:rsidP="00EE2FC0">
      <w:pPr>
        <w:pStyle w:val="Heading3"/>
        <w:keepLines/>
        <w:suppressAutoHyphens w:val="0"/>
        <w:autoSpaceDE/>
        <w:autoSpaceDN/>
        <w:adjustRightInd/>
        <w:spacing w:before="320" w:after="160" w:line="240" w:lineRule="auto"/>
        <w:ind w:left="720" w:hanging="720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bookmarkStart w:id="18" w:name="_Toc155250938"/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lastRenderedPageBreak/>
        <w:t>2.1.2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ab/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>Table 3</w:t>
      </w:r>
      <w:r w:rsidR="00D462A9"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-</w:t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Monthly consumption figures</w:t>
      </w:r>
      <w:bookmarkEnd w:id="18"/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2466F1" w:rsidRPr="00193961" w14:paraId="0D80A736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79FF5673" w14:textId="40F9BF6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1,735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3A46EE4" w14:textId="2CCC526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1,502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663EF712" w14:textId="55BD0F9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2,032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994A01" w14:textId="41903C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4BB8C162" w14:textId="41FDD2E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9DFAF36" w14:textId="2241664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5515F97" w14:textId="1AA0B4B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DCD0DCD" w14:textId="7B6CDE7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E976B88" w14:textId="293BEFD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2051633" w14:textId="37D2B37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28317B8B" w14:textId="5C049B9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D5D553F" w14:textId="7DF9321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09C0BE1" w14:textId="36AD1AA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5,269</w:t>
            </w:r>
          </w:p>
        </w:tc>
      </w:tr>
      <w:tr w:rsidR="002466F1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022A71E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64B5BB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586547F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647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0E6CFC1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518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5D626503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72D12AC3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06BBEF1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1C0F019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7C491DF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259FBE0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18418BE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243B769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556F27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5E3D35C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1,438</w:t>
            </w:r>
          </w:p>
        </w:tc>
      </w:tr>
      <w:tr w:rsidR="002466F1" w:rsidRPr="00193961" w14:paraId="07E7C97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6E1D8A9" w14:textId="34C6E392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0141C203" w14:textId="511E389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2BC8ECF" w14:textId="0463BAE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26BF6B00" w14:textId="47A3FE2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878AF1A" w14:textId="2EEEE30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8E23296" w14:textId="2CFE32C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48BBA2E5" w14:textId="7690D31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1651570" w14:textId="6DB291D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DF45941" w14:textId="718DF31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2210FE36" w14:textId="52B1296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0F5312B" w14:textId="2BED891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96BE00A" w14:textId="3C588B8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1A7EB9ED" w14:textId="22CA0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AAF7352" w14:textId="5F8A785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4,059</w:t>
            </w:r>
          </w:p>
        </w:tc>
      </w:tr>
      <w:tr w:rsidR="002466F1" w:rsidRPr="00193961" w14:paraId="6A42667E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2CD38D78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226A64B9" w14:textId="396A77C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6A6CEEB" w14:textId="023D916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85CF2AD" w14:textId="350342F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10D6A081" w14:textId="0F2B904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4D83D8C" w14:textId="689AA15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6BDDEAE" w14:textId="592481F6" w:rsidR="002466F1" w:rsidRPr="00193961" w:rsidRDefault="002466F1" w:rsidP="002466F1">
            <w:pPr>
              <w:spacing w:after="0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D14833D" w14:textId="58BCAC2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6FBA6AF" w14:textId="078A1E6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F36543A" w14:textId="02C981E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24A07F0" w14:textId="256DDD2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D1F7E59" w14:textId="081EECC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C3ECF0F" w14:textId="1D8811C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09A4B29" w14:textId="585BC8C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2466F1" w:rsidRPr="00193961" w14:paraId="4130795F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32F175BC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986" w:type="dxa"/>
            <w:shd w:val="clear" w:color="000000" w:fill="E7E7E9"/>
            <w:vAlign w:val="center"/>
          </w:tcPr>
          <w:p w14:paraId="3C52B5E0" w14:textId="0166809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609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C182878" w14:textId="211060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267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55D5521E" w14:textId="1620FDF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566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73BC3085" w14:textId="2D4A3BA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159E668A" w14:textId="5FDFF1C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8D0784C" w14:textId="3D3CC86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0A3F657" w14:textId="0991E64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D2E55D3" w14:textId="5A0EEC73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59F60FC" w14:textId="683BD2B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5E587B83" w14:textId="593BDA8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38733E0" w14:textId="09D55C20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4DDBF56" w14:textId="154B6E5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A023176" w14:textId="2516523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1,442</w:t>
            </w:r>
          </w:p>
        </w:tc>
      </w:tr>
      <w:tr w:rsidR="002466F1" w:rsidRPr="00193961" w14:paraId="2AD3A00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4091B4D9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A093CD0" w14:textId="55F8FCBC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F6EDAB2" w14:textId="666FB9F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537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AC89E0E" w14:textId="052D5EE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D644C2F" w14:textId="408C509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BCBA3C1" w14:textId="70607C4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E56068C" w14:textId="61E3848A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545DDC3" w14:textId="6C505BE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4593E75" w14:textId="41B588D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EBDE651" w14:textId="2C7C903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639AD22" w14:textId="16D60B4F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DB3C6EB" w14:textId="74EF2E7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E30FD8" w14:textId="13DF3489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5E3AF95" w14:textId="53FACFE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1,276</w:t>
            </w:r>
          </w:p>
        </w:tc>
      </w:tr>
      <w:tr w:rsidR="002466F1" w:rsidRPr="00193961" w14:paraId="34B1405B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3ADF4AC" w14:textId="6C3AB1D3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986" w:type="dxa"/>
            <w:shd w:val="clear" w:color="000000" w:fill="E7E7E9"/>
            <w:vAlign w:val="center"/>
          </w:tcPr>
          <w:p w14:paraId="139027B4" w14:textId="28E5BC21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1C4FE73B" w14:textId="0D17FE0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145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406676CF" w14:textId="1B72DD32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177</w:t>
            </w:r>
          </w:p>
        </w:tc>
        <w:tc>
          <w:tcPr>
            <w:tcW w:w="987" w:type="dxa"/>
            <w:shd w:val="clear" w:color="000000" w:fill="E7E7E9"/>
            <w:vAlign w:val="center"/>
          </w:tcPr>
          <w:p w14:paraId="35E8BBC4" w14:textId="72458E7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C781C81" w14:textId="3BD84115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6EA5395" w14:textId="1B80EB8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46956959" w14:textId="72A76956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CF75C96" w14:textId="57EB22EB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68A7DDDA" w14:textId="6629428E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0AF6DBAD" w14:textId="7BAAE53D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3B562968" w14:textId="505C3004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7F3F0A" w14:textId="61FD6017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E7E7E9"/>
            <w:vAlign w:val="center"/>
          </w:tcPr>
          <w:p w14:paraId="73A24EAD" w14:textId="105F0258" w:rsidR="002466F1" w:rsidRPr="00193961" w:rsidRDefault="002466F1" w:rsidP="002466F1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490</w:t>
            </w:r>
          </w:p>
        </w:tc>
      </w:tr>
      <w:tr w:rsidR="002466F1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2466F1" w:rsidRPr="00193961" w:rsidRDefault="002466F1" w:rsidP="002466F1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ECBEF3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4,201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4AB32D60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4,523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0086230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5,250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77274E5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73CF6A20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26CF251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5E24048B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2728AA8F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0EE94C81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21F353F9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B19A59C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7176F172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4A9FD530" w:rsidR="002466F1" w:rsidRPr="00193961" w:rsidRDefault="002466F1" w:rsidP="002466F1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13,974</w:t>
            </w:r>
          </w:p>
        </w:tc>
      </w:tr>
    </w:tbl>
    <w:bookmarkEnd w:id="19"/>
    <w:p w14:paraId="2609D39D" w14:textId="77777777" w:rsidR="004C2E10" w:rsidRPr="00611209" w:rsidRDefault="004C2E10" w:rsidP="004C2E10">
      <w:pPr>
        <w:spacing w:after="0"/>
        <w:rPr>
          <w:rFonts w:eastAsiaTheme="minorEastAsia"/>
          <w:i/>
          <w:iCs/>
          <w:color w:val="auto"/>
        </w:rPr>
      </w:pPr>
      <w:r w:rsidRPr="00611209">
        <w:rPr>
          <w:i/>
          <w:iCs/>
          <w:color w:val="auto"/>
          <w:vertAlign w:val="superscript"/>
        </w:rPr>
        <w:t>2</w:t>
      </w:r>
      <w:r w:rsidRPr="00611209">
        <w:rPr>
          <w:rFonts w:eastAsiaTheme="minorEastAsia"/>
          <w:i/>
          <w:iCs/>
          <w:color w:val="auto"/>
        </w:rPr>
        <w:t>Total monthly consumption figures may slightly vary from the previous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Pr="00197F18" w:rsidRDefault="004C2E10" w:rsidP="00F9162F">
      <w:pPr>
        <w:jc w:val="both"/>
      </w:pPr>
    </w:p>
    <w:p w14:paraId="2524C708" w14:textId="77777777" w:rsidR="00F9162F" w:rsidRPr="00EE2FC0" w:rsidRDefault="00F9162F" w:rsidP="00EE2FC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20" w:name="_Toc77936070"/>
      <w:bookmarkStart w:id="21" w:name="_Toc140584202"/>
      <w:bookmarkStart w:id="22" w:name="_Toc155250939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Harvest Information</w:t>
      </w:r>
      <w:bookmarkEnd w:id="20"/>
      <w:bookmarkEnd w:id="21"/>
      <w:bookmarkEnd w:id="22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</w:p>
    <w:p w14:paraId="0EF451FB" w14:textId="77777777" w:rsidR="00F9162F" w:rsidRPr="00EE2FC0" w:rsidRDefault="00F9162F" w:rsidP="00EE2FC0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auto"/>
          <w:sz w:val="28"/>
          <w:szCs w:val="26"/>
          <w:lang w:val="en-AU"/>
        </w:rPr>
      </w:pPr>
      <w:bookmarkStart w:id="23" w:name="_Toc77936071"/>
      <w:bookmarkStart w:id="24" w:name="_Toc140584203"/>
      <w:bookmarkStart w:id="25" w:name="_Toc155250940"/>
      <w:r w:rsidRPr="00EE2FC0">
        <w:rPr>
          <w:rFonts w:eastAsia="Times New Roman" w:cs="Times New Roman"/>
          <w:bCs/>
          <w:color w:val="auto"/>
          <w:sz w:val="28"/>
          <w:szCs w:val="26"/>
          <w:lang w:val="en-AU"/>
        </w:rPr>
        <w:t>Overview</w:t>
      </w:r>
      <w:bookmarkEnd w:id="23"/>
      <w:bookmarkEnd w:id="24"/>
      <w:bookmarkEnd w:id="25"/>
    </w:p>
    <w:p w14:paraId="4DF9B604" w14:textId="6CEF9C8C" w:rsidR="00F9162F" w:rsidRPr="00EE2FC0" w:rsidRDefault="00F9162F" w:rsidP="00EE2FC0">
      <w:pPr>
        <w:pStyle w:val="ListParagraph"/>
        <w:numPr>
          <w:ilvl w:val="0"/>
          <w:numId w:val="14"/>
        </w:numPr>
        <w:suppressAutoHyphens w:val="0"/>
        <w:autoSpaceDE/>
        <w:autoSpaceDN/>
        <w:adjustRightInd/>
        <w:spacing w:before="120" w:after="200" w:line="276" w:lineRule="auto"/>
        <w:ind w:left="720"/>
        <w:jc w:val="both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>Harvesters enter harvest summaries via a mobile phone application hosted by the Department of Government Services at the completion of each harvest job</w:t>
      </w:r>
      <w:r w:rsidR="00EE2FC0" w:rsidRPr="00EE2FC0">
        <w:rPr>
          <w:rFonts w:eastAsia="Times New Roman" w:cs="Times New Roman"/>
          <w:color w:val="auto"/>
          <w:sz w:val="22"/>
          <w:szCs w:val="22"/>
          <w:lang w:val="en-AU"/>
        </w:rPr>
        <w:t>.</w:t>
      </w:r>
    </w:p>
    <w:p w14:paraId="7FC89B41" w14:textId="3F558E43" w:rsidR="00F9162F" w:rsidRPr="00EE2FC0" w:rsidRDefault="00F9162F" w:rsidP="00EE2FC0">
      <w:pPr>
        <w:pStyle w:val="ListParagraph"/>
        <w:numPr>
          <w:ilvl w:val="0"/>
          <w:numId w:val="14"/>
        </w:numPr>
        <w:suppressAutoHyphens w:val="0"/>
        <w:autoSpaceDE/>
        <w:autoSpaceDN/>
        <w:adjustRightInd/>
        <w:spacing w:before="120" w:after="200" w:line="276" w:lineRule="auto"/>
        <w:ind w:left="720"/>
        <w:jc w:val="both"/>
        <w:textAlignment w:val="auto"/>
        <w:rPr>
          <w:rFonts w:eastAsia="Times New Roman" w:cs="Times New Roman"/>
          <w:color w:val="auto"/>
          <w:sz w:val="22"/>
          <w:szCs w:val="22"/>
          <w:lang w:val="en-AU"/>
        </w:rPr>
      </w:pP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As the harvest summary figures are self-reported, there may be discrepancies between the reported figures and the actual figures </w:t>
      </w:r>
      <w:r w:rsidR="008A2F09" w:rsidRPr="00EE2FC0">
        <w:rPr>
          <w:rFonts w:eastAsia="Times New Roman" w:cs="Times New Roman"/>
          <w:color w:val="auto"/>
          <w:sz w:val="22"/>
          <w:szCs w:val="22"/>
          <w:lang w:val="en-AU"/>
        </w:rPr>
        <w:t>due to</w:t>
      </w:r>
      <w:r w:rsidRPr="00EE2FC0">
        <w:rPr>
          <w:rFonts w:eastAsia="Times New Roman" w:cs="Times New Roman"/>
          <w:color w:val="auto"/>
          <w:sz w:val="22"/>
          <w:szCs w:val="22"/>
          <w:lang w:val="en-AU"/>
        </w:rPr>
        <w:t xml:space="preserve"> memory bias</w:t>
      </w:r>
      <w:r w:rsidR="00EE2FC0" w:rsidRPr="00EE2FC0">
        <w:rPr>
          <w:rFonts w:eastAsia="Times New Roman" w:cs="Times New Roman"/>
          <w:color w:val="auto"/>
          <w:sz w:val="22"/>
          <w:szCs w:val="22"/>
          <w:lang w:val="en-AU"/>
        </w:rPr>
        <w:t>.</w:t>
      </w:r>
    </w:p>
    <w:p w14:paraId="4DF90AB8" w14:textId="6B2416EA" w:rsidR="00F9162F" w:rsidRPr="00EE2FC0" w:rsidRDefault="00EA4505" w:rsidP="00EE2FC0">
      <w:pPr>
        <w:pStyle w:val="Heading3"/>
        <w:keepLines/>
        <w:numPr>
          <w:ilvl w:val="2"/>
          <w:numId w:val="7"/>
        </w:numPr>
        <w:suppressAutoHyphens w:val="0"/>
        <w:autoSpaceDE/>
        <w:autoSpaceDN/>
        <w:adjustRightInd/>
        <w:spacing w:before="320" w:after="160" w:line="240" w:lineRule="auto"/>
        <w:textAlignment w:val="auto"/>
        <w:rPr>
          <w:rStyle w:val="Heading4Char"/>
          <w:b w:val="0"/>
          <w:bCs w:val="0"/>
          <w:i w:val="0"/>
          <w:iCs w:val="0"/>
          <w:sz w:val="20"/>
          <w:szCs w:val="20"/>
        </w:rPr>
      </w:pPr>
      <w:bookmarkStart w:id="26" w:name="_Toc77936072"/>
      <w:bookmarkStart w:id="27" w:name="_Toc140584204"/>
      <w:bookmarkStart w:id="28" w:name="_Toc155250941"/>
      <w:r w:rsidRPr="00EE2FC0">
        <w:rPr>
          <w:rFonts w:eastAsia="Times New Roman" w:cs="Times New Roman"/>
          <w:color w:val="auto"/>
          <w:sz w:val="22"/>
          <w:lang w:val="en-AU"/>
        </w:rPr>
        <w:t>Table 4</w:t>
      </w:r>
      <w:r w:rsidR="00D462A9" w:rsidRPr="00EE2FC0">
        <w:rPr>
          <w:rFonts w:eastAsia="Times New Roman" w:cs="Times New Roman"/>
          <w:color w:val="auto"/>
          <w:sz w:val="22"/>
          <w:lang w:val="en-AU"/>
        </w:rPr>
        <w:t xml:space="preserve"> -</w:t>
      </w:r>
      <w:r w:rsidRPr="00EE2FC0">
        <w:rPr>
          <w:rFonts w:eastAsia="Times New Roman" w:cs="Times New Roman"/>
          <w:color w:val="auto"/>
          <w:sz w:val="22"/>
          <w:lang w:val="en-AU"/>
        </w:rPr>
        <w:t xml:space="preserve"> </w:t>
      </w:r>
      <w:r w:rsidR="00F9162F" w:rsidRPr="00EE2FC0">
        <w:rPr>
          <w:rFonts w:eastAsia="Times New Roman" w:cs="Times New Roman"/>
          <w:color w:val="auto"/>
          <w:sz w:val="22"/>
          <w:lang w:val="en-AU"/>
        </w:rPr>
        <w:t xml:space="preserve">Harvest summary figures </w:t>
      </w:r>
      <w:bookmarkEnd w:id="26"/>
      <w:bookmarkEnd w:id="27"/>
      <w:r w:rsidRPr="00EE2FC0">
        <w:rPr>
          <w:rFonts w:eastAsia="Times New Roman" w:cs="Times New Roman"/>
          <w:color w:val="auto"/>
          <w:sz w:val="22"/>
          <w:lang w:val="en-AU"/>
        </w:rPr>
        <w:t>per zone</w:t>
      </w:r>
      <w:bookmarkEnd w:id="28"/>
      <w:r w:rsidR="00EE2FC0">
        <w:rPr>
          <w:rFonts w:eastAsia="Times New Roman" w:cs="Times New Roman"/>
          <w:color w:val="auto"/>
          <w:sz w:val="22"/>
          <w:lang w:val="en-AU"/>
        </w:rPr>
        <w:t xml:space="preserve"> (January to March 2024) </w:t>
      </w:r>
    </w:p>
    <w:tbl>
      <w:tblPr>
        <w:tblW w:w="5366" w:type="pct"/>
        <w:tblLook w:val="04A0" w:firstRow="1" w:lastRow="0" w:firstColumn="1" w:lastColumn="0" w:noHBand="0" w:noVBand="1"/>
      </w:tblPr>
      <w:tblGrid>
        <w:gridCol w:w="4621"/>
        <w:gridCol w:w="2419"/>
        <w:gridCol w:w="2417"/>
        <w:gridCol w:w="2419"/>
        <w:gridCol w:w="2289"/>
      </w:tblGrid>
      <w:tr w:rsidR="00EA4505" w14:paraId="0AE75C62" w14:textId="77777777" w:rsidTr="00EA4505">
        <w:trPr>
          <w:trHeight w:val="460"/>
        </w:trPr>
        <w:tc>
          <w:tcPr>
            <w:tcW w:w="5000" w:type="pct"/>
            <w:gridSpan w:val="5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09FBF7CE" w:rsidR="00EA4505" w:rsidRPr="00EA4505" w:rsidRDefault="002466F1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2024 Quarter One Figures</w:t>
            </w:r>
          </w:p>
        </w:tc>
      </w:tr>
      <w:tr w:rsidR="00EA4505" w14:paraId="0DEB5824" w14:textId="77777777" w:rsidTr="00EE2FC0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7777777" w:rsidR="00EA4505" w:rsidRDefault="00EA4505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Harvest Zone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380F9756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Eastern Grey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492D8EA4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73C5FF98" w14:textId="77777777" w:rsidR="00EA4505" w:rsidRDefault="00EA4505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Young at foot</w:t>
            </w:r>
          </w:p>
        </w:tc>
      </w:tr>
      <w:tr w:rsidR="00045B75" w14:paraId="0F49B3E8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73CC23A7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1778A821" w14:textId="60F15EFA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5,335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0AD6AF1E" w14:textId="5DC7109C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1,702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6908BD0E" w14:textId="287ABE0F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1,555</w:t>
            </w:r>
          </w:p>
        </w:tc>
      </w:tr>
      <w:tr w:rsidR="00045B75" w14:paraId="30C503D1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56B9B71B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6429B01D" w14:textId="69CAF9CF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1,470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2E562C44" w14:textId="633CF004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482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3AECFD7A" w14:textId="54C17023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344</w:t>
            </w:r>
          </w:p>
        </w:tc>
      </w:tr>
      <w:tr w:rsidR="00045B75" w14:paraId="627DE01D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23E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0BC9" w14:textId="30D07F5B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68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1652C788" w14:textId="326F8596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4,011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00BD7803" w14:textId="6660028E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1,193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7FB1C920" w14:textId="0C03BF31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1,067</w:t>
            </w:r>
          </w:p>
        </w:tc>
      </w:tr>
      <w:tr w:rsidR="00045B75" w14:paraId="5C6065F5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60D454DC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01F5F629" w14:textId="2A70EF57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53F1467B" w14:textId="4DB8A554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6A29B061" w14:textId="0F629273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045B75" w14:paraId="39D8DC53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North-East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3AD2F936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0D916E2B" w14:textId="571C6A9C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 w:rsidRPr="00B04C5C">
              <w:rPr>
                <w:color w:val="1F1547"/>
                <w:sz w:val="20"/>
                <w:lang w:eastAsia="en-AU"/>
              </w:rPr>
              <w:t>1,</w:t>
            </w:r>
            <w:r>
              <w:rPr>
                <w:color w:val="1F1547"/>
                <w:sz w:val="20"/>
                <w:lang w:eastAsia="en-AU"/>
              </w:rPr>
              <w:t>446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1F3C0EE3" w14:textId="6FCB0101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430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5E13D4D5" w14:textId="1DF116F9" w:rsidR="00045B75" w:rsidRPr="00B04C5C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369</w:t>
            </w:r>
          </w:p>
        </w:tc>
      </w:tr>
      <w:tr w:rsidR="00045B75" w14:paraId="393F961A" w14:textId="77777777" w:rsidTr="00EE2FC0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85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473699F3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53" w:type="pct"/>
            <w:shd w:val="clear" w:color="auto" w:fill="CCCCCF"/>
            <w:vAlign w:val="center"/>
          </w:tcPr>
          <w:p w14:paraId="16C8CD67" w14:textId="4E00B90E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1,280</w:t>
            </w:r>
          </w:p>
        </w:tc>
        <w:tc>
          <w:tcPr>
            <w:tcW w:w="854" w:type="pct"/>
            <w:shd w:val="clear" w:color="auto" w:fill="CCCCCF"/>
            <w:vAlign w:val="center"/>
          </w:tcPr>
          <w:p w14:paraId="307CA483" w14:textId="448947A2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364</w:t>
            </w:r>
          </w:p>
        </w:tc>
        <w:tc>
          <w:tcPr>
            <w:tcW w:w="808" w:type="pct"/>
            <w:shd w:val="clear" w:color="auto" w:fill="CCCCCF"/>
            <w:vAlign w:val="center"/>
          </w:tcPr>
          <w:p w14:paraId="38C002FE" w14:textId="522241D3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241</w:t>
            </w:r>
          </w:p>
        </w:tc>
      </w:tr>
      <w:tr w:rsidR="00045B75" w14:paraId="6F4A4244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3664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7717" w14:textId="2CDF1A31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63CA823F" w14:textId="74BF0BA1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430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6AF3A35E" w14:textId="1E04C68D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131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1FCF505A" w14:textId="5986599E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152</w:t>
            </w:r>
          </w:p>
        </w:tc>
      </w:tr>
      <w:tr w:rsidR="00045B75" w14:paraId="4899BF9B" w14:textId="77777777" w:rsidTr="00EA4505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631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045B75" w:rsidRDefault="00045B75" w:rsidP="00045B75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854" w:type="pct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45727B08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128</w:t>
            </w:r>
          </w:p>
        </w:tc>
        <w:tc>
          <w:tcPr>
            <w:tcW w:w="853" w:type="pct"/>
            <w:shd w:val="clear" w:color="auto" w:fill="E7E7E9"/>
            <w:vAlign w:val="center"/>
          </w:tcPr>
          <w:p w14:paraId="556561E1" w14:textId="6493DA45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13,972</w:t>
            </w:r>
          </w:p>
        </w:tc>
        <w:tc>
          <w:tcPr>
            <w:tcW w:w="854" w:type="pct"/>
            <w:shd w:val="clear" w:color="auto" w:fill="E7E7E9"/>
            <w:vAlign w:val="center"/>
          </w:tcPr>
          <w:p w14:paraId="2D68C8BC" w14:textId="4FD3E7CF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4,302</w:t>
            </w:r>
          </w:p>
        </w:tc>
        <w:tc>
          <w:tcPr>
            <w:tcW w:w="808" w:type="pct"/>
            <w:shd w:val="clear" w:color="auto" w:fill="E7E7E9"/>
            <w:vAlign w:val="center"/>
          </w:tcPr>
          <w:p w14:paraId="27E99F87" w14:textId="0C1AD836" w:rsidR="00045B75" w:rsidRDefault="00045B75" w:rsidP="00045B75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3,728</w:t>
            </w:r>
          </w:p>
        </w:tc>
      </w:tr>
    </w:tbl>
    <w:p w14:paraId="3E2D6E53" w14:textId="77777777" w:rsidR="00F9162F" w:rsidRPr="00EE2FC0" w:rsidRDefault="00F9162F" w:rsidP="00EE2FC0">
      <w:pPr>
        <w:pStyle w:val="Heading1"/>
        <w:keepLines/>
        <w:pageBreakBefore/>
        <w:numPr>
          <w:ilvl w:val="0"/>
          <w:numId w:val="7"/>
        </w:numPr>
        <w:suppressAutoHyphens w:val="0"/>
        <w:autoSpaceDE/>
        <w:autoSpaceDN/>
        <w:adjustRightInd/>
        <w:spacing w:before="520" w:after="480" w:line="240" w:lineRule="auto"/>
        <w:ind w:left="432" w:hanging="432"/>
        <w:textAlignment w:val="auto"/>
        <w:rPr>
          <w:rFonts w:eastAsia="Times New Roman" w:cs="Times New Roman"/>
          <w:b/>
          <w:bCs/>
          <w:color w:val="auto"/>
          <w:sz w:val="36"/>
          <w:szCs w:val="32"/>
          <w:lang w:val="en-AU"/>
        </w:rPr>
      </w:pPr>
      <w:bookmarkStart w:id="29" w:name="_Toc140584205"/>
      <w:bookmarkStart w:id="30" w:name="_Toc155250942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lastRenderedPageBreak/>
        <w:t>Compliance figures</w:t>
      </w:r>
      <w:bookmarkEnd w:id="29"/>
      <w:bookmarkEnd w:id="30"/>
      <w:r w:rsidRPr="00EE2FC0">
        <w:rPr>
          <w:rFonts w:eastAsia="Times New Roman" w:cs="Times New Roman"/>
          <w:b/>
          <w:bCs/>
          <w:color w:val="auto"/>
          <w:sz w:val="36"/>
          <w:szCs w:val="32"/>
          <w:lang w:val="en-AU"/>
        </w:rPr>
        <w:t xml:space="preserve"> </w:t>
      </w:r>
    </w:p>
    <w:p w14:paraId="2401FC3C" w14:textId="01A3874A" w:rsidR="00F9162F" w:rsidRPr="00EE2FC0" w:rsidRDefault="00D462A9" w:rsidP="00EE2FC0">
      <w:pPr>
        <w:pStyle w:val="Heading2"/>
        <w:keepLines/>
        <w:numPr>
          <w:ilvl w:val="1"/>
          <w:numId w:val="7"/>
        </w:numPr>
        <w:suppressAutoHyphens w:val="0"/>
        <w:autoSpaceDE/>
        <w:autoSpaceDN/>
        <w:adjustRightInd/>
        <w:spacing w:before="400" w:after="200" w:line="240" w:lineRule="auto"/>
        <w:ind w:left="576" w:hanging="576"/>
        <w:textAlignment w:val="auto"/>
        <w:rPr>
          <w:rFonts w:eastAsia="Times New Roman" w:cs="Times New Roman"/>
          <w:bCs/>
          <w:color w:val="auto"/>
          <w:sz w:val="28"/>
          <w:szCs w:val="26"/>
          <w:lang w:val="en-AU"/>
        </w:rPr>
      </w:pPr>
      <w:r w:rsidRPr="00EE2FC0">
        <w:rPr>
          <w:rFonts w:eastAsia="Times New Roman" w:cs="Times New Roman"/>
          <w:bCs/>
          <w:color w:val="auto"/>
          <w:sz w:val="28"/>
          <w:szCs w:val="26"/>
          <w:lang w:val="en-AU"/>
        </w:rPr>
        <w:t>Overview</w:t>
      </w:r>
    </w:p>
    <w:p w14:paraId="423118D5" w14:textId="54DABB64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Compliance actions are undertaken in accordance with the approved 2023 </w:t>
      </w:r>
      <w:r w:rsidR="00D462A9" w:rsidRPr="00881EEB">
        <w:rPr>
          <w:sz w:val="22"/>
          <w:szCs w:val="22"/>
        </w:rPr>
        <w:t xml:space="preserve">KHP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B8A21C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4F62A63B" w:rsidR="00EA4505" w:rsidRPr="00611209" w:rsidRDefault="00EA4505" w:rsidP="00EE2FC0">
      <w:pPr>
        <w:pStyle w:val="Heading3"/>
        <w:keepLines/>
        <w:numPr>
          <w:ilvl w:val="2"/>
          <w:numId w:val="7"/>
        </w:numPr>
        <w:suppressAutoHyphens w:val="0"/>
        <w:autoSpaceDE/>
        <w:autoSpaceDN/>
        <w:adjustRightInd/>
        <w:spacing w:before="320" w:after="160" w:line="240" w:lineRule="auto"/>
        <w:textAlignment w:val="auto"/>
        <w:rPr>
          <w:rFonts w:eastAsia="Times New Roman" w:cs="Times New Roman"/>
          <w:color w:val="auto"/>
          <w:sz w:val="22"/>
          <w:lang w:val="en-AU"/>
        </w:rPr>
      </w:pPr>
      <w:bookmarkStart w:id="31" w:name="_Toc155250944"/>
      <w:r w:rsidRPr="00EE2FC0">
        <w:rPr>
          <w:rFonts w:eastAsia="Times New Roman" w:cs="Times New Roman"/>
          <w:color w:val="auto"/>
          <w:sz w:val="22"/>
          <w:lang w:val="en-AU"/>
        </w:rPr>
        <w:t>Table 5</w:t>
      </w:r>
      <w:r w:rsidR="00D462A9" w:rsidRPr="00EE2FC0">
        <w:rPr>
          <w:rFonts w:eastAsia="Times New Roman" w:cs="Times New Roman"/>
          <w:color w:val="auto"/>
          <w:sz w:val="22"/>
          <w:lang w:val="en-AU"/>
        </w:rPr>
        <w:t xml:space="preserve"> -</w:t>
      </w:r>
      <w:r w:rsidRPr="00EE2FC0">
        <w:rPr>
          <w:rFonts w:eastAsia="Times New Roman" w:cs="Times New Roman"/>
          <w:color w:val="auto"/>
          <w:sz w:val="22"/>
          <w:lang w:val="en-AU"/>
        </w:rPr>
        <w:t xml:space="preserve"> Compliance summary data</w:t>
      </w:r>
      <w:bookmarkEnd w:id="31"/>
      <w:r w:rsidRPr="00611209">
        <w:rPr>
          <w:rFonts w:eastAsia="Times New Roman" w:cs="Times New Roman"/>
          <w:color w:val="auto"/>
          <w:sz w:val="22"/>
          <w:lang w:val="en-AU"/>
        </w:rPr>
        <w:t xml:space="preserve"> </w:t>
      </w:r>
      <w:r w:rsidR="00611209" w:rsidRPr="00611209">
        <w:rPr>
          <w:rFonts w:eastAsia="Times New Roman" w:cs="Times New Roman"/>
          <w:color w:val="auto"/>
          <w:sz w:val="22"/>
          <w:lang w:val="en-AU"/>
        </w:rPr>
        <w:t>(January to March 2024)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4DDCA310" w:rsidR="00A509F3" w:rsidRPr="00B91F4A" w:rsidRDefault="002466F1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2024 Quarter One Figures</w:t>
            </w:r>
          </w:p>
        </w:tc>
      </w:tr>
      <w:tr w:rsidR="00A509F3" w:rsidRPr="00D0786C" w14:paraId="3B5EF20C" w14:textId="77777777" w:rsidTr="00A509F3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31F5BCF6" w14:textId="64E664F6" w:rsidR="00A509F3" w:rsidRPr="00D0786C" w:rsidRDefault="002466F1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113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6B36580E" w:rsidR="00A509F3" w:rsidRPr="00D0786C" w:rsidRDefault="002466F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113</w:t>
            </w:r>
          </w:p>
        </w:tc>
      </w:tr>
      <w:tr w:rsidR="00A509F3" w:rsidRPr="00D0786C" w14:paraId="77AE850C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7A38FF7E" w14:textId="6CED2443" w:rsidR="00A509F3" w:rsidRPr="00D0786C" w:rsidRDefault="002466F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624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6A59AA1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135BA92C" w:rsidR="00A509F3" w:rsidRPr="00D0786C" w:rsidRDefault="00611209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7ACD0C62" w14:textId="77777777" w:rsidTr="00A509F3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6979A573" w14:textId="65A60507" w:rsidR="00A509F3" w:rsidRPr="00D0786C" w:rsidRDefault="002466F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3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6D13EFED" w:rsidR="00A509F3" w:rsidRPr="00D0786C" w:rsidRDefault="002466F1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77777777" w:rsidR="00A509F3" w:rsidRPr="00D0786C" w:rsidRDefault="00A509F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1C8E1BD4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="00F10FAC">
        <w:rPr>
          <w:rFonts w:eastAsiaTheme="minorEastAsia"/>
          <w:b/>
          <w:bCs/>
          <w:i/>
          <w:iCs/>
          <w:color w:val="auto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KHP Compliance Plan is defined as a harvester who is active throughout the previous four quarters.  </w:t>
      </w:r>
    </w:p>
    <w:p w14:paraId="4F21BF8F" w14:textId="5CBEAF95" w:rsidR="00F9162F" w:rsidRDefault="00F9162F" w:rsidP="00690A14">
      <w:pPr>
        <w:rPr>
          <w:i/>
          <w:iCs/>
        </w:rPr>
      </w:pPr>
    </w:p>
    <w:p w14:paraId="1C0265C2" w14:textId="2178A532" w:rsidR="00A509F3" w:rsidRPr="00EE2FC0" w:rsidRDefault="00A509F3" w:rsidP="00EE2FC0">
      <w:pPr>
        <w:pStyle w:val="Heading3"/>
        <w:keepLines/>
        <w:numPr>
          <w:ilvl w:val="2"/>
          <w:numId w:val="7"/>
        </w:numPr>
        <w:suppressAutoHyphens w:val="0"/>
        <w:autoSpaceDE/>
        <w:autoSpaceDN/>
        <w:adjustRightInd/>
        <w:spacing w:before="320" w:after="160" w:line="240" w:lineRule="auto"/>
        <w:textAlignment w:val="auto"/>
        <w:rPr>
          <w:rFonts w:eastAsia="Times New Roman" w:cs="Times New Roman"/>
          <w:color w:val="auto"/>
          <w:sz w:val="22"/>
          <w:lang w:val="en-AU"/>
        </w:rPr>
      </w:pPr>
      <w:bookmarkStart w:id="32" w:name="_Toc155250945"/>
      <w:r w:rsidRPr="00EE2FC0">
        <w:rPr>
          <w:rFonts w:eastAsia="Times New Roman" w:cs="Times New Roman"/>
          <w:color w:val="auto"/>
          <w:sz w:val="22"/>
          <w:lang w:val="en-AU"/>
        </w:rPr>
        <w:lastRenderedPageBreak/>
        <w:t>Table 6</w:t>
      </w:r>
      <w:r w:rsidR="00D462A9" w:rsidRPr="00EE2FC0">
        <w:rPr>
          <w:rFonts w:eastAsia="Times New Roman" w:cs="Times New Roman"/>
          <w:color w:val="auto"/>
          <w:sz w:val="22"/>
          <w:lang w:val="en-AU"/>
        </w:rPr>
        <w:t xml:space="preserve"> -</w:t>
      </w:r>
      <w:r w:rsidRPr="00EE2FC0">
        <w:rPr>
          <w:rFonts w:eastAsia="Times New Roman" w:cs="Times New Roman"/>
          <w:color w:val="auto"/>
          <w:sz w:val="22"/>
          <w:lang w:val="en-AU"/>
        </w:rPr>
        <w:t xml:space="preserve"> 202</w:t>
      </w:r>
      <w:r w:rsidR="00F10FAC" w:rsidRPr="00EE2FC0">
        <w:rPr>
          <w:rFonts w:eastAsia="Times New Roman" w:cs="Times New Roman"/>
          <w:color w:val="auto"/>
          <w:sz w:val="22"/>
          <w:lang w:val="en-AU"/>
        </w:rPr>
        <w:t>4</w:t>
      </w:r>
      <w:r w:rsidRPr="00EE2FC0">
        <w:rPr>
          <w:rFonts w:eastAsia="Times New Roman" w:cs="Times New Roman"/>
          <w:color w:val="auto"/>
          <w:sz w:val="22"/>
          <w:lang w:val="en-AU"/>
        </w:rPr>
        <w:t xml:space="preserve"> monthly audit statistics</w:t>
      </w:r>
      <w:bookmarkEnd w:id="32"/>
      <w:r w:rsidRPr="00EE2FC0">
        <w:rPr>
          <w:rFonts w:eastAsia="Times New Roman" w:cs="Times New Roman"/>
          <w:color w:val="auto"/>
          <w:sz w:val="22"/>
          <w:lang w:val="en-AU"/>
        </w:rPr>
        <w:t xml:space="preserve"> </w:t>
      </w:r>
      <w:r w:rsidR="00EE2FC0" w:rsidRPr="00EE2FC0">
        <w:rPr>
          <w:rFonts w:eastAsia="Times New Roman" w:cs="Times New Roman"/>
          <w:color w:val="auto"/>
          <w:sz w:val="22"/>
          <w:lang w:val="en-AU"/>
        </w:rPr>
        <w:t xml:space="preserve">(January to March 2024)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1923"/>
        <w:gridCol w:w="946"/>
        <w:gridCol w:w="946"/>
        <w:gridCol w:w="9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70"/>
      </w:tblGrid>
      <w:tr w:rsidR="00A509F3" w14:paraId="475F0E8C" w14:textId="77777777" w:rsidTr="00F10FAC">
        <w:trPr>
          <w:trHeight w:val="681"/>
        </w:trPr>
        <w:tc>
          <w:tcPr>
            <w:tcW w:w="68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7B4F664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  <w:r w:rsidRPr="00A509F3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4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5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CB752E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F10FAC" w14:paraId="2D542425" w14:textId="77777777" w:rsidTr="00F10FAC">
        <w:trPr>
          <w:trHeight w:val="681"/>
        </w:trPr>
        <w:tc>
          <w:tcPr>
            <w:tcW w:w="6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1D009645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3D4BC9B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190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7C3F59B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0C5B8AF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42F356F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61638BB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42EEE21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757C770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061F2FE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1EDC57C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4E7CA54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1320056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  <w:hideMark/>
          </w:tcPr>
          <w:p w14:paraId="3FAB6525" w14:textId="283C2A6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235</w:t>
            </w:r>
          </w:p>
        </w:tc>
      </w:tr>
      <w:tr w:rsidR="00F10FAC" w14:paraId="7F4E09F8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7EB3F132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053127D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42DD29B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5D72372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02A3B56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10D2D0D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2A0231" w14:textId="77A1AF6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30A0F" w14:textId="6F2849BC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3946E0B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3D852E1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1794AB8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2EEEBB5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61F0088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52</w:t>
            </w:r>
          </w:p>
        </w:tc>
      </w:tr>
      <w:tr w:rsidR="00F10FAC" w14:paraId="10E5EB99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6FE15CA3" w14:textId="1F08ABD0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ABC8A2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3CCC96" w14:textId="06B6F5C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7817940" w14:textId="334FF0C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154F29" w14:textId="3281325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58AB99B" w14:textId="4985F12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F1D65" w14:textId="0732F8F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7175401" w14:textId="02AB784E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4FE7990" w14:textId="61F1573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8A62ED" w14:textId="1C2F698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02013A" w14:textId="4E89EBF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F5F3E7" w14:textId="202535B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E9A92A0" w14:textId="01BBE3F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AF7D651" w14:textId="62F92F0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128</w:t>
            </w:r>
          </w:p>
        </w:tc>
      </w:tr>
      <w:tr w:rsidR="00F10FAC" w14:paraId="1674A17E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5798669F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89A94BF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4916B6" w14:textId="6327DA3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7F92E36" w14:textId="3D96823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D6ED59D" w14:textId="7380FC9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005B597" w14:textId="3FA9E34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6141542" w14:textId="3F1910E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B804FAF" w14:textId="6672043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47DA3B8" w14:textId="47997D8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2FEBE0E" w14:textId="3B33A6F9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1CE14B9" w14:textId="2B6E22A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9FDDDF0" w14:textId="1B0BB6B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B382D23" w14:textId="2174DB3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25284F3D" w14:textId="01DC64C9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</w:tr>
      <w:tr w:rsidR="00F10FAC" w14:paraId="0BC615AA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4DDB6BF4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North East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230E683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07D6A1" w14:textId="4E82774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C1AA52" w14:textId="0EB390A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CAFCF60" w14:textId="136F798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FB36992" w14:textId="24A2C51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0E5DBC2" w14:textId="64C6406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D2C7386" w14:textId="60F2FC4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D58B18C" w14:textId="61D91B2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A027D9" w14:textId="22E2621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255718" w14:textId="6DEFC84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08B1475" w14:textId="12B6127C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29C6CB8" w14:textId="36666ED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603D317" w14:textId="056FE10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41</w:t>
            </w:r>
          </w:p>
        </w:tc>
      </w:tr>
      <w:tr w:rsidR="00F10FAC" w14:paraId="79B4C045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44E13331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BA38EB5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CA692BD" w14:textId="5393C5B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D584675" w14:textId="0E38D13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E93E2A0" w14:textId="089C20CE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A69F229" w14:textId="6DEF18E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7BE729" w14:textId="1AEF6B2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55FE8AE" w14:textId="46A3F4B4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B6E64C7" w14:textId="6910DAB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51D1303" w14:textId="004819C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76F4982" w14:textId="21E8EFE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63DDE3" w14:textId="4773008D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442941" w14:textId="369684D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6EF69A6" w14:textId="3DEFE4E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</w:t>
            </w:r>
          </w:p>
        </w:tc>
      </w:tr>
      <w:tr w:rsidR="00F10FAC" w14:paraId="492DB0BB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6411566" w14:textId="58021D2D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9DEA71F" w14:textId="7777777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DBE2B86" w14:textId="567303A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39896A8" w14:textId="01E2EF1E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FD8A935" w14:textId="3776AC0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5E051F5" w14:textId="760BA2EF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9B52002" w14:textId="2566DBD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499DE2B" w14:textId="3155032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DECF19B" w14:textId="510469A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FDCD49" w14:textId="6BAFC42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4B9144D" w14:textId="256696B1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B4CC34F" w14:textId="5885F07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AED98EC" w14:textId="68A3371B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8106CE1" w14:textId="36C9FAEE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</w:tr>
      <w:tr w:rsidR="00F10FAC" w14:paraId="169B006E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</w:tcPr>
          <w:p w14:paraId="78E1CA3A" w14:textId="00F4E18E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All Zones – Group</w:t>
            </w:r>
            <w:r w:rsidRPr="00A509F3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917FA2D" w14:textId="4BFEF5D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7E5416C" w14:textId="50A69095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10BCB77" w14:textId="5FB57DC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895831" w14:textId="3852614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C091FFA" w14:textId="7B20E732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51C7AEE" w14:textId="77BF25FA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0A4F6BE" w14:textId="30102DF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39AC1A6" w14:textId="0EC4D44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303C2FD" w14:textId="0990B037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25C3AE7" w14:textId="16C11D60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74C8556" w14:textId="551160F3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DA410C8" w14:textId="5EB15B88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A2488A5" w14:textId="21C17D96" w:rsidR="00F10FAC" w:rsidRDefault="00F10FAC" w:rsidP="00F10FAC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113</w:t>
            </w:r>
          </w:p>
        </w:tc>
      </w:tr>
      <w:tr w:rsidR="00F10FAC" w14:paraId="50C8C372" w14:textId="77777777" w:rsidTr="00F10FAC">
        <w:trPr>
          <w:trHeight w:val="681"/>
        </w:trPr>
        <w:tc>
          <w:tcPr>
            <w:tcW w:w="68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77777777" w:rsidR="00F10FAC" w:rsidRDefault="00F10FAC" w:rsidP="00F10FAC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6B932DE4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25C571A6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4CC18905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6CA50DF5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6A58D30A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74AEA0B9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22F6E4A7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7E69267F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26329ACB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1CA94E6E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53C3E15B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4B6A9ADD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4A08141D" w:rsidR="00F10FAC" w:rsidRDefault="00F10FAC" w:rsidP="00F10FAC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624</w:t>
            </w:r>
          </w:p>
        </w:tc>
      </w:tr>
    </w:tbl>
    <w:p w14:paraId="7FDAF301" w14:textId="1F4AE840" w:rsidR="00A509F3" w:rsidRPr="00A509F3" w:rsidRDefault="00A509F3" w:rsidP="00A509F3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Audits are not undertaken in January or the start of each quarter, as all harvesters are audited prior to being issued with tags</w:t>
      </w:r>
    </w:p>
    <w:p w14:paraId="1A62D0C8" w14:textId="5BF0407A" w:rsidR="00F9162F" w:rsidRDefault="00F9162F" w:rsidP="00690A14">
      <w:pPr>
        <w:rPr>
          <w:i/>
          <w:iCs/>
        </w:rPr>
      </w:pPr>
    </w:p>
    <w:p w14:paraId="2AE66E86" w14:textId="22254231" w:rsidR="00F9162F" w:rsidRDefault="00F9162F" w:rsidP="00690A14">
      <w:pPr>
        <w:rPr>
          <w:i/>
          <w:iCs/>
        </w:rPr>
      </w:pPr>
    </w:p>
    <w:p w14:paraId="0A69128B" w14:textId="77777777" w:rsidR="00F9162F" w:rsidRPr="00690A14" w:rsidRDefault="00F9162F" w:rsidP="00690A14"/>
    <w:sectPr w:rsidR="00F9162F" w:rsidRPr="00690A14" w:rsidSect="00EA4505">
      <w:headerReference w:type="default" r:id="rId13"/>
      <w:footerReference w:type="default" r:id="rId14"/>
      <w:type w:val="oddPage"/>
      <w:pgSz w:w="16838" w:h="11906" w:orient="landscape" w:code="9"/>
      <w:pgMar w:top="993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7BF3" w14:textId="77777777" w:rsidR="00F91E02" w:rsidRDefault="00F91E02" w:rsidP="00123BB4">
      <w:r>
        <w:separator/>
      </w:r>
    </w:p>
  </w:endnote>
  <w:endnote w:type="continuationSeparator" w:id="0">
    <w:p w14:paraId="088B531F" w14:textId="77777777" w:rsidR="00F91E02" w:rsidRDefault="00F91E02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9453" w14:textId="5263050E" w:rsidR="0039460F" w:rsidRDefault="00F9162F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3BC5B983" wp14:editId="3110DC0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6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279C2D" w14:textId="39AC43A0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5B983" id="_x0000_t202" coordsize="21600,21600" o:spt="202" path="m,l,21600r21600,l21600,xe">
              <v:stroke joinstyle="miter"/>
              <v:path gradientshapeok="t" o:connecttype="rect"/>
            </v:shapetype>
            <v:shape id="MSIPCM398e4000ac759fcfd66261e9" o:spid="_x0000_s1027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50279C2D" w14:textId="39AC43A0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7A5B" w14:textId="66B30E4C" w:rsidR="00F26E23" w:rsidRDefault="00EE2FC0" w:rsidP="00EE2FC0">
    <w:pPr>
      <w:pStyle w:val="Footer"/>
      <w:tabs>
        <w:tab w:val="clear" w:pos="4513"/>
        <w:tab w:val="clear" w:pos="9026"/>
        <w:tab w:val="center" w:pos="4578"/>
        <w:tab w:val="left" w:pos="7501"/>
      </w:tabs>
      <w:spacing w:after="0"/>
      <w:jc w:val="lef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7E386D26" wp14:editId="6AAF7991">
              <wp:simplePos x="0" y="0"/>
              <wp:positionH relativeFrom="page">
                <wp:posOffset>24263</wp:posOffset>
              </wp:positionH>
              <wp:positionV relativeFrom="page">
                <wp:posOffset>7071670</wp:posOffset>
              </wp:positionV>
              <wp:extent cx="10692130" cy="252095"/>
              <wp:effectExtent l="0" t="0" r="0" b="14605"/>
              <wp:wrapNone/>
              <wp:docPr id="1579068132" name="MSIPCM398e4000ac759fcfd66261e9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3B9AEC" w14:textId="77777777" w:rsidR="00EE2FC0" w:rsidRPr="00F9162F" w:rsidRDefault="00EE2FC0" w:rsidP="00EE2F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86D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376260202,&quot;Height&quot;:595.0,&quot;Width&quot;:841.0,&quot;Placement&quot;:&quot;Footer&quot;,&quot;Index&quot;:&quot;Primary&quot;,&quot;Section&quot;:2,&quot;Top&quot;:0.0,&quot;Left&quot;:0.0}" style="position:absolute;margin-left:1.9pt;margin-top:556.8pt;width:841.9pt;height:19.8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" o:allowincell="f" filled="f" stroked="f" strokeweight=".5pt">
              <v:textbox inset=",0,,0">
                <w:txbxContent>
                  <w:p w14:paraId="013B9AEC" w14:textId="77777777" w:rsidR="00EE2FC0" w:rsidRPr="00F9162F" w:rsidRDefault="00EE2FC0" w:rsidP="00EE2F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ab/>
    </w:r>
    <w:r>
      <w:rPr>
        <w:rStyle w:val="PageNumber"/>
      </w:rPr>
      <w:tab/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tr w:rsidR="00F26E23" w:rsidRPr="00FB0DEA" w14:paraId="41A2C341" w14:textId="77777777" w:rsidTr="00F26E23">
      <w:tc>
        <w:tcPr>
          <w:tcW w:w="4678" w:type="dxa"/>
          <w:vAlign w:val="center"/>
        </w:tcPr>
        <w:p w14:paraId="77DCB63E" w14:textId="596CECC2" w:rsidR="00A509F3" w:rsidRPr="005723C8" w:rsidRDefault="00A509F3" w:rsidP="00F26E23">
          <w:pPr>
            <w:pStyle w:val="Footer"/>
            <w:spacing w:after="0"/>
            <w:jc w:val="left"/>
          </w:pPr>
        </w:p>
      </w:tc>
      <w:tc>
        <w:tcPr>
          <w:tcW w:w="3969" w:type="dxa"/>
          <w:vAlign w:val="center"/>
        </w:tcPr>
        <w:p w14:paraId="694869C6" w14:textId="6068B423" w:rsidR="00F26E23" w:rsidRPr="005723C8" w:rsidRDefault="00F26E23" w:rsidP="00F26E23">
          <w:pPr>
            <w:pStyle w:val="Footer"/>
            <w:spacing w:after="0"/>
            <w:rPr>
              <w:rStyle w:val="PageNumber"/>
            </w:rPr>
          </w:pPr>
        </w:p>
      </w:tc>
      <w:tc>
        <w:tcPr>
          <w:tcW w:w="5387" w:type="dxa"/>
        </w:tcPr>
        <w:p w14:paraId="1A0EB782" w14:textId="2700AFE5" w:rsidR="00F26E23" w:rsidRPr="00FB0DEA" w:rsidRDefault="00F26E23" w:rsidP="00F26E23">
          <w:pPr>
            <w:pStyle w:val="Footer"/>
            <w:spacing w:after="0"/>
            <w:jc w:val="right"/>
          </w:pPr>
        </w:p>
      </w:tc>
    </w:tr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BACF" w14:textId="77777777" w:rsidR="00F91E02" w:rsidRDefault="00F91E02" w:rsidP="00123BB4">
      <w:r>
        <w:separator/>
      </w:r>
    </w:p>
  </w:footnote>
  <w:footnote w:type="continuationSeparator" w:id="0">
    <w:p w14:paraId="566A7731" w14:textId="77777777" w:rsidR="00F91E02" w:rsidRDefault="00F91E02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EBDB" w14:textId="72CBAA0B" w:rsidR="0039460F" w:rsidRDefault="00F9162F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4FE7AA0B" wp14:editId="751573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2" name="MSIPCMf0654fac9eda1d76d68dd1ab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AFEE6" w14:textId="56D33D66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7AA0B" id="_x0000_t202" coordsize="21600,21600" o:spt="202" path="m,l,21600r21600,l21600,xe">
              <v:stroke joinstyle="miter"/>
              <v:path gradientshapeok="t" o:connecttype="rect"/>
            </v:shapetype>
            <v:shape id="MSIPCMf0654fac9eda1d76d68dd1ab" o:spid="_x0000_s1026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1CBAFEE6" w14:textId="56D33D66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7CC6" w14:textId="151E4CE2" w:rsidR="00DD248F" w:rsidRDefault="00F9162F" w:rsidP="00DD24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62507018" wp14:editId="148270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9dcc446096b8fd88d6f4a156" descr="{&quot;HashCode&quot;:352122633,&quot;Height&quot;:595.0,&quot;Width&quot;:841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C603CC" w14:textId="1737E831" w:rsidR="00F9162F" w:rsidRPr="00F9162F" w:rsidRDefault="00F9162F" w:rsidP="00F9162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F9162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7018" id="_x0000_t202" coordsize="21600,21600" o:spt="202" path="m,l,21600r21600,l21600,xe">
              <v:stroke joinstyle="miter"/>
              <v:path gradientshapeok="t" o:connecttype="rect"/>
            </v:shapetype>
            <v:shape id="MSIPCM9dcc446096b8fd88d6f4a156" o:spid="_x0000_s1028" type="#_x0000_t202" alt="{&quot;HashCode&quot;:352122633,&quot;Height&quot;:595.0,&quot;Width&quot;:841.0,&quot;Placement&quot;:&quot;Header&quot;,&quot;Index&quot;:&quot;Primary&quot;,&quot;Section&quot;:3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49C603CC" w14:textId="1737E831" w:rsidR="00F9162F" w:rsidRPr="00F9162F" w:rsidRDefault="00F9162F" w:rsidP="00F9162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F9162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8E8"/>
    <w:multiLevelType w:val="multilevel"/>
    <w:tmpl w:val="41386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F6417"/>
    <w:multiLevelType w:val="hybridMultilevel"/>
    <w:tmpl w:val="283AC1D0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2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3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  <w:num w:numId="14" w16cid:durableId="86386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771"/>
    <w:rsid w:val="0000440C"/>
    <w:rsid w:val="000458D8"/>
    <w:rsid w:val="00045B75"/>
    <w:rsid w:val="0005253D"/>
    <w:rsid w:val="000676C9"/>
    <w:rsid w:val="000720D4"/>
    <w:rsid w:val="000848B5"/>
    <w:rsid w:val="000865C3"/>
    <w:rsid w:val="00091C78"/>
    <w:rsid w:val="000B4F12"/>
    <w:rsid w:val="00123BB4"/>
    <w:rsid w:val="001A3B11"/>
    <w:rsid w:val="001C7344"/>
    <w:rsid w:val="001E1CC4"/>
    <w:rsid w:val="00221F56"/>
    <w:rsid w:val="002270E3"/>
    <w:rsid w:val="002466F1"/>
    <w:rsid w:val="00246E19"/>
    <w:rsid w:val="00261742"/>
    <w:rsid w:val="00264231"/>
    <w:rsid w:val="002829B6"/>
    <w:rsid w:val="002960CD"/>
    <w:rsid w:val="002A1F99"/>
    <w:rsid w:val="002B0B71"/>
    <w:rsid w:val="002E0B93"/>
    <w:rsid w:val="002E5AB6"/>
    <w:rsid w:val="002F6398"/>
    <w:rsid w:val="00325807"/>
    <w:rsid w:val="00376434"/>
    <w:rsid w:val="0039460F"/>
    <w:rsid w:val="003E4AB1"/>
    <w:rsid w:val="003F152E"/>
    <w:rsid w:val="00442F54"/>
    <w:rsid w:val="0047378C"/>
    <w:rsid w:val="00480EB2"/>
    <w:rsid w:val="00484ADA"/>
    <w:rsid w:val="004A05A1"/>
    <w:rsid w:val="004B1535"/>
    <w:rsid w:val="004B661B"/>
    <w:rsid w:val="004C2E10"/>
    <w:rsid w:val="004E19DF"/>
    <w:rsid w:val="004E6A3E"/>
    <w:rsid w:val="004F6674"/>
    <w:rsid w:val="00513813"/>
    <w:rsid w:val="0053232B"/>
    <w:rsid w:val="005647CD"/>
    <w:rsid w:val="005736B7"/>
    <w:rsid w:val="00596E3D"/>
    <w:rsid w:val="006053B1"/>
    <w:rsid w:val="00611209"/>
    <w:rsid w:val="00643A06"/>
    <w:rsid w:val="00654FE7"/>
    <w:rsid w:val="00656300"/>
    <w:rsid w:val="00690A14"/>
    <w:rsid w:val="006A017E"/>
    <w:rsid w:val="006B1F1B"/>
    <w:rsid w:val="006C61FF"/>
    <w:rsid w:val="00712F03"/>
    <w:rsid w:val="007700D3"/>
    <w:rsid w:val="00795D41"/>
    <w:rsid w:val="007D260F"/>
    <w:rsid w:val="007F5165"/>
    <w:rsid w:val="00822532"/>
    <w:rsid w:val="00845FAB"/>
    <w:rsid w:val="008462B4"/>
    <w:rsid w:val="00863CB0"/>
    <w:rsid w:val="008765D4"/>
    <w:rsid w:val="00877F71"/>
    <w:rsid w:val="008806B7"/>
    <w:rsid w:val="008818C5"/>
    <w:rsid w:val="00881AFB"/>
    <w:rsid w:val="00881EEB"/>
    <w:rsid w:val="00886C96"/>
    <w:rsid w:val="00897F02"/>
    <w:rsid w:val="008A2F09"/>
    <w:rsid w:val="008D2B55"/>
    <w:rsid w:val="008F2231"/>
    <w:rsid w:val="008F3097"/>
    <w:rsid w:val="009314F6"/>
    <w:rsid w:val="009406AA"/>
    <w:rsid w:val="00944B80"/>
    <w:rsid w:val="00954660"/>
    <w:rsid w:val="00956EA5"/>
    <w:rsid w:val="009D7819"/>
    <w:rsid w:val="009F7A55"/>
    <w:rsid w:val="00A06EE5"/>
    <w:rsid w:val="00A27E6D"/>
    <w:rsid w:val="00A3623B"/>
    <w:rsid w:val="00A40ABE"/>
    <w:rsid w:val="00A509F3"/>
    <w:rsid w:val="00A6306A"/>
    <w:rsid w:val="00A96D8F"/>
    <w:rsid w:val="00A976CE"/>
    <w:rsid w:val="00AE5382"/>
    <w:rsid w:val="00B54D8F"/>
    <w:rsid w:val="00B604A2"/>
    <w:rsid w:val="00B60FED"/>
    <w:rsid w:val="00B666CF"/>
    <w:rsid w:val="00B93BED"/>
    <w:rsid w:val="00BA122D"/>
    <w:rsid w:val="00BE6257"/>
    <w:rsid w:val="00BF3966"/>
    <w:rsid w:val="00C47FD4"/>
    <w:rsid w:val="00C61B23"/>
    <w:rsid w:val="00C73704"/>
    <w:rsid w:val="00CE2232"/>
    <w:rsid w:val="00CF1F98"/>
    <w:rsid w:val="00D041B5"/>
    <w:rsid w:val="00D126ED"/>
    <w:rsid w:val="00D145E4"/>
    <w:rsid w:val="00D25938"/>
    <w:rsid w:val="00D462A9"/>
    <w:rsid w:val="00D503E4"/>
    <w:rsid w:val="00D648C7"/>
    <w:rsid w:val="00DA23A2"/>
    <w:rsid w:val="00DB2321"/>
    <w:rsid w:val="00DD248F"/>
    <w:rsid w:val="00E019ED"/>
    <w:rsid w:val="00E12EB7"/>
    <w:rsid w:val="00E46734"/>
    <w:rsid w:val="00E6749C"/>
    <w:rsid w:val="00EA4505"/>
    <w:rsid w:val="00EB1BF6"/>
    <w:rsid w:val="00EE2FC0"/>
    <w:rsid w:val="00F1075E"/>
    <w:rsid w:val="00F10FAC"/>
    <w:rsid w:val="00F16089"/>
    <w:rsid w:val="00F2506D"/>
    <w:rsid w:val="00F25B0A"/>
    <w:rsid w:val="00F26E23"/>
    <w:rsid w:val="00F9162F"/>
    <w:rsid w:val="00F91E02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  <w15:docId w15:val="{DB3B6A4D-D4D2-4FF5-B781-79AA9F7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EE2FC0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009CA6" w:themeColor="accent2"/>
      <w:sz w:val="36"/>
      <w:szCs w:val="4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c53k\Downloads\DJSIR-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096AA910C2F8049809D857C7C079AF8" ma:contentTypeVersion="29" ma:contentTypeDescription="DEDJTR Document" ma:contentTypeScope="" ma:versionID="a8ee75c880aa792b2f52e365def2c80b">
  <xsd:schema xmlns:xsd="http://www.w3.org/2001/XMLSchema" xmlns:xs="http://www.w3.org/2001/XMLSchema" xmlns:p="http://schemas.microsoft.com/office/2006/metadata/properties" xmlns:ns2="1970f3ff-c7c3-4b73-8f0c-0bc260d159f3" xmlns:ns3="940c15d3-075c-4d38-96df-9b897bf27e7c" xmlns:ns4="ebbc6efb-6271-4a2c-9036-6e606b538c1b" xmlns:ns5="ae126ea1-be91-45df-ba2e-f789e3b41342" targetNamespace="http://schemas.microsoft.com/office/2006/metadata/properties" ma:root="true" ma:fieldsID="7858d7bc9b9f643db08a7cc2acb03335" ns2:_="" ns3:_="" ns4:_="" ns5:_="">
    <xsd:import namespace="1970f3ff-c7c3-4b73-8f0c-0bc260d159f3"/>
    <xsd:import namespace="940c15d3-075c-4d38-96df-9b897bf27e7c"/>
    <xsd:import namespace="ebbc6efb-6271-4a2c-9036-6e606b538c1b"/>
    <xsd:import namespace="ae126ea1-be91-45df-ba2e-f789e3b41342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5:MediaServiceAutoKeyPoints" minOccurs="0"/>
                <xsd:element ref="ns5:MediaServiceKeyPoints" minOccurs="0"/>
                <xsd:element ref="ns3:SharedWithUsers" minOccurs="0"/>
                <xsd:element ref="ns3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73bfbf7-5027-4bcd-83c9-8470a941feae}" ma:internalName="TaxCatchAll" ma:showField="CatchAllData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3bfbf7-5027-4bcd-83c9-8470a941feae}" ma:internalName="TaxCatchAllLabel" ma:readOnly="true" ma:showField="CatchAllDataLabel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6efb-6271-4a2c-9036-6e606b53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26ea1-be91-45df-ba2e-f789e3b4134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26ea1-be91-45df-ba2e-f789e3b41342">
      <Terms xmlns="http://schemas.microsoft.com/office/infopath/2007/PartnerControls"/>
    </lcf76f155ced4ddcb4097134ff3c332f>
    <TaxCatchAll xmlns="940c15d3-075c-4d38-96df-9b897bf27e7c" xsi:nil="true"/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Props1.xml><?xml version="1.0" encoding="utf-8"?>
<ds:datastoreItem xmlns:ds="http://schemas.openxmlformats.org/officeDocument/2006/customXml" ds:itemID="{5F154AFB-5F38-4236-8F1B-3C436751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940c15d3-075c-4d38-96df-9b897bf27e7c"/>
    <ds:schemaRef ds:uri="ebbc6efb-6271-4a2c-9036-6e606b538c1b"/>
    <ds:schemaRef ds:uri="ae126ea1-be91-45df-ba2e-f789e3b4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ae126ea1-be91-45df-ba2e-f789e3b41342"/>
    <ds:schemaRef ds:uri="940c15d3-075c-4d38-96df-9b897bf27e7c"/>
    <ds:schemaRef ds:uri="1970f3ff-c7c3-4b73-8f0c-0bc260d15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Madelaine Costello (DJSIR)</cp:lastModifiedBy>
  <cp:revision>2</cp:revision>
  <cp:lastPrinted>2023-10-20T03:25:00Z</cp:lastPrinted>
  <dcterms:created xsi:type="dcterms:W3CDTF">2024-08-22T01:48:00Z</dcterms:created>
  <dcterms:modified xsi:type="dcterms:W3CDTF">2024-08-22T01:48:00Z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0x010100611F6414DFB111E7BA88F9DF1743E317002096AA910C2F8049809D857C7C079AF8</vt:lpwstr>
  </property>
  <property fmtid="{D5CDD505-2E9C-101B-9397-08002B2CF9AE}" pid="3" name="GrammarlyDocumentId">
    <vt:lpwstr>bff4b680-2475-43ad-832f-62afc0d55732</vt:lpwstr>
  </property>
  <property fmtid="{D5CDD505-2E9C-101B-9397-08002B2CF9AE}" pid="4" name="MediaServiceImageTags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2024-04-08T03:48:28Z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f9ad8428-2c6a-4c00-99e1-611005dc706e</vt:lpwstr>
  </property>
  <property fmtid="{D5CDD505-2E9C-101B-9397-08002B2CF9AE}" pid="11" name="MSIP_Label_d00a4df9-c942-4b09-b23a-6c1023f6de27_ContentBits">
    <vt:lpwstr>3</vt:lpwstr>
  </property>
</Properties>
</file>