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F4E31" w14:textId="77777777" w:rsidR="00E112D0" w:rsidRDefault="00E112D0" w:rsidP="00E112D0">
      <w:r>
        <w:rPr>
          <w:noProof/>
        </w:rPr>
        <w:drawing>
          <wp:inline distT="0" distB="0" distL="0" distR="0" wp14:anchorId="06AA846D" wp14:editId="476BEE9D">
            <wp:extent cx="1447800" cy="828407"/>
            <wp:effectExtent l="0" t="0" r="0" b="0"/>
            <wp:docPr id="1500179518" name="Graphic 1" descr="Victorian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79518" name="Graphic 1" descr="Victorian State Government logo"/>
                    <pic:cNvPicPr/>
                  </pic:nvPicPr>
                  <pic:blipFill>
                    <a:blip r:embed="rId11"/>
                    <a:stretch>
                      <a:fillRect/>
                    </a:stretch>
                  </pic:blipFill>
                  <pic:spPr>
                    <a:xfrm>
                      <a:off x="0" y="0"/>
                      <a:ext cx="1457724" cy="834086"/>
                    </a:xfrm>
                    <a:prstGeom prst="rect">
                      <a:avLst/>
                    </a:prstGeom>
                  </pic:spPr>
                </pic:pic>
              </a:graphicData>
            </a:graphic>
          </wp:inline>
        </w:drawing>
      </w:r>
    </w:p>
    <w:p w14:paraId="7CE79418" w14:textId="242DD85A" w:rsidR="007745BF" w:rsidRPr="007745BF" w:rsidRDefault="007745BF" w:rsidP="007745BF">
      <w:pPr>
        <w:pStyle w:val="Title"/>
      </w:pPr>
      <w:r w:rsidRPr="007745BF">
        <w:t>The Sustainable Data Centre Action Plan</w:t>
      </w:r>
    </w:p>
    <w:p w14:paraId="5B2965FC" w14:textId="77777777" w:rsidR="007745BF" w:rsidRPr="007745BF" w:rsidRDefault="007745BF" w:rsidP="007745BF">
      <w:pPr>
        <w:pStyle w:val="Subtitle"/>
        <w:rPr>
          <w:lang w:val="en-GB"/>
        </w:rPr>
      </w:pPr>
      <w:bookmarkStart w:id="0" w:name="_Toc241570390"/>
      <w:r w:rsidRPr="007745BF">
        <w:rPr>
          <w:lang w:val="en-GB"/>
        </w:rPr>
        <w:t xml:space="preserve">Providing </w:t>
      </w:r>
      <w:r w:rsidRPr="007745BF">
        <w:t>certainty</w:t>
      </w:r>
      <w:r w:rsidRPr="007745BF">
        <w:rPr>
          <w:lang w:val="en-GB"/>
        </w:rPr>
        <w:t xml:space="preserve"> for business and community</w:t>
      </w:r>
      <w:bookmarkEnd w:id="0"/>
    </w:p>
    <w:p w14:paraId="5E3A6BC2" w14:textId="77777777" w:rsidR="007745BF" w:rsidRPr="007745BF" w:rsidRDefault="007745BF" w:rsidP="007745BF">
      <w:pPr>
        <w:pStyle w:val="Heading1"/>
        <w:rPr>
          <w:lang w:val="en-GB"/>
        </w:rPr>
      </w:pPr>
      <w:bookmarkStart w:id="1" w:name="_Toc241570391"/>
      <w:r w:rsidRPr="007745BF">
        <w:rPr>
          <w:lang w:val="en-GB"/>
        </w:rPr>
        <w:lastRenderedPageBreak/>
        <w:t>Acknowledgement</w:t>
      </w:r>
      <w:bookmarkEnd w:id="1"/>
    </w:p>
    <w:p w14:paraId="0244CAF2" w14:textId="77777777" w:rsidR="007745BF" w:rsidRPr="007745BF" w:rsidRDefault="007745BF" w:rsidP="007745BF">
      <w:pPr>
        <w:rPr>
          <w:lang w:val="en-GB"/>
        </w:rPr>
      </w:pPr>
      <w:r w:rsidRPr="007745BF">
        <w:rPr>
          <w:lang w:val="en-GB"/>
        </w:rPr>
        <w:t>We acknowledge and respect the Traditional Owners of Country throughout Victoria, their ongoing connection to lands and waterways upon which we depend, and we pay respects to their culture and their Elders past, present, and future.</w:t>
      </w:r>
    </w:p>
    <w:p w14:paraId="242A54BF" w14:textId="77777777" w:rsidR="007745BF" w:rsidRPr="007745BF" w:rsidRDefault="007745BF" w:rsidP="007745BF">
      <w:pPr>
        <w:rPr>
          <w:lang w:val="en-GB"/>
        </w:rPr>
      </w:pPr>
      <w:r w:rsidRPr="007745BF">
        <w:rPr>
          <w:lang w:val="en-GB"/>
        </w:rPr>
        <w:t>We acknowledge that Aboriginal self</w:t>
      </w:r>
      <w:r w:rsidRPr="007745BF">
        <w:rPr>
          <w:rFonts w:ascii="Cambria Math" w:hAnsi="Cambria Math" w:cs="Cambria Math"/>
          <w:lang w:val="en-GB"/>
        </w:rPr>
        <w:t>‑</w:t>
      </w:r>
      <w:r w:rsidRPr="007745BF">
        <w:rPr>
          <w:lang w:val="en-GB"/>
        </w:rPr>
        <w:t xml:space="preserve">determination is a human right enshrined in the United Nations Declaration on the Rights of Indigenous Peoples, and we are committed to working towards social, economic, and cultural equity for First Peoples living in Victoria. </w:t>
      </w:r>
    </w:p>
    <w:p w14:paraId="0701EB06" w14:textId="77777777" w:rsidR="007745BF" w:rsidRPr="007745BF" w:rsidRDefault="007745BF" w:rsidP="007745BF">
      <w:pPr>
        <w:rPr>
          <w:lang w:val="en-GB"/>
        </w:rPr>
      </w:pPr>
      <w:r w:rsidRPr="007745BF">
        <w:rPr>
          <w:lang w:val="en-GB"/>
        </w:rPr>
        <w:t>We acknowledge the diversity of First Peoples, and we acknowledge all other First Peoples living in Victoria.</w:t>
      </w:r>
    </w:p>
    <w:p w14:paraId="6FA2022B" w14:textId="0A3FC742" w:rsidR="007745BF" w:rsidRPr="007745BF" w:rsidRDefault="007745BF" w:rsidP="007745BF">
      <w:pPr>
        <w:rPr>
          <w:lang w:val="en-GB"/>
        </w:rPr>
      </w:pPr>
      <w:r w:rsidRPr="007745BF">
        <w:rPr>
          <w:lang w:val="en-GB"/>
        </w:rPr>
        <w:t>Authorised and published by the Victorian Government, 1 Treasury Place</w:t>
      </w:r>
      <w:r>
        <w:rPr>
          <w:lang w:val="en-GB"/>
        </w:rPr>
        <w:t xml:space="preserve">, </w:t>
      </w:r>
      <w:r w:rsidRPr="007745BF">
        <w:rPr>
          <w:lang w:val="en-GB"/>
        </w:rPr>
        <w:t>Melbourne VIC 3000</w:t>
      </w:r>
    </w:p>
    <w:p w14:paraId="353A2648" w14:textId="77777777" w:rsidR="007745BF" w:rsidRPr="007745BF" w:rsidRDefault="007745BF" w:rsidP="007745BF">
      <w:pPr>
        <w:rPr>
          <w:lang w:val="en-GB"/>
        </w:rPr>
      </w:pPr>
      <w:r w:rsidRPr="007745BF">
        <w:rPr>
          <w:lang w:val="en-GB"/>
        </w:rPr>
        <w:t>Department of Jobs, Skills, Industry and Regions121 Exhibition Street, Melbourne VIC 3000</w:t>
      </w:r>
    </w:p>
    <w:p w14:paraId="12DB58F9" w14:textId="77777777" w:rsidR="007745BF" w:rsidRPr="007745BF" w:rsidRDefault="007745BF" w:rsidP="007745BF">
      <w:pPr>
        <w:rPr>
          <w:lang w:val="en-GB"/>
        </w:rPr>
      </w:pPr>
      <w:r w:rsidRPr="007745BF">
        <w:rPr>
          <w:lang w:val="en-GB"/>
        </w:rPr>
        <w:t>© State of Victoria, September 2026</w:t>
      </w:r>
    </w:p>
    <w:p w14:paraId="03F10082" w14:textId="77777777" w:rsidR="007745BF" w:rsidRPr="007745BF" w:rsidRDefault="007745BF" w:rsidP="007745BF">
      <w:pPr>
        <w:rPr>
          <w:lang w:val="en-GB"/>
        </w:rPr>
      </w:pPr>
      <w:r w:rsidRPr="007745BF">
        <w:rPr>
          <w:lang w:val="en-GB"/>
        </w:rPr>
        <w:t>Unless indicated otherwise, this work is made available under the terms of the Creative Commons Attribution 3.0 Australia Licence.</w:t>
      </w:r>
    </w:p>
    <w:p w14:paraId="4FAD299B" w14:textId="77777777" w:rsidR="007745BF" w:rsidRPr="007745BF" w:rsidRDefault="007745BF" w:rsidP="007745BF">
      <w:pPr>
        <w:rPr>
          <w:lang w:val="en-GB"/>
        </w:rPr>
      </w:pPr>
      <w:r w:rsidRPr="007745BF">
        <w:rPr>
          <w:b/>
          <w:bCs/>
          <w:lang w:val="en-GB"/>
        </w:rPr>
        <w:t xml:space="preserve">ISBN </w:t>
      </w:r>
      <w:r w:rsidRPr="007745BF">
        <w:rPr>
          <w:lang w:val="en-GB"/>
        </w:rPr>
        <w:t xml:space="preserve">978-1-76090-716-7 </w:t>
      </w:r>
      <w:r w:rsidRPr="007745BF">
        <w:rPr>
          <w:b/>
          <w:bCs/>
          <w:lang w:val="en-GB"/>
        </w:rPr>
        <w:t>(pdf/online/MS word)</w:t>
      </w:r>
    </w:p>
    <w:p w14:paraId="412209DB" w14:textId="77777777" w:rsidR="007745BF" w:rsidRPr="007745BF" w:rsidRDefault="007745BF" w:rsidP="007745BF">
      <w:pPr>
        <w:rPr>
          <w:lang w:val="en-GB"/>
        </w:rPr>
      </w:pPr>
      <w:r w:rsidRPr="007745BF">
        <w:rPr>
          <w:lang w:val="en-GB"/>
        </w:rPr>
        <w:t xml:space="preserve">To view a copy of this licence, visit </w:t>
      </w:r>
      <w:hyperlink r:id="rId12" w:history="1">
        <w:r w:rsidRPr="007745BF">
          <w:rPr>
            <w:rStyle w:val="Hyperlink"/>
            <w:lang w:val="en-GB"/>
          </w:rPr>
          <w:t>creativecommons.org/licenses/by/3.0/au</w:t>
        </w:r>
      </w:hyperlink>
    </w:p>
    <w:p w14:paraId="51E0FBA3" w14:textId="77777777" w:rsidR="007745BF" w:rsidRPr="007745BF" w:rsidRDefault="007745BF" w:rsidP="007745BF">
      <w:pPr>
        <w:rPr>
          <w:lang w:val="en-GB"/>
        </w:rPr>
      </w:pPr>
      <w:r w:rsidRPr="007745BF">
        <w:rPr>
          <w:lang w:val="en-GB"/>
        </w:rPr>
        <w:t>It is a condition of this Creative Commons Attribution 3.0 Licence that you must give credit to the original author who is the State of Victoria.</w:t>
      </w:r>
    </w:p>
    <w:p w14:paraId="3F227754" w14:textId="48717B3A" w:rsidR="007745BF" w:rsidRPr="007745BF" w:rsidRDefault="007745BF" w:rsidP="007745BF">
      <w:pPr>
        <w:rPr>
          <w:lang w:val="en-GB"/>
        </w:rPr>
      </w:pPr>
      <w:r w:rsidRPr="007745BF">
        <w:rPr>
          <w:lang w:val="en-GB"/>
        </w:rPr>
        <w:t>Accessibility: If you would like to receive this publication in an accessible format, such as large print or audio, telephone 1800 878 969 or email</w:t>
      </w:r>
      <w:r>
        <w:rPr>
          <w:lang w:val="en-GB"/>
        </w:rPr>
        <w:t xml:space="preserve"> </w:t>
      </w:r>
      <w:hyperlink r:id="rId13" w:history="1">
        <w:r w:rsidRPr="006F3077">
          <w:rPr>
            <w:rStyle w:val="Hyperlink"/>
            <w:lang w:val="en-GB"/>
          </w:rPr>
          <w:t>customer.contact@ecodev.vic.gov.au</w:t>
        </w:r>
      </w:hyperlink>
      <w:r w:rsidRPr="007745BF">
        <w:rPr>
          <w:lang w:val="en-GB"/>
        </w:rPr>
        <w:t>.</w:t>
      </w:r>
    </w:p>
    <w:p w14:paraId="6E21B522" w14:textId="32BABEB5" w:rsidR="007745BF" w:rsidRDefault="007745BF" w:rsidP="007745BF">
      <w:pPr>
        <w:rPr>
          <w:lang w:val="en-GB"/>
        </w:rPr>
      </w:pPr>
      <w:r w:rsidRPr="007745BF">
        <w:rPr>
          <w:lang w:val="en-GB"/>
        </w:rPr>
        <w:t xml:space="preserve">This document is also available in PDF format at </w:t>
      </w:r>
      <w:hyperlink r:id="rId14" w:history="1">
        <w:r w:rsidRPr="007745BF">
          <w:rPr>
            <w:rStyle w:val="Hyperlink"/>
            <w:lang w:val="en-GB"/>
          </w:rPr>
          <w:t>djsir.vic.gov.au</w:t>
        </w:r>
      </w:hyperlink>
      <w:r w:rsidRPr="007745BF">
        <w:rPr>
          <w:lang w:val="en-GB"/>
        </w:rPr>
        <w:t>.</w:t>
      </w:r>
    </w:p>
    <w:p w14:paraId="256C7A1C" w14:textId="08CCE974" w:rsidR="00871F5D" w:rsidRPr="00871F5D" w:rsidRDefault="00871F5D" w:rsidP="00871F5D">
      <w:pPr>
        <w:pStyle w:val="Heading1"/>
        <w:rPr>
          <w:lang w:val="en-GB"/>
        </w:rPr>
      </w:pPr>
      <w:bookmarkStart w:id="2" w:name="_Toc241570392"/>
      <w:r>
        <w:rPr>
          <w:lang w:val="en-GB"/>
        </w:rPr>
        <w:lastRenderedPageBreak/>
        <w:t>Contents</w:t>
      </w:r>
      <w:bookmarkEnd w:id="2"/>
      <w:r>
        <w:rPr>
          <w:lang w:val="en-GB"/>
        </w:rPr>
        <w:fldChar w:fldCharType="begin"/>
      </w:r>
      <w:r>
        <w:rPr>
          <w:lang w:val="en-GB"/>
        </w:rPr>
        <w:instrText xml:space="preserve"> TOC \o "1-3" \h \z \u </w:instrText>
      </w:r>
      <w:r>
        <w:rPr>
          <w:lang w:val="en-GB"/>
        </w:rPr>
        <w:fldChar w:fldCharType="separate"/>
      </w:r>
    </w:p>
    <w:p w14:paraId="4D954EBA" w14:textId="2EFE62E9" w:rsidR="00871F5D" w:rsidRDefault="00871F5D">
      <w:pPr>
        <w:pStyle w:val="TOC1"/>
        <w:tabs>
          <w:tab w:val="right" w:leader="dot" w:pos="9628"/>
        </w:tabs>
        <w:rPr>
          <w:rFonts w:asciiTheme="minorHAnsi" w:eastAsiaTheme="minorEastAsia" w:hAnsiTheme="minorHAnsi" w:cstheme="minorBidi"/>
          <w:b w:val="0"/>
          <w:noProof/>
          <w:kern w:val="2"/>
          <w:szCs w:val="24"/>
          <w:lang w:eastAsia="en-GB"/>
          <w14:ligatures w14:val="standardContextual"/>
        </w:rPr>
      </w:pPr>
      <w:hyperlink w:anchor="_Toc241570393" w:history="1">
        <w:r w:rsidRPr="003603B2">
          <w:rPr>
            <w:rStyle w:val="Hyperlink"/>
            <w:noProof/>
            <w:lang w:val="en-GB"/>
          </w:rPr>
          <w:t xml:space="preserve">A message </w:t>
        </w:r>
        <w:r w:rsidRPr="003603B2">
          <w:rPr>
            <w:rStyle w:val="Hyperlink"/>
            <w:noProof/>
          </w:rPr>
          <w:t>from</w:t>
        </w:r>
        <w:r w:rsidRPr="003603B2">
          <w:rPr>
            <w:rStyle w:val="Hyperlink"/>
            <w:noProof/>
            <w:lang w:val="en-GB"/>
          </w:rPr>
          <w:t xml:space="preserve"> the Minister</w:t>
        </w:r>
        <w:r>
          <w:rPr>
            <w:noProof/>
            <w:webHidden/>
          </w:rPr>
          <w:tab/>
        </w:r>
        <w:r>
          <w:rPr>
            <w:noProof/>
            <w:webHidden/>
          </w:rPr>
          <w:fldChar w:fldCharType="begin"/>
        </w:r>
        <w:r>
          <w:rPr>
            <w:noProof/>
            <w:webHidden/>
          </w:rPr>
          <w:instrText xml:space="preserve"> PAGEREF _Toc241570393 \h </w:instrText>
        </w:r>
        <w:r>
          <w:rPr>
            <w:noProof/>
            <w:webHidden/>
          </w:rPr>
        </w:r>
        <w:r>
          <w:rPr>
            <w:noProof/>
            <w:webHidden/>
          </w:rPr>
          <w:fldChar w:fldCharType="separate"/>
        </w:r>
        <w:r>
          <w:rPr>
            <w:noProof/>
            <w:webHidden/>
          </w:rPr>
          <w:t>4</w:t>
        </w:r>
        <w:r>
          <w:rPr>
            <w:noProof/>
            <w:webHidden/>
          </w:rPr>
          <w:fldChar w:fldCharType="end"/>
        </w:r>
      </w:hyperlink>
    </w:p>
    <w:p w14:paraId="73FA0524" w14:textId="6267A695" w:rsidR="00871F5D" w:rsidRDefault="00871F5D">
      <w:pPr>
        <w:pStyle w:val="TOC2"/>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394" w:history="1">
        <w:r w:rsidRPr="003603B2">
          <w:rPr>
            <w:rStyle w:val="Hyperlink"/>
            <w:noProof/>
            <w:lang w:val="en-GB"/>
          </w:rPr>
          <w:t>Victoria Welcomes Responsible Data Centre Investment</w:t>
        </w:r>
        <w:r>
          <w:rPr>
            <w:noProof/>
            <w:webHidden/>
          </w:rPr>
          <w:tab/>
        </w:r>
        <w:r>
          <w:rPr>
            <w:noProof/>
            <w:webHidden/>
          </w:rPr>
          <w:fldChar w:fldCharType="begin"/>
        </w:r>
        <w:r>
          <w:rPr>
            <w:noProof/>
            <w:webHidden/>
          </w:rPr>
          <w:instrText xml:space="preserve"> PAGEREF _Toc241570394 \h </w:instrText>
        </w:r>
        <w:r>
          <w:rPr>
            <w:noProof/>
            <w:webHidden/>
          </w:rPr>
        </w:r>
        <w:r>
          <w:rPr>
            <w:noProof/>
            <w:webHidden/>
          </w:rPr>
          <w:fldChar w:fldCharType="separate"/>
        </w:r>
        <w:r>
          <w:rPr>
            <w:noProof/>
            <w:webHidden/>
          </w:rPr>
          <w:t>4</w:t>
        </w:r>
        <w:r>
          <w:rPr>
            <w:noProof/>
            <w:webHidden/>
          </w:rPr>
          <w:fldChar w:fldCharType="end"/>
        </w:r>
      </w:hyperlink>
    </w:p>
    <w:p w14:paraId="59A43288" w14:textId="55540B36" w:rsidR="00871F5D" w:rsidRDefault="00871F5D">
      <w:pPr>
        <w:pStyle w:val="TOC1"/>
        <w:tabs>
          <w:tab w:val="left" w:pos="600"/>
          <w:tab w:val="right" w:leader="dot" w:pos="9628"/>
        </w:tabs>
        <w:rPr>
          <w:rFonts w:asciiTheme="minorHAnsi" w:eastAsiaTheme="minorEastAsia" w:hAnsiTheme="minorHAnsi" w:cstheme="minorBidi"/>
          <w:b w:val="0"/>
          <w:noProof/>
          <w:kern w:val="2"/>
          <w:szCs w:val="24"/>
          <w:lang w:eastAsia="en-GB"/>
          <w14:ligatures w14:val="standardContextual"/>
        </w:rPr>
      </w:pPr>
      <w:hyperlink w:anchor="_Toc241570395" w:history="1">
        <w:r w:rsidRPr="003603B2">
          <w:rPr>
            <w:rStyle w:val="Hyperlink"/>
            <w:noProof/>
            <w:lang w:val="en-GB"/>
          </w:rPr>
          <w:t>1.</w:t>
        </w:r>
        <w:r>
          <w:rPr>
            <w:rFonts w:asciiTheme="minorHAnsi" w:eastAsiaTheme="minorEastAsia" w:hAnsiTheme="minorHAnsi" w:cstheme="minorBidi"/>
            <w:b w:val="0"/>
            <w:noProof/>
            <w:kern w:val="2"/>
            <w:szCs w:val="24"/>
            <w:lang w:eastAsia="en-GB"/>
            <w14:ligatures w14:val="standardContextual"/>
          </w:rPr>
          <w:tab/>
        </w:r>
        <w:r w:rsidRPr="003603B2">
          <w:rPr>
            <w:rStyle w:val="Hyperlink"/>
            <w:noProof/>
            <w:lang w:val="en-GB"/>
          </w:rPr>
          <w:t>Overview and Approach</w:t>
        </w:r>
        <w:r>
          <w:rPr>
            <w:noProof/>
            <w:webHidden/>
          </w:rPr>
          <w:tab/>
        </w:r>
        <w:r>
          <w:rPr>
            <w:noProof/>
            <w:webHidden/>
          </w:rPr>
          <w:fldChar w:fldCharType="begin"/>
        </w:r>
        <w:r>
          <w:rPr>
            <w:noProof/>
            <w:webHidden/>
          </w:rPr>
          <w:instrText xml:space="preserve"> PAGEREF _Toc241570395 \h </w:instrText>
        </w:r>
        <w:r>
          <w:rPr>
            <w:noProof/>
            <w:webHidden/>
          </w:rPr>
        </w:r>
        <w:r>
          <w:rPr>
            <w:noProof/>
            <w:webHidden/>
          </w:rPr>
          <w:fldChar w:fldCharType="separate"/>
        </w:r>
        <w:r>
          <w:rPr>
            <w:noProof/>
            <w:webHidden/>
          </w:rPr>
          <w:t>5</w:t>
        </w:r>
        <w:r>
          <w:rPr>
            <w:noProof/>
            <w:webHidden/>
          </w:rPr>
          <w:fldChar w:fldCharType="end"/>
        </w:r>
      </w:hyperlink>
    </w:p>
    <w:p w14:paraId="0B33805F" w14:textId="4C53D8EB" w:rsidR="00871F5D" w:rsidRDefault="00871F5D">
      <w:pPr>
        <w:pStyle w:val="TOC1"/>
        <w:tabs>
          <w:tab w:val="left" w:pos="600"/>
          <w:tab w:val="right" w:leader="dot" w:pos="9628"/>
        </w:tabs>
        <w:rPr>
          <w:rFonts w:asciiTheme="minorHAnsi" w:eastAsiaTheme="minorEastAsia" w:hAnsiTheme="minorHAnsi" w:cstheme="minorBidi"/>
          <w:b w:val="0"/>
          <w:noProof/>
          <w:kern w:val="2"/>
          <w:szCs w:val="24"/>
          <w:lang w:eastAsia="en-GB"/>
          <w14:ligatures w14:val="standardContextual"/>
        </w:rPr>
      </w:pPr>
      <w:hyperlink w:anchor="_Toc241570396" w:history="1">
        <w:r w:rsidRPr="003603B2">
          <w:rPr>
            <w:rStyle w:val="Hyperlink"/>
            <w:noProof/>
            <w:lang w:val="en-GB"/>
          </w:rPr>
          <w:t>2.</w:t>
        </w:r>
        <w:r>
          <w:rPr>
            <w:rFonts w:asciiTheme="minorHAnsi" w:eastAsiaTheme="minorEastAsia" w:hAnsiTheme="minorHAnsi" w:cstheme="minorBidi"/>
            <w:b w:val="0"/>
            <w:noProof/>
            <w:kern w:val="2"/>
            <w:szCs w:val="24"/>
            <w:lang w:eastAsia="en-GB"/>
            <w14:ligatures w14:val="standardContextual"/>
          </w:rPr>
          <w:tab/>
        </w:r>
        <w:r w:rsidRPr="003603B2">
          <w:rPr>
            <w:rStyle w:val="Hyperlink"/>
            <w:noProof/>
            <w:lang w:val="en-GB"/>
          </w:rPr>
          <w:t>Data Centre Investment, Operation and Resource Use in Victoria</w:t>
        </w:r>
        <w:r>
          <w:rPr>
            <w:noProof/>
            <w:webHidden/>
          </w:rPr>
          <w:tab/>
        </w:r>
        <w:r>
          <w:rPr>
            <w:noProof/>
            <w:webHidden/>
          </w:rPr>
          <w:fldChar w:fldCharType="begin"/>
        </w:r>
        <w:r>
          <w:rPr>
            <w:noProof/>
            <w:webHidden/>
          </w:rPr>
          <w:instrText xml:space="preserve"> PAGEREF _Toc241570396 \h </w:instrText>
        </w:r>
        <w:r>
          <w:rPr>
            <w:noProof/>
            <w:webHidden/>
          </w:rPr>
        </w:r>
        <w:r>
          <w:rPr>
            <w:noProof/>
            <w:webHidden/>
          </w:rPr>
          <w:fldChar w:fldCharType="separate"/>
        </w:r>
        <w:r>
          <w:rPr>
            <w:noProof/>
            <w:webHidden/>
          </w:rPr>
          <w:t>6</w:t>
        </w:r>
        <w:r>
          <w:rPr>
            <w:noProof/>
            <w:webHidden/>
          </w:rPr>
          <w:fldChar w:fldCharType="end"/>
        </w:r>
      </w:hyperlink>
    </w:p>
    <w:p w14:paraId="51D084BE" w14:textId="1BB69EC6" w:rsidR="00871F5D" w:rsidRDefault="00871F5D">
      <w:pPr>
        <w:pStyle w:val="TOC2"/>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397" w:history="1">
        <w:r w:rsidRPr="003603B2">
          <w:rPr>
            <w:rStyle w:val="Hyperlink"/>
            <w:noProof/>
            <w:lang w:val="en-GB"/>
          </w:rPr>
          <w:t>Where Victoria’s settings already differ</w:t>
        </w:r>
        <w:r>
          <w:rPr>
            <w:noProof/>
            <w:webHidden/>
          </w:rPr>
          <w:tab/>
        </w:r>
        <w:r>
          <w:rPr>
            <w:noProof/>
            <w:webHidden/>
          </w:rPr>
          <w:fldChar w:fldCharType="begin"/>
        </w:r>
        <w:r>
          <w:rPr>
            <w:noProof/>
            <w:webHidden/>
          </w:rPr>
          <w:instrText xml:space="preserve"> PAGEREF _Toc241570397 \h </w:instrText>
        </w:r>
        <w:r>
          <w:rPr>
            <w:noProof/>
            <w:webHidden/>
          </w:rPr>
        </w:r>
        <w:r>
          <w:rPr>
            <w:noProof/>
            <w:webHidden/>
          </w:rPr>
          <w:fldChar w:fldCharType="separate"/>
        </w:r>
        <w:r>
          <w:rPr>
            <w:noProof/>
            <w:webHidden/>
          </w:rPr>
          <w:t>6</w:t>
        </w:r>
        <w:r>
          <w:rPr>
            <w:noProof/>
            <w:webHidden/>
          </w:rPr>
          <w:fldChar w:fldCharType="end"/>
        </w:r>
      </w:hyperlink>
    </w:p>
    <w:p w14:paraId="47814AC2" w14:textId="3B32B1FD" w:rsidR="00871F5D" w:rsidRDefault="00871F5D">
      <w:pPr>
        <w:pStyle w:val="TOC1"/>
        <w:tabs>
          <w:tab w:val="left" w:pos="600"/>
          <w:tab w:val="right" w:leader="dot" w:pos="9628"/>
        </w:tabs>
        <w:rPr>
          <w:rFonts w:asciiTheme="minorHAnsi" w:eastAsiaTheme="minorEastAsia" w:hAnsiTheme="minorHAnsi" w:cstheme="minorBidi"/>
          <w:b w:val="0"/>
          <w:noProof/>
          <w:kern w:val="2"/>
          <w:szCs w:val="24"/>
          <w:lang w:eastAsia="en-GB"/>
          <w14:ligatures w14:val="standardContextual"/>
        </w:rPr>
      </w:pPr>
      <w:hyperlink w:anchor="_Toc241570398" w:history="1">
        <w:r w:rsidRPr="003603B2">
          <w:rPr>
            <w:rStyle w:val="Hyperlink"/>
            <w:noProof/>
            <w:lang w:val="en-GB"/>
          </w:rPr>
          <w:t>3.</w:t>
        </w:r>
        <w:r>
          <w:rPr>
            <w:rFonts w:asciiTheme="minorHAnsi" w:eastAsiaTheme="minorEastAsia" w:hAnsiTheme="minorHAnsi" w:cstheme="minorBidi"/>
            <w:b w:val="0"/>
            <w:noProof/>
            <w:kern w:val="2"/>
            <w:szCs w:val="24"/>
            <w:lang w:eastAsia="en-GB"/>
            <w14:ligatures w14:val="standardContextual"/>
          </w:rPr>
          <w:tab/>
        </w:r>
        <w:r w:rsidRPr="003603B2">
          <w:rPr>
            <w:rStyle w:val="Hyperlink"/>
            <w:noProof/>
            <w:lang w:val="en-GB"/>
          </w:rPr>
          <w:t>Clear Requirements and Transparent Assistance</w:t>
        </w:r>
        <w:r>
          <w:rPr>
            <w:noProof/>
            <w:webHidden/>
          </w:rPr>
          <w:tab/>
        </w:r>
        <w:r>
          <w:rPr>
            <w:noProof/>
            <w:webHidden/>
          </w:rPr>
          <w:fldChar w:fldCharType="begin"/>
        </w:r>
        <w:r>
          <w:rPr>
            <w:noProof/>
            <w:webHidden/>
          </w:rPr>
          <w:instrText xml:space="preserve"> PAGEREF _Toc241570398 \h </w:instrText>
        </w:r>
        <w:r>
          <w:rPr>
            <w:noProof/>
            <w:webHidden/>
          </w:rPr>
        </w:r>
        <w:r>
          <w:rPr>
            <w:noProof/>
            <w:webHidden/>
          </w:rPr>
          <w:fldChar w:fldCharType="separate"/>
        </w:r>
        <w:r>
          <w:rPr>
            <w:noProof/>
            <w:webHidden/>
          </w:rPr>
          <w:t>8</w:t>
        </w:r>
        <w:r>
          <w:rPr>
            <w:noProof/>
            <w:webHidden/>
          </w:rPr>
          <w:fldChar w:fldCharType="end"/>
        </w:r>
      </w:hyperlink>
    </w:p>
    <w:p w14:paraId="461DD73B" w14:textId="79D300C4" w:rsidR="00871F5D" w:rsidRDefault="00871F5D">
      <w:pPr>
        <w:pStyle w:val="TOC1"/>
        <w:tabs>
          <w:tab w:val="left" w:pos="600"/>
          <w:tab w:val="right" w:leader="dot" w:pos="9628"/>
        </w:tabs>
        <w:rPr>
          <w:rFonts w:asciiTheme="minorHAnsi" w:eastAsiaTheme="minorEastAsia" w:hAnsiTheme="minorHAnsi" w:cstheme="minorBidi"/>
          <w:b w:val="0"/>
          <w:noProof/>
          <w:kern w:val="2"/>
          <w:szCs w:val="24"/>
          <w:lang w:eastAsia="en-GB"/>
          <w14:ligatures w14:val="standardContextual"/>
        </w:rPr>
      </w:pPr>
      <w:hyperlink w:anchor="_Toc241570399" w:history="1">
        <w:r w:rsidRPr="003603B2">
          <w:rPr>
            <w:rStyle w:val="Hyperlink"/>
            <w:noProof/>
            <w:lang w:val="en-GB"/>
          </w:rPr>
          <w:t>4.</w:t>
        </w:r>
        <w:r>
          <w:rPr>
            <w:rFonts w:asciiTheme="minorHAnsi" w:eastAsiaTheme="minorEastAsia" w:hAnsiTheme="minorHAnsi" w:cstheme="minorBidi"/>
            <w:b w:val="0"/>
            <w:noProof/>
            <w:kern w:val="2"/>
            <w:szCs w:val="24"/>
            <w:lang w:eastAsia="en-GB"/>
            <w14:ligatures w14:val="standardContextual"/>
          </w:rPr>
          <w:tab/>
        </w:r>
        <w:r w:rsidRPr="003603B2">
          <w:rPr>
            <w:rStyle w:val="Hyperlink"/>
            <w:noProof/>
            <w:lang w:val="en-GB"/>
          </w:rPr>
          <w:t>Enablers and Requirements</w:t>
        </w:r>
        <w:r>
          <w:rPr>
            <w:noProof/>
            <w:webHidden/>
          </w:rPr>
          <w:tab/>
        </w:r>
        <w:r>
          <w:rPr>
            <w:noProof/>
            <w:webHidden/>
          </w:rPr>
          <w:fldChar w:fldCharType="begin"/>
        </w:r>
        <w:r>
          <w:rPr>
            <w:noProof/>
            <w:webHidden/>
          </w:rPr>
          <w:instrText xml:space="preserve"> PAGEREF _Toc241570399 \h </w:instrText>
        </w:r>
        <w:r>
          <w:rPr>
            <w:noProof/>
            <w:webHidden/>
          </w:rPr>
        </w:r>
        <w:r>
          <w:rPr>
            <w:noProof/>
            <w:webHidden/>
          </w:rPr>
          <w:fldChar w:fldCharType="separate"/>
        </w:r>
        <w:r>
          <w:rPr>
            <w:noProof/>
            <w:webHidden/>
          </w:rPr>
          <w:t>10</w:t>
        </w:r>
        <w:r>
          <w:rPr>
            <w:noProof/>
            <w:webHidden/>
          </w:rPr>
          <w:fldChar w:fldCharType="end"/>
        </w:r>
      </w:hyperlink>
    </w:p>
    <w:p w14:paraId="01D6DBB6" w14:textId="318527AF" w:rsidR="00871F5D" w:rsidRDefault="00871F5D">
      <w:pPr>
        <w:pStyle w:val="TOC2"/>
        <w:tabs>
          <w:tab w:val="left" w:pos="1000"/>
          <w:tab w:val="right" w:leader="dot" w:pos="9628"/>
        </w:tabs>
        <w:rPr>
          <w:rFonts w:asciiTheme="minorHAnsi" w:eastAsiaTheme="minorEastAsia" w:hAnsiTheme="minorHAnsi" w:cstheme="minorBidi"/>
          <w:noProof/>
          <w:kern w:val="2"/>
          <w:szCs w:val="24"/>
          <w:lang w:eastAsia="en-GB"/>
          <w14:ligatures w14:val="standardContextual"/>
        </w:rPr>
      </w:pPr>
      <w:hyperlink w:anchor="_Toc241570400" w:history="1">
        <w:r w:rsidRPr="003603B2">
          <w:rPr>
            <w:rStyle w:val="Hyperlink"/>
            <w:noProof/>
            <w:lang w:val="en-GB"/>
          </w:rPr>
          <w:t>4.1.</w:t>
        </w:r>
        <w:r>
          <w:rPr>
            <w:rFonts w:asciiTheme="minorHAnsi" w:eastAsiaTheme="minorEastAsia" w:hAnsiTheme="minorHAnsi" w:cstheme="minorBidi"/>
            <w:noProof/>
            <w:kern w:val="2"/>
            <w:szCs w:val="24"/>
            <w:lang w:eastAsia="en-GB"/>
            <w14:ligatures w14:val="standardContextual"/>
          </w:rPr>
          <w:tab/>
        </w:r>
        <w:r w:rsidRPr="003603B2">
          <w:rPr>
            <w:rStyle w:val="Hyperlink"/>
            <w:noProof/>
            <w:lang w:val="en-GB"/>
          </w:rPr>
          <w:t>Land Use, Location and Local Impact</w:t>
        </w:r>
        <w:r>
          <w:rPr>
            <w:noProof/>
            <w:webHidden/>
          </w:rPr>
          <w:tab/>
        </w:r>
        <w:r>
          <w:rPr>
            <w:noProof/>
            <w:webHidden/>
          </w:rPr>
          <w:fldChar w:fldCharType="begin"/>
        </w:r>
        <w:r>
          <w:rPr>
            <w:noProof/>
            <w:webHidden/>
          </w:rPr>
          <w:instrText xml:space="preserve"> PAGEREF _Toc241570400 \h </w:instrText>
        </w:r>
        <w:r>
          <w:rPr>
            <w:noProof/>
            <w:webHidden/>
          </w:rPr>
        </w:r>
        <w:r>
          <w:rPr>
            <w:noProof/>
            <w:webHidden/>
          </w:rPr>
          <w:fldChar w:fldCharType="separate"/>
        </w:r>
        <w:r>
          <w:rPr>
            <w:noProof/>
            <w:webHidden/>
          </w:rPr>
          <w:t>10</w:t>
        </w:r>
        <w:r>
          <w:rPr>
            <w:noProof/>
            <w:webHidden/>
          </w:rPr>
          <w:fldChar w:fldCharType="end"/>
        </w:r>
      </w:hyperlink>
    </w:p>
    <w:p w14:paraId="2AB79076" w14:textId="0C5AA6FD"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01" w:history="1">
        <w:r w:rsidRPr="003603B2">
          <w:rPr>
            <w:rStyle w:val="Hyperlink"/>
            <w:noProof/>
            <w:lang w:val="en-GB"/>
          </w:rPr>
          <w:t>Land use definition</w:t>
        </w:r>
        <w:r>
          <w:rPr>
            <w:noProof/>
            <w:webHidden/>
          </w:rPr>
          <w:tab/>
        </w:r>
        <w:r>
          <w:rPr>
            <w:noProof/>
            <w:webHidden/>
          </w:rPr>
          <w:fldChar w:fldCharType="begin"/>
        </w:r>
        <w:r>
          <w:rPr>
            <w:noProof/>
            <w:webHidden/>
          </w:rPr>
          <w:instrText xml:space="preserve"> PAGEREF _Toc241570401 \h </w:instrText>
        </w:r>
        <w:r>
          <w:rPr>
            <w:noProof/>
            <w:webHidden/>
          </w:rPr>
        </w:r>
        <w:r>
          <w:rPr>
            <w:noProof/>
            <w:webHidden/>
          </w:rPr>
          <w:fldChar w:fldCharType="separate"/>
        </w:r>
        <w:r>
          <w:rPr>
            <w:noProof/>
            <w:webHidden/>
          </w:rPr>
          <w:t>10</w:t>
        </w:r>
        <w:r>
          <w:rPr>
            <w:noProof/>
            <w:webHidden/>
          </w:rPr>
          <w:fldChar w:fldCharType="end"/>
        </w:r>
      </w:hyperlink>
    </w:p>
    <w:p w14:paraId="5F2DD350" w14:textId="775C3F98"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02" w:history="1">
        <w:r w:rsidRPr="003603B2">
          <w:rPr>
            <w:rStyle w:val="Hyperlink"/>
            <w:noProof/>
            <w:lang w:val="en-GB"/>
          </w:rPr>
          <w:t>Locational controls</w:t>
        </w:r>
        <w:r>
          <w:rPr>
            <w:noProof/>
            <w:webHidden/>
          </w:rPr>
          <w:tab/>
        </w:r>
        <w:r>
          <w:rPr>
            <w:noProof/>
            <w:webHidden/>
          </w:rPr>
          <w:fldChar w:fldCharType="begin"/>
        </w:r>
        <w:r>
          <w:rPr>
            <w:noProof/>
            <w:webHidden/>
          </w:rPr>
          <w:instrText xml:space="preserve"> PAGEREF _Toc241570402 \h </w:instrText>
        </w:r>
        <w:r>
          <w:rPr>
            <w:noProof/>
            <w:webHidden/>
          </w:rPr>
        </w:r>
        <w:r>
          <w:rPr>
            <w:noProof/>
            <w:webHidden/>
          </w:rPr>
          <w:fldChar w:fldCharType="separate"/>
        </w:r>
        <w:r>
          <w:rPr>
            <w:noProof/>
            <w:webHidden/>
          </w:rPr>
          <w:t>10</w:t>
        </w:r>
        <w:r>
          <w:rPr>
            <w:noProof/>
            <w:webHidden/>
          </w:rPr>
          <w:fldChar w:fldCharType="end"/>
        </w:r>
      </w:hyperlink>
    </w:p>
    <w:p w14:paraId="7C1089BD" w14:textId="17FBB567"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03" w:history="1">
        <w:r w:rsidRPr="003603B2">
          <w:rPr>
            <w:rStyle w:val="Hyperlink"/>
            <w:noProof/>
            <w:lang w:val="en-GB"/>
          </w:rPr>
          <w:t xml:space="preserve">Traffic </w:t>
        </w:r>
        <w:r w:rsidRPr="003603B2">
          <w:rPr>
            <w:rStyle w:val="Hyperlink"/>
            <w:noProof/>
          </w:rPr>
          <w:t>Controls</w:t>
        </w:r>
        <w:r>
          <w:rPr>
            <w:noProof/>
            <w:webHidden/>
          </w:rPr>
          <w:tab/>
        </w:r>
        <w:r>
          <w:rPr>
            <w:noProof/>
            <w:webHidden/>
          </w:rPr>
          <w:fldChar w:fldCharType="begin"/>
        </w:r>
        <w:r>
          <w:rPr>
            <w:noProof/>
            <w:webHidden/>
          </w:rPr>
          <w:instrText xml:space="preserve"> PAGEREF _Toc241570403 \h </w:instrText>
        </w:r>
        <w:r>
          <w:rPr>
            <w:noProof/>
            <w:webHidden/>
          </w:rPr>
        </w:r>
        <w:r>
          <w:rPr>
            <w:noProof/>
            <w:webHidden/>
          </w:rPr>
          <w:fldChar w:fldCharType="separate"/>
        </w:r>
        <w:r>
          <w:rPr>
            <w:noProof/>
            <w:webHidden/>
          </w:rPr>
          <w:t>11</w:t>
        </w:r>
        <w:r>
          <w:rPr>
            <w:noProof/>
            <w:webHidden/>
          </w:rPr>
          <w:fldChar w:fldCharType="end"/>
        </w:r>
      </w:hyperlink>
    </w:p>
    <w:p w14:paraId="21810429" w14:textId="57B822B6"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04" w:history="1">
        <w:r w:rsidRPr="003603B2">
          <w:rPr>
            <w:rStyle w:val="Hyperlink"/>
            <w:noProof/>
            <w:lang w:val="en-GB"/>
          </w:rPr>
          <w:t xml:space="preserve">Planning </w:t>
        </w:r>
        <w:r w:rsidRPr="003603B2">
          <w:rPr>
            <w:rStyle w:val="Hyperlink"/>
            <w:noProof/>
          </w:rPr>
          <w:t>Assessment</w:t>
        </w:r>
        <w:r w:rsidRPr="003603B2">
          <w:rPr>
            <w:rStyle w:val="Hyperlink"/>
            <w:noProof/>
            <w:lang w:val="en-GB"/>
          </w:rPr>
          <w:t xml:space="preserve"> and Notification Framework</w:t>
        </w:r>
        <w:r>
          <w:rPr>
            <w:noProof/>
            <w:webHidden/>
          </w:rPr>
          <w:tab/>
        </w:r>
        <w:r>
          <w:rPr>
            <w:noProof/>
            <w:webHidden/>
          </w:rPr>
          <w:fldChar w:fldCharType="begin"/>
        </w:r>
        <w:r>
          <w:rPr>
            <w:noProof/>
            <w:webHidden/>
          </w:rPr>
          <w:instrText xml:space="preserve"> PAGEREF _Toc241570404 \h </w:instrText>
        </w:r>
        <w:r>
          <w:rPr>
            <w:noProof/>
            <w:webHidden/>
          </w:rPr>
        </w:r>
        <w:r>
          <w:rPr>
            <w:noProof/>
            <w:webHidden/>
          </w:rPr>
          <w:fldChar w:fldCharType="separate"/>
        </w:r>
        <w:r>
          <w:rPr>
            <w:noProof/>
            <w:webHidden/>
          </w:rPr>
          <w:t>11</w:t>
        </w:r>
        <w:r>
          <w:rPr>
            <w:noProof/>
            <w:webHidden/>
          </w:rPr>
          <w:fldChar w:fldCharType="end"/>
        </w:r>
      </w:hyperlink>
    </w:p>
    <w:p w14:paraId="6D894CF8" w14:textId="2069AB5F"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05" w:history="1">
        <w:r w:rsidRPr="003603B2">
          <w:rPr>
            <w:rStyle w:val="Hyperlink"/>
            <w:noProof/>
            <w:lang w:val="en-GB"/>
          </w:rPr>
          <w:t>Noise, back-up generation, fire/electrical safety and construction</w:t>
        </w:r>
        <w:r>
          <w:rPr>
            <w:noProof/>
            <w:webHidden/>
          </w:rPr>
          <w:tab/>
        </w:r>
        <w:r>
          <w:rPr>
            <w:noProof/>
            <w:webHidden/>
          </w:rPr>
          <w:fldChar w:fldCharType="begin"/>
        </w:r>
        <w:r>
          <w:rPr>
            <w:noProof/>
            <w:webHidden/>
          </w:rPr>
          <w:instrText xml:space="preserve"> PAGEREF _Toc241570405 \h </w:instrText>
        </w:r>
        <w:r>
          <w:rPr>
            <w:noProof/>
            <w:webHidden/>
          </w:rPr>
        </w:r>
        <w:r>
          <w:rPr>
            <w:noProof/>
            <w:webHidden/>
          </w:rPr>
          <w:fldChar w:fldCharType="separate"/>
        </w:r>
        <w:r>
          <w:rPr>
            <w:noProof/>
            <w:webHidden/>
          </w:rPr>
          <w:t>12</w:t>
        </w:r>
        <w:r>
          <w:rPr>
            <w:noProof/>
            <w:webHidden/>
          </w:rPr>
          <w:fldChar w:fldCharType="end"/>
        </w:r>
      </w:hyperlink>
    </w:p>
    <w:p w14:paraId="475AA926" w14:textId="7FD3E442"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06" w:history="1">
        <w:r w:rsidRPr="003603B2">
          <w:rPr>
            <w:rStyle w:val="Hyperlink"/>
            <w:noProof/>
            <w:lang w:val="en-GB"/>
          </w:rPr>
          <w:t>Community, First Peoples and environment</w:t>
        </w:r>
        <w:r>
          <w:rPr>
            <w:noProof/>
            <w:webHidden/>
          </w:rPr>
          <w:tab/>
        </w:r>
        <w:r>
          <w:rPr>
            <w:noProof/>
            <w:webHidden/>
          </w:rPr>
          <w:fldChar w:fldCharType="begin"/>
        </w:r>
        <w:r>
          <w:rPr>
            <w:noProof/>
            <w:webHidden/>
          </w:rPr>
          <w:instrText xml:space="preserve"> PAGEREF _Toc241570406 \h </w:instrText>
        </w:r>
        <w:r>
          <w:rPr>
            <w:noProof/>
            <w:webHidden/>
          </w:rPr>
        </w:r>
        <w:r>
          <w:rPr>
            <w:noProof/>
            <w:webHidden/>
          </w:rPr>
          <w:fldChar w:fldCharType="separate"/>
        </w:r>
        <w:r>
          <w:rPr>
            <w:noProof/>
            <w:webHidden/>
          </w:rPr>
          <w:t>13</w:t>
        </w:r>
        <w:r>
          <w:rPr>
            <w:noProof/>
            <w:webHidden/>
          </w:rPr>
          <w:fldChar w:fldCharType="end"/>
        </w:r>
      </w:hyperlink>
    </w:p>
    <w:p w14:paraId="7C17F5BC" w14:textId="407E736D"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07" w:history="1">
        <w:r w:rsidRPr="003603B2">
          <w:rPr>
            <w:rStyle w:val="Hyperlink"/>
            <w:noProof/>
            <w:lang w:val="en-GB"/>
          </w:rPr>
          <w:t xml:space="preserve">Local </w:t>
        </w:r>
        <w:r w:rsidRPr="003603B2">
          <w:rPr>
            <w:rStyle w:val="Hyperlink"/>
            <w:noProof/>
          </w:rPr>
          <w:t>investment</w:t>
        </w:r>
        <w:r w:rsidRPr="003603B2">
          <w:rPr>
            <w:rStyle w:val="Hyperlink"/>
            <w:noProof/>
            <w:lang w:val="en-GB"/>
          </w:rPr>
          <w:t xml:space="preserve"> guarantee</w:t>
        </w:r>
        <w:r>
          <w:rPr>
            <w:noProof/>
            <w:webHidden/>
          </w:rPr>
          <w:tab/>
        </w:r>
        <w:r>
          <w:rPr>
            <w:noProof/>
            <w:webHidden/>
          </w:rPr>
          <w:fldChar w:fldCharType="begin"/>
        </w:r>
        <w:r>
          <w:rPr>
            <w:noProof/>
            <w:webHidden/>
          </w:rPr>
          <w:instrText xml:space="preserve"> PAGEREF _Toc241570407 \h </w:instrText>
        </w:r>
        <w:r>
          <w:rPr>
            <w:noProof/>
            <w:webHidden/>
          </w:rPr>
        </w:r>
        <w:r>
          <w:rPr>
            <w:noProof/>
            <w:webHidden/>
          </w:rPr>
          <w:fldChar w:fldCharType="separate"/>
        </w:r>
        <w:r>
          <w:rPr>
            <w:noProof/>
            <w:webHidden/>
          </w:rPr>
          <w:t>14</w:t>
        </w:r>
        <w:r>
          <w:rPr>
            <w:noProof/>
            <w:webHidden/>
          </w:rPr>
          <w:fldChar w:fldCharType="end"/>
        </w:r>
      </w:hyperlink>
    </w:p>
    <w:p w14:paraId="3E3B32D2" w14:textId="15E96C77" w:rsidR="00871F5D" w:rsidRDefault="00871F5D">
      <w:pPr>
        <w:pStyle w:val="TOC2"/>
        <w:tabs>
          <w:tab w:val="left" w:pos="1000"/>
          <w:tab w:val="right" w:leader="dot" w:pos="9628"/>
        </w:tabs>
        <w:rPr>
          <w:rFonts w:asciiTheme="minorHAnsi" w:eastAsiaTheme="minorEastAsia" w:hAnsiTheme="minorHAnsi" w:cstheme="minorBidi"/>
          <w:noProof/>
          <w:kern w:val="2"/>
          <w:szCs w:val="24"/>
          <w:lang w:eastAsia="en-GB"/>
          <w14:ligatures w14:val="standardContextual"/>
        </w:rPr>
      </w:pPr>
      <w:hyperlink w:anchor="_Toc241570408" w:history="1">
        <w:r w:rsidRPr="003603B2">
          <w:rPr>
            <w:rStyle w:val="Hyperlink"/>
            <w:noProof/>
            <w:lang w:val="en-GB"/>
          </w:rPr>
          <w:t>4.2.</w:t>
        </w:r>
        <w:r>
          <w:rPr>
            <w:rFonts w:asciiTheme="minorHAnsi" w:eastAsiaTheme="minorEastAsia" w:hAnsiTheme="minorHAnsi" w:cstheme="minorBidi"/>
            <w:noProof/>
            <w:kern w:val="2"/>
            <w:szCs w:val="24"/>
            <w:lang w:eastAsia="en-GB"/>
            <w14:ligatures w14:val="standardContextual"/>
          </w:rPr>
          <w:tab/>
        </w:r>
        <w:r w:rsidRPr="003603B2">
          <w:rPr>
            <w:rStyle w:val="Hyperlink"/>
            <w:noProof/>
            <w:lang w:val="en-GB"/>
          </w:rPr>
          <w:t xml:space="preserve">New </w:t>
        </w:r>
        <w:r w:rsidRPr="003603B2">
          <w:rPr>
            <w:rStyle w:val="Hyperlink"/>
            <w:noProof/>
          </w:rPr>
          <w:t>Energy</w:t>
        </w:r>
        <w:r w:rsidRPr="003603B2">
          <w:rPr>
            <w:rStyle w:val="Hyperlink"/>
            <w:noProof/>
            <w:lang w:val="en-GB"/>
          </w:rPr>
          <w:t xml:space="preserve"> Supply and Grid Readiness</w:t>
        </w:r>
        <w:r>
          <w:rPr>
            <w:noProof/>
            <w:webHidden/>
          </w:rPr>
          <w:tab/>
        </w:r>
        <w:r>
          <w:rPr>
            <w:noProof/>
            <w:webHidden/>
          </w:rPr>
          <w:fldChar w:fldCharType="begin"/>
        </w:r>
        <w:r>
          <w:rPr>
            <w:noProof/>
            <w:webHidden/>
          </w:rPr>
          <w:instrText xml:space="preserve"> PAGEREF _Toc241570408 \h </w:instrText>
        </w:r>
        <w:r>
          <w:rPr>
            <w:noProof/>
            <w:webHidden/>
          </w:rPr>
        </w:r>
        <w:r>
          <w:rPr>
            <w:noProof/>
            <w:webHidden/>
          </w:rPr>
          <w:fldChar w:fldCharType="separate"/>
        </w:r>
        <w:r>
          <w:rPr>
            <w:noProof/>
            <w:webHidden/>
          </w:rPr>
          <w:t>14</w:t>
        </w:r>
        <w:r>
          <w:rPr>
            <w:noProof/>
            <w:webHidden/>
          </w:rPr>
          <w:fldChar w:fldCharType="end"/>
        </w:r>
      </w:hyperlink>
    </w:p>
    <w:p w14:paraId="00197025" w14:textId="1B0C5E72"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09" w:history="1">
        <w:r w:rsidRPr="003603B2">
          <w:rPr>
            <w:rStyle w:val="Hyperlink"/>
            <w:noProof/>
          </w:rPr>
          <w:t>Requirements</w:t>
        </w:r>
        <w:r>
          <w:rPr>
            <w:noProof/>
            <w:webHidden/>
          </w:rPr>
          <w:tab/>
        </w:r>
        <w:r>
          <w:rPr>
            <w:noProof/>
            <w:webHidden/>
          </w:rPr>
          <w:fldChar w:fldCharType="begin"/>
        </w:r>
        <w:r>
          <w:rPr>
            <w:noProof/>
            <w:webHidden/>
          </w:rPr>
          <w:instrText xml:space="preserve"> PAGEREF _Toc241570409 \h </w:instrText>
        </w:r>
        <w:r>
          <w:rPr>
            <w:noProof/>
            <w:webHidden/>
          </w:rPr>
        </w:r>
        <w:r>
          <w:rPr>
            <w:noProof/>
            <w:webHidden/>
          </w:rPr>
          <w:fldChar w:fldCharType="separate"/>
        </w:r>
        <w:r>
          <w:rPr>
            <w:noProof/>
            <w:webHidden/>
          </w:rPr>
          <w:t>15</w:t>
        </w:r>
        <w:r>
          <w:rPr>
            <w:noProof/>
            <w:webHidden/>
          </w:rPr>
          <w:fldChar w:fldCharType="end"/>
        </w:r>
      </w:hyperlink>
    </w:p>
    <w:p w14:paraId="6AEFE45A" w14:textId="61E06615"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10" w:history="1">
        <w:r w:rsidRPr="003603B2">
          <w:rPr>
            <w:rStyle w:val="Hyperlink"/>
            <w:noProof/>
            <w:lang w:val="en-GB"/>
          </w:rPr>
          <w:t>Implementation actions</w:t>
        </w:r>
        <w:r>
          <w:rPr>
            <w:noProof/>
            <w:webHidden/>
          </w:rPr>
          <w:tab/>
        </w:r>
        <w:r>
          <w:rPr>
            <w:noProof/>
            <w:webHidden/>
          </w:rPr>
          <w:fldChar w:fldCharType="begin"/>
        </w:r>
        <w:r>
          <w:rPr>
            <w:noProof/>
            <w:webHidden/>
          </w:rPr>
          <w:instrText xml:space="preserve"> PAGEREF _Toc241570410 \h </w:instrText>
        </w:r>
        <w:r>
          <w:rPr>
            <w:noProof/>
            <w:webHidden/>
          </w:rPr>
        </w:r>
        <w:r>
          <w:rPr>
            <w:noProof/>
            <w:webHidden/>
          </w:rPr>
          <w:fldChar w:fldCharType="separate"/>
        </w:r>
        <w:r>
          <w:rPr>
            <w:noProof/>
            <w:webHidden/>
          </w:rPr>
          <w:t>16</w:t>
        </w:r>
        <w:r>
          <w:rPr>
            <w:noProof/>
            <w:webHidden/>
          </w:rPr>
          <w:fldChar w:fldCharType="end"/>
        </w:r>
      </w:hyperlink>
    </w:p>
    <w:p w14:paraId="10183148" w14:textId="72291984" w:rsidR="00871F5D" w:rsidRDefault="00871F5D">
      <w:pPr>
        <w:pStyle w:val="TOC2"/>
        <w:tabs>
          <w:tab w:val="left" w:pos="1000"/>
          <w:tab w:val="right" w:leader="dot" w:pos="9628"/>
        </w:tabs>
        <w:rPr>
          <w:rFonts w:asciiTheme="minorHAnsi" w:eastAsiaTheme="minorEastAsia" w:hAnsiTheme="minorHAnsi" w:cstheme="minorBidi"/>
          <w:noProof/>
          <w:kern w:val="2"/>
          <w:szCs w:val="24"/>
          <w:lang w:eastAsia="en-GB"/>
          <w14:ligatures w14:val="standardContextual"/>
        </w:rPr>
      </w:pPr>
      <w:hyperlink w:anchor="_Toc241570411" w:history="1">
        <w:r w:rsidRPr="003603B2">
          <w:rPr>
            <w:rStyle w:val="Hyperlink"/>
            <w:noProof/>
            <w:lang w:val="en-GB"/>
          </w:rPr>
          <w:t>4.3.</w:t>
        </w:r>
        <w:r>
          <w:rPr>
            <w:rFonts w:asciiTheme="minorHAnsi" w:eastAsiaTheme="minorEastAsia" w:hAnsiTheme="minorHAnsi" w:cstheme="minorBidi"/>
            <w:noProof/>
            <w:kern w:val="2"/>
            <w:szCs w:val="24"/>
            <w:lang w:eastAsia="en-GB"/>
            <w14:ligatures w14:val="standardContextual"/>
          </w:rPr>
          <w:tab/>
        </w:r>
        <w:r w:rsidRPr="003603B2">
          <w:rPr>
            <w:rStyle w:val="Hyperlink"/>
            <w:noProof/>
            <w:lang w:val="en-GB"/>
          </w:rPr>
          <w:t>Protecting Drinking Water and Securing Supply</w:t>
        </w:r>
        <w:r>
          <w:rPr>
            <w:noProof/>
            <w:webHidden/>
          </w:rPr>
          <w:tab/>
        </w:r>
        <w:r>
          <w:rPr>
            <w:noProof/>
            <w:webHidden/>
          </w:rPr>
          <w:fldChar w:fldCharType="begin"/>
        </w:r>
        <w:r>
          <w:rPr>
            <w:noProof/>
            <w:webHidden/>
          </w:rPr>
          <w:instrText xml:space="preserve"> PAGEREF _Toc241570411 \h </w:instrText>
        </w:r>
        <w:r>
          <w:rPr>
            <w:noProof/>
            <w:webHidden/>
          </w:rPr>
        </w:r>
        <w:r>
          <w:rPr>
            <w:noProof/>
            <w:webHidden/>
          </w:rPr>
          <w:fldChar w:fldCharType="separate"/>
        </w:r>
        <w:r>
          <w:rPr>
            <w:noProof/>
            <w:webHidden/>
          </w:rPr>
          <w:t>16</w:t>
        </w:r>
        <w:r>
          <w:rPr>
            <w:noProof/>
            <w:webHidden/>
          </w:rPr>
          <w:fldChar w:fldCharType="end"/>
        </w:r>
      </w:hyperlink>
    </w:p>
    <w:p w14:paraId="0B275D84" w14:textId="735CA52C"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12" w:history="1">
        <w:r w:rsidRPr="003603B2">
          <w:rPr>
            <w:rStyle w:val="Hyperlink"/>
            <w:noProof/>
          </w:rPr>
          <w:t>Requirements</w:t>
        </w:r>
        <w:r>
          <w:rPr>
            <w:noProof/>
            <w:webHidden/>
          </w:rPr>
          <w:tab/>
        </w:r>
        <w:r>
          <w:rPr>
            <w:noProof/>
            <w:webHidden/>
          </w:rPr>
          <w:fldChar w:fldCharType="begin"/>
        </w:r>
        <w:r>
          <w:rPr>
            <w:noProof/>
            <w:webHidden/>
          </w:rPr>
          <w:instrText xml:space="preserve"> PAGEREF _Toc241570412 \h </w:instrText>
        </w:r>
        <w:r>
          <w:rPr>
            <w:noProof/>
            <w:webHidden/>
          </w:rPr>
        </w:r>
        <w:r>
          <w:rPr>
            <w:noProof/>
            <w:webHidden/>
          </w:rPr>
          <w:fldChar w:fldCharType="separate"/>
        </w:r>
        <w:r>
          <w:rPr>
            <w:noProof/>
            <w:webHidden/>
          </w:rPr>
          <w:t>17</w:t>
        </w:r>
        <w:r>
          <w:rPr>
            <w:noProof/>
            <w:webHidden/>
          </w:rPr>
          <w:fldChar w:fldCharType="end"/>
        </w:r>
      </w:hyperlink>
    </w:p>
    <w:p w14:paraId="003B59F0" w14:textId="6E9E64C4"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13" w:history="1">
        <w:r w:rsidRPr="003603B2">
          <w:rPr>
            <w:rStyle w:val="Hyperlink"/>
            <w:noProof/>
            <w:lang w:val="en-GB"/>
          </w:rPr>
          <w:t>Existing protections</w:t>
        </w:r>
        <w:r>
          <w:rPr>
            <w:noProof/>
            <w:webHidden/>
          </w:rPr>
          <w:tab/>
        </w:r>
        <w:r>
          <w:rPr>
            <w:noProof/>
            <w:webHidden/>
          </w:rPr>
          <w:fldChar w:fldCharType="begin"/>
        </w:r>
        <w:r>
          <w:rPr>
            <w:noProof/>
            <w:webHidden/>
          </w:rPr>
          <w:instrText xml:space="preserve"> PAGEREF _Toc241570413 \h </w:instrText>
        </w:r>
        <w:r>
          <w:rPr>
            <w:noProof/>
            <w:webHidden/>
          </w:rPr>
        </w:r>
        <w:r>
          <w:rPr>
            <w:noProof/>
            <w:webHidden/>
          </w:rPr>
          <w:fldChar w:fldCharType="separate"/>
        </w:r>
        <w:r>
          <w:rPr>
            <w:noProof/>
            <w:webHidden/>
          </w:rPr>
          <w:t>18</w:t>
        </w:r>
        <w:r>
          <w:rPr>
            <w:noProof/>
            <w:webHidden/>
          </w:rPr>
          <w:fldChar w:fldCharType="end"/>
        </w:r>
      </w:hyperlink>
    </w:p>
    <w:p w14:paraId="7FF5FC83" w14:textId="26A3B2F2"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14" w:history="1">
        <w:r w:rsidRPr="003603B2">
          <w:rPr>
            <w:rStyle w:val="Hyperlink"/>
            <w:noProof/>
            <w:lang w:val="en-GB"/>
          </w:rPr>
          <w:t>Implementation actions</w:t>
        </w:r>
        <w:r>
          <w:rPr>
            <w:noProof/>
            <w:webHidden/>
          </w:rPr>
          <w:tab/>
        </w:r>
        <w:r>
          <w:rPr>
            <w:noProof/>
            <w:webHidden/>
          </w:rPr>
          <w:fldChar w:fldCharType="begin"/>
        </w:r>
        <w:r>
          <w:rPr>
            <w:noProof/>
            <w:webHidden/>
          </w:rPr>
          <w:instrText xml:space="preserve"> PAGEREF _Toc241570414 \h </w:instrText>
        </w:r>
        <w:r>
          <w:rPr>
            <w:noProof/>
            <w:webHidden/>
          </w:rPr>
        </w:r>
        <w:r>
          <w:rPr>
            <w:noProof/>
            <w:webHidden/>
          </w:rPr>
          <w:fldChar w:fldCharType="separate"/>
        </w:r>
        <w:r>
          <w:rPr>
            <w:noProof/>
            <w:webHidden/>
          </w:rPr>
          <w:t>18</w:t>
        </w:r>
        <w:r>
          <w:rPr>
            <w:noProof/>
            <w:webHidden/>
          </w:rPr>
          <w:fldChar w:fldCharType="end"/>
        </w:r>
      </w:hyperlink>
    </w:p>
    <w:p w14:paraId="1AE533DE" w14:textId="4296C76F" w:rsidR="00871F5D" w:rsidRDefault="00871F5D">
      <w:pPr>
        <w:pStyle w:val="TOC2"/>
        <w:tabs>
          <w:tab w:val="left" w:pos="1000"/>
          <w:tab w:val="right" w:leader="dot" w:pos="9628"/>
        </w:tabs>
        <w:rPr>
          <w:rFonts w:asciiTheme="minorHAnsi" w:eastAsiaTheme="minorEastAsia" w:hAnsiTheme="minorHAnsi" w:cstheme="minorBidi"/>
          <w:noProof/>
          <w:kern w:val="2"/>
          <w:szCs w:val="24"/>
          <w:lang w:eastAsia="en-GB"/>
          <w14:ligatures w14:val="standardContextual"/>
        </w:rPr>
      </w:pPr>
      <w:hyperlink w:anchor="_Toc241570415" w:history="1">
        <w:r w:rsidRPr="003603B2">
          <w:rPr>
            <w:rStyle w:val="Hyperlink"/>
            <w:noProof/>
            <w:lang w:val="en-GB"/>
          </w:rPr>
          <w:t>4.4.</w:t>
        </w:r>
        <w:r>
          <w:rPr>
            <w:rFonts w:asciiTheme="minorHAnsi" w:eastAsiaTheme="minorEastAsia" w:hAnsiTheme="minorHAnsi" w:cstheme="minorBidi"/>
            <w:noProof/>
            <w:kern w:val="2"/>
            <w:szCs w:val="24"/>
            <w:lang w:eastAsia="en-GB"/>
            <w14:ligatures w14:val="standardContextual"/>
          </w:rPr>
          <w:tab/>
        </w:r>
        <w:r w:rsidRPr="003603B2">
          <w:rPr>
            <w:rStyle w:val="Hyperlink"/>
            <w:noProof/>
            <w:lang w:val="en-GB"/>
          </w:rPr>
          <w:t>Victorian Jobs, Skills and Local Benefit</w:t>
        </w:r>
        <w:r>
          <w:rPr>
            <w:noProof/>
            <w:webHidden/>
          </w:rPr>
          <w:tab/>
        </w:r>
        <w:r>
          <w:rPr>
            <w:noProof/>
            <w:webHidden/>
          </w:rPr>
          <w:fldChar w:fldCharType="begin"/>
        </w:r>
        <w:r>
          <w:rPr>
            <w:noProof/>
            <w:webHidden/>
          </w:rPr>
          <w:instrText xml:space="preserve"> PAGEREF _Toc241570415 \h </w:instrText>
        </w:r>
        <w:r>
          <w:rPr>
            <w:noProof/>
            <w:webHidden/>
          </w:rPr>
        </w:r>
        <w:r>
          <w:rPr>
            <w:noProof/>
            <w:webHidden/>
          </w:rPr>
          <w:fldChar w:fldCharType="separate"/>
        </w:r>
        <w:r>
          <w:rPr>
            <w:noProof/>
            <w:webHidden/>
          </w:rPr>
          <w:t>19</w:t>
        </w:r>
        <w:r>
          <w:rPr>
            <w:noProof/>
            <w:webHidden/>
          </w:rPr>
          <w:fldChar w:fldCharType="end"/>
        </w:r>
      </w:hyperlink>
    </w:p>
    <w:p w14:paraId="66037A54" w14:textId="6A138A2F"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16" w:history="1">
        <w:r w:rsidRPr="003603B2">
          <w:rPr>
            <w:rStyle w:val="Hyperlink"/>
            <w:noProof/>
            <w:lang w:val="en-GB"/>
          </w:rPr>
          <w:t>Where the jobs are</w:t>
        </w:r>
        <w:r>
          <w:rPr>
            <w:noProof/>
            <w:webHidden/>
          </w:rPr>
          <w:tab/>
        </w:r>
        <w:r>
          <w:rPr>
            <w:noProof/>
            <w:webHidden/>
          </w:rPr>
          <w:fldChar w:fldCharType="begin"/>
        </w:r>
        <w:r>
          <w:rPr>
            <w:noProof/>
            <w:webHidden/>
          </w:rPr>
          <w:instrText xml:space="preserve"> PAGEREF _Toc241570416 \h </w:instrText>
        </w:r>
        <w:r>
          <w:rPr>
            <w:noProof/>
            <w:webHidden/>
          </w:rPr>
        </w:r>
        <w:r>
          <w:rPr>
            <w:noProof/>
            <w:webHidden/>
          </w:rPr>
          <w:fldChar w:fldCharType="separate"/>
        </w:r>
        <w:r>
          <w:rPr>
            <w:noProof/>
            <w:webHidden/>
          </w:rPr>
          <w:t>19</w:t>
        </w:r>
        <w:r>
          <w:rPr>
            <w:noProof/>
            <w:webHidden/>
          </w:rPr>
          <w:fldChar w:fldCharType="end"/>
        </w:r>
      </w:hyperlink>
    </w:p>
    <w:p w14:paraId="2E78C893" w14:textId="1318FE0F"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17" w:history="1">
        <w:r w:rsidRPr="003603B2">
          <w:rPr>
            <w:rStyle w:val="Hyperlink"/>
            <w:noProof/>
          </w:rPr>
          <w:t>Requirements</w:t>
        </w:r>
        <w:r>
          <w:rPr>
            <w:noProof/>
            <w:webHidden/>
          </w:rPr>
          <w:tab/>
        </w:r>
        <w:r>
          <w:rPr>
            <w:noProof/>
            <w:webHidden/>
          </w:rPr>
          <w:fldChar w:fldCharType="begin"/>
        </w:r>
        <w:r>
          <w:rPr>
            <w:noProof/>
            <w:webHidden/>
          </w:rPr>
          <w:instrText xml:space="preserve"> PAGEREF _Toc241570417 \h </w:instrText>
        </w:r>
        <w:r>
          <w:rPr>
            <w:noProof/>
            <w:webHidden/>
          </w:rPr>
        </w:r>
        <w:r>
          <w:rPr>
            <w:noProof/>
            <w:webHidden/>
          </w:rPr>
          <w:fldChar w:fldCharType="separate"/>
        </w:r>
        <w:r>
          <w:rPr>
            <w:noProof/>
            <w:webHidden/>
          </w:rPr>
          <w:t>20</w:t>
        </w:r>
        <w:r>
          <w:rPr>
            <w:noProof/>
            <w:webHidden/>
          </w:rPr>
          <w:fldChar w:fldCharType="end"/>
        </w:r>
      </w:hyperlink>
    </w:p>
    <w:p w14:paraId="6AB383FE" w14:textId="1EAC4B5F"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18" w:history="1">
        <w:r w:rsidRPr="003603B2">
          <w:rPr>
            <w:rStyle w:val="Hyperlink"/>
            <w:noProof/>
            <w:lang w:val="en-GB"/>
          </w:rPr>
          <w:t>Skills base and existing programs</w:t>
        </w:r>
        <w:r>
          <w:rPr>
            <w:noProof/>
            <w:webHidden/>
          </w:rPr>
          <w:tab/>
        </w:r>
        <w:r>
          <w:rPr>
            <w:noProof/>
            <w:webHidden/>
          </w:rPr>
          <w:fldChar w:fldCharType="begin"/>
        </w:r>
        <w:r>
          <w:rPr>
            <w:noProof/>
            <w:webHidden/>
          </w:rPr>
          <w:instrText xml:space="preserve"> PAGEREF _Toc241570418 \h </w:instrText>
        </w:r>
        <w:r>
          <w:rPr>
            <w:noProof/>
            <w:webHidden/>
          </w:rPr>
        </w:r>
        <w:r>
          <w:rPr>
            <w:noProof/>
            <w:webHidden/>
          </w:rPr>
          <w:fldChar w:fldCharType="separate"/>
        </w:r>
        <w:r>
          <w:rPr>
            <w:noProof/>
            <w:webHidden/>
          </w:rPr>
          <w:t>20</w:t>
        </w:r>
        <w:r>
          <w:rPr>
            <w:noProof/>
            <w:webHidden/>
          </w:rPr>
          <w:fldChar w:fldCharType="end"/>
        </w:r>
      </w:hyperlink>
    </w:p>
    <w:p w14:paraId="03DBAA41" w14:textId="337CD62A" w:rsidR="00871F5D" w:rsidRDefault="00871F5D">
      <w:pPr>
        <w:pStyle w:val="TOC3"/>
        <w:tabs>
          <w:tab w:val="right" w:leader="dot" w:pos="9628"/>
        </w:tabs>
        <w:rPr>
          <w:rFonts w:asciiTheme="minorHAnsi" w:eastAsiaTheme="minorEastAsia" w:hAnsiTheme="minorHAnsi" w:cstheme="minorBidi"/>
          <w:noProof/>
          <w:kern w:val="2"/>
          <w:szCs w:val="24"/>
          <w:lang w:eastAsia="en-GB"/>
          <w14:ligatures w14:val="standardContextual"/>
        </w:rPr>
      </w:pPr>
      <w:hyperlink w:anchor="_Toc241570419" w:history="1">
        <w:r w:rsidRPr="003603B2">
          <w:rPr>
            <w:rStyle w:val="Hyperlink"/>
            <w:noProof/>
            <w:lang w:val="en-GB"/>
          </w:rPr>
          <w:t>Implementation actions</w:t>
        </w:r>
        <w:r>
          <w:rPr>
            <w:noProof/>
            <w:webHidden/>
          </w:rPr>
          <w:tab/>
        </w:r>
        <w:r>
          <w:rPr>
            <w:noProof/>
            <w:webHidden/>
          </w:rPr>
          <w:fldChar w:fldCharType="begin"/>
        </w:r>
        <w:r>
          <w:rPr>
            <w:noProof/>
            <w:webHidden/>
          </w:rPr>
          <w:instrText xml:space="preserve"> PAGEREF _Toc241570419 \h </w:instrText>
        </w:r>
        <w:r>
          <w:rPr>
            <w:noProof/>
            <w:webHidden/>
          </w:rPr>
        </w:r>
        <w:r>
          <w:rPr>
            <w:noProof/>
            <w:webHidden/>
          </w:rPr>
          <w:fldChar w:fldCharType="separate"/>
        </w:r>
        <w:r>
          <w:rPr>
            <w:noProof/>
            <w:webHidden/>
          </w:rPr>
          <w:t>21</w:t>
        </w:r>
        <w:r>
          <w:rPr>
            <w:noProof/>
            <w:webHidden/>
          </w:rPr>
          <w:fldChar w:fldCharType="end"/>
        </w:r>
      </w:hyperlink>
    </w:p>
    <w:p w14:paraId="1D1F2036" w14:textId="0AC13988" w:rsidR="00871F5D" w:rsidRDefault="00871F5D">
      <w:pPr>
        <w:pStyle w:val="TOC1"/>
        <w:tabs>
          <w:tab w:val="left" w:pos="600"/>
          <w:tab w:val="right" w:leader="dot" w:pos="9628"/>
        </w:tabs>
        <w:rPr>
          <w:rFonts w:asciiTheme="minorHAnsi" w:eastAsiaTheme="minorEastAsia" w:hAnsiTheme="minorHAnsi" w:cstheme="minorBidi"/>
          <w:b w:val="0"/>
          <w:noProof/>
          <w:kern w:val="2"/>
          <w:szCs w:val="24"/>
          <w:lang w:eastAsia="en-GB"/>
          <w14:ligatures w14:val="standardContextual"/>
        </w:rPr>
      </w:pPr>
      <w:hyperlink w:anchor="_Toc241570420" w:history="1">
        <w:r w:rsidRPr="003603B2">
          <w:rPr>
            <w:rStyle w:val="Hyperlink"/>
            <w:noProof/>
            <w:lang w:val="en-GB"/>
          </w:rPr>
          <w:t>5.</w:t>
        </w:r>
        <w:r>
          <w:rPr>
            <w:rFonts w:asciiTheme="minorHAnsi" w:eastAsiaTheme="minorEastAsia" w:hAnsiTheme="minorHAnsi" w:cstheme="minorBidi"/>
            <w:b w:val="0"/>
            <w:noProof/>
            <w:kern w:val="2"/>
            <w:szCs w:val="24"/>
            <w:lang w:eastAsia="en-GB"/>
            <w14:ligatures w14:val="standardContextual"/>
          </w:rPr>
          <w:tab/>
        </w:r>
        <w:r w:rsidRPr="003603B2">
          <w:rPr>
            <w:rStyle w:val="Hyperlink"/>
            <w:noProof/>
            <w:lang w:val="en-GB"/>
          </w:rPr>
          <w:t>Future Actions and Next Steps</w:t>
        </w:r>
        <w:r>
          <w:rPr>
            <w:noProof/>
            <w:webHidden/>
          </w:rPr>
          <w:tab/>
        </w:r>
        <w:r>
          <w:rPr>
            <w:noProof/>
            <w:webHidden/>
          </w:rPr>
          <w:fldChar w:fldCharType="begin"/>
        </w:r>
        <w:r>
          <w:rPr>
            <w:noProof/>
            <w:webHidden/>
          </w:rPr>
          <w:instrText xml:space="preserve"> PAGEREF _Toc241570420 \h </w:instrText>
        </w:r>
        <w:r>
          <w:rPr>
            <w:noProof/>
            <w:webHidden/>
          </w:rPr>
        </w:r>
        <w:r>
          <w:rPr>
            <w:noProof/>
            <w:webHidden/>
          </w:rPr>
          <w:fldChar w:fldCharType="separate"/>
        </w:r>
        <w:r>
          <w:rPr>
            <w:noProof/>
            <w:webHidden/>
          </w:rPr>
          <w:t>22</w:t>
        </w:r>
        <w:r>
          <w:rPr>
            <w:noProof/>
            <w:webHidden/>
          </w:rPr>
          <w:fldChar w:fldCharType="end"/>
        </w:r>
      </w:hyperlink>
    </w:p>
    <w:p w14:paraId="4E236B9E" w14:textId="7FF2A964" w:rsidR="00871F5D" w:rsidRDefault="00871F5D">
      <w:pPr>
        <w:pStyle w:val="TOC1"/>
        <w:tabs>
          <w:tab w:val="right" w:leader="dot" w:pos="9628"/>
        </w:tabs>
        <w:rPr>
          <w:rFonts w:asciiTheme="minorHAnsi" w:eastAsiaTheme="minorEastAsia" w:hAnsiTheme="minorHAnsi" w:cstheme="minorBidi"/>
          <w:b w:val="0"/>
          <w:noProof/>
          <w:kern w:val="2"/>
          <w:szCs w:val="24"/>
          <w:lang w:eastAsia="en-GB"/>
          <w14:ligatures w14:val="standardContextual"/>
        </w:rPr>
      </w:pPr>
      <w:hyperlink w:anchor="_Toc241570421" w:history="1">
        <w:r w:rsidRPr="003603B2">
          <w:rPr>
            <w:rStyle w:val="Hyperlink"/>
            <w:noProof/>
            <w:lang w:val="en-GB"/>
          </w:rPr>
          <w:t>Appendix A – Glossary</w:t>
        </w:r>
        <w:r>
          <w:rPr>
            <w:noProof/>
            <w:webHidden/>
          </w:rPr>
          <w:tab/>
        </w:r>
        <w:r>
          <w:rPr>
            <w:noProof/>
            <w:webHidden/>
          </w:rPr>
          <w:fldChar w:fldCharType="begin"/>
        </w:r>
        <w:r>
          <w:rPr>
            <w:noProof/>
            <w:webHidden/>
          </w:rPr>
          <w:instrText xml:space="preserve"> PAGEREF _Toc241570421 \h </w:instrText>
        </w:r>
        <w:r>
          <w:rPr>
            <w:noProof/>
            <w:webHidden/>
          </w:rPr>
        </w:r>
        <w:r>
          <w:rPr>
            <w:noProof/>
            <w:webHidden/>
          </w:rPr>
          <w:fldChar w:fldCharType="separate"/>
        </w:r>
        <w:r>
          <w:rPr>
            <w:noProof/>
            <w:webHidden/>
          </w:rPr>
          <w:t>23</w:t>
        </w:r>
        <w:r>
          <w:rPr>
            <w:noProof/>
            <w:webHidden/>
          </w:rPr>
          <w:fldChar w:fldCharType="end"/>
        </w:r>
      </w:hyperlink>
    </w:p>
    <w:p w14:paraId="12D4F3DB" w14:textId="3FE4687C" w:rsidR="00871F5D" w:rsidRPr="00871F5D" w:rsidRDefault="00871F5D" w:rsidP="00871F5D">
      <w:pPr>
        <w:rPr>
          <w:lang w:val="en-GB"/>
        </w:rPr>
      </w:pPr>
      <w:r>
        <w:rPr>
          <w:lang w:val="en-GB"/>
        </w:rPr>
        <w:fldChar w:fldCharType="end"/>
      </w:r>
    </w:p>
    <w:p w14:paraId="29EC2E6D" w14:textId="363A9953" w:rsidR="007745BF" w:rsidRPr="007745BF" w:rsidRDefault="007745BF" w:rsidP="007745BF">
      <w:pPr>
        <w:pStyle w:val="Heading1"/>
        <w:rPr>
          <w:lang w:val="en-GB"/>
        </w:rPr>
      </w:pPr>
      <w:bookmarkStart w:id="3" w:name="_Toc241570393"/>
      <w:r w:rsidRPr="007745BF">
        <w:rPr>
          <w:lang w:val="en-GB"/>
        </w:rPr>
        <w:lastRenderedPageBreak/>
        <w:t xml:space="preserve">A message </w:t>
      </w:r>
      <w:r w:rsidRPr="007745BF">
        <w:t>from</w:t>
      </w:r>
      <w:r w:rsidRPr="007745BF">
        <w:rPr>
          <w:lang w:val="en-GB"/>
        </w:rPr>
        <w:t xml:space="preserve"> the Minister</w:t>
      </w:r>
      <w:bookmarkEnd w:id="3"/>
      <w:r w:rsidRPr="007745BF">
        <w:rPr>
          <w:lang w:val="en-GB"/>
        </w:rPr>
        <w:t xml:space="preserve"> </w:t>
      </w:r>
    </w:p>
    <w:p w14:paraId="64BDE6EF" w14:textId="77777777" w:rsidR="007745BF" w:rsidRPr="007745BF" w:rsidRDefault="007745BF" w:rsidP="007745BF">
      <w:pPr>
        <w:pStyle w:val="Heading2"/>
        <w:rPr>
          <w:lang w:val="en-GB"/>
        </w:rPr>
      </w:pPr>
      <w:bookmarkStart w:id="4" w:name="_Toc241570394"/>
      <w:r w:rsidRPr="007745BF">
        <w:rPr>
          <w:lang w:val="en-GB"/>
        </w:rPr>
        <w:t>Victoria Welcomes Responsible Data Centre Investment</w:t>
      </w:r>
      <w:bookmarkEnd w:id="4"/>
    </w:p>
    <w:p w14:paraId="645148C5" w14:textId="77777777" w:rsidR="007745BF" w:rsidRPr="007745BF" w:rsidRDefault="007745BF" w:rsidP="007745BF">
      <w:pPr>
        <w:rPr>
          <w:lang w:val="en-GB"/>
        </w:rPr>
      </w:pPr>
      <w:r w:rsidRPr="007745BF">
        <w:rPr>
          <w:lang w:val="en-GB"/>
        </w:rPr>
        <w:t>Data centres are essential infrastructure for the global digital economy. They are the physical backbone behind the services Victorians rely on every day such as banking, healthcare, transport and emergency response. As technology advances at speed, they enable a thriving economy, supporting innovation and growing new jobs across industries including medical technology, advanced manufacturing, finance and research.</w:t>
      </w:r>
    </w:p>
    <w:p w14:paraId="1D61A7A1" w14:textId="77777777" w:rsidR="007745BF" w:rsidRPr="007745BF" w:rsidRDefault="007745BF" w:rsidP="007745BF">
      <w:pPr>
        <w:rPr>
          <w:lang w:val="en-GB"/>
        </w:rPr>
      </w:pPr>
      <w:r w:rsidRPr="007745BF">
        <w:rPr>
          <w:lang w:val="en-GB"/>
        </w:rPr>
        <w:t xml:space="preserve">Victoria has been home to data centres for over a decade and now operates more than 50 facilities. Melbourne is now Australia’s second-largest data centre market, last year alone, this sector delivered $5.8 billion in capital expenditure. </w:t>
      </w:r>
    </w:p>
    <w:p w14:paraId="46687AD8" w14:textId="77777777" w:rsidR="007745BF" w:rsidRPr="007745BF" w:rsidRDefault="007745BF" w:rsidP="007745BF">
      <w:pPr>
        <w:rPr>
          <w:lang w:val="en-GB"/>
        </w:rPr>
      </w:pPr>
      <w:r w:rsidRPr="007745BF">
        <w:rPr>
          <w:lang w:val="en-GB"/>
        </w:rPr>
        <w:t xml:space="preserve">In August this year, National Cabinet agreed that large data centres require consistent, mandatory national standards covering energy, water and land-use impacts. Victoria supported this position and helped shape the national approach. </w:t>
      </w:r>
    </w:p>
    <w:p w14:paraId="313D8284" w14:textId="77777777" w:rsidR="007745BF" w:rsidRPr="007745BF" w:rsidRDefault="007745BF" w:rsidP="007745BF">
      <w:pPr>
        <w:rPr>
          <w:lang w:val="en-GB"/>
        </w:rPr>
      </w:pPr>
      <w:r w:rsidRPr="007745BF">
        <w:rPr>
          <w:lang w:val="en-GB"/>
        </w:rPr>
        <w:t>Communities want appropriate guardrails for this 21</w:t>
      </w:r>
      <w:r w:rsidRPr="007745BF">
        <w:rPr>
          <w:vertAlign w:val="superscript"/>
          <w:lang w:val="en-GB"/>
        </w:rPr>
        <w:t>st</w:t>
      </w:r>
      <w:r w:rsidRPr="007745BF">
        <w:rPr>
          <w:lang w:val="en-GB"/>
        </w:rPr>
        <w:t xml:space="preserve"> century infrastructure, and investors require clarity and predictability. These guardrails include energy and water regulations, appropriate planning approaches, traffic management and ensuring that the communities where data centres are built share in the benefits.</w:t>
      </w:r>
    </w:p>
    <w:p w14:paraId="1FC4D7D3" w14:textId="77777777" w:rsidR="007745BF" w:rsidRPr="007745BF" w:rsidRDefault="007745BF" w:rsidP="007745BF">
      <w:pPr>
        <w:rPr>
          <w:lang w:val="en-GB"/>
        </w:rPr>
      </w:pPr>
      <w:r w:rsidRPr="007745BF">
        <w:rPr>
          <w:lang w:val="en-GB"/>
        </w:rPr>
        <w:t xml:space="preserve">Victoria has the skilled workforce, the renewable energy pipeline, the fibre and subsea cable connectivity, and the industrial land to be one of the best places in the Asia-Pacific to build and invest in. </w:t>
      </w:r>
    </w:p>
    <w:p w14:paraId="49D2A9E6" w14:textId="77777777" w:rsidR="007745BF" w:rsidRPr="007745BF" w:rsidRDefault="007745BF" w:rsidP="007745BF">
      <w:pPr>
        <w:rPr>
          <w:b/>
          <w:bCs/>
          <w:lang w:val="en-GB"/>
        </w:rPr>
      </w:pPr>
      <w:r w:rsidRPr="007745BF">
        <w:rPr>
          <w:b/>
          <w:bCs/>
          <w:lang w:val="en-GB"/>
        </w:rPr>
        <w:t>The Hon. Anthony Carbines MP</w:t>
      </w:r>
    </w:p>
    <w:p w14:paraId="31CCA6E2" w14:textId="77777777" w:rsidR="007745BF" w:rsidRPr="007745BF" w:rsidRDefault="007745BF" w:rsidP="007745BF">
      <w:pPr>
        <w:rPr>
          <w:lang w:val="en-GB"/>
        </w:rPr>
      </w:pPr>
      <w:r w:rsidRPr="007745BF">
        <w:rPr>
          <w:lang w:val="en-GB"/>
        </w:rPr>
        <w:t>Minister for Artificial Intelligence and Digital Economy</w:t>
      </w:r>
    </w:p>
    <w:p w14:paraId="132B0D23" w14:textId="77777777" w:rsidR="007745BF" w:rsidRPr="007745BF" w:rsidRDefault="007745BF" w:rsidP="007745BF">
      <w:pPr>
        <w:rPr>
          <w:lang w:val="en-GB"/>
        </w:rPr>
      </w:pPr>
      <w:r w:rsidRPr="007745BF">
        <w:rPr>
          <w:lang w:val="en-GB"/>
        </w:rPr>
        <w:t>Minister for Economic Development</w:t>
      </w:r>
    </w:p>
    <w:p w14:paraId="75A3B3CE" w14:textId="358A3448" w:rsidR="007745BF" w:rsidRPr="007745BF" w:rsidRDefault="007745BF" w:rsidP="004D2EC0">
      <w:pPr>
        <w:pStyle w:val="Heading1"/>
        <w:numPr>
          <w:ilvl w:val="0"/>
          <w:numId w:val="31"/>
        </w:numPr>
        <w:ind w:left="709" w:hanging="709"/>
        <w:rPr>
          <w:lang w:val="en-GB"/>
        </w:rPr>
      </w:pPr>
      <w:bookmarkStart w:id="5" w:name="_Toc241570395"/>
      <w:r w:rsidRPr="007745BF">
        <w:rPr>
          <w:lang w:val="en-GB"/>
        </w:rPr>
        <w:lastRenderedPageBreak/>
        <w:t>Overview and Approach</w:t>
      </w:r>
      <w:bookmarkEnd w:id="5"/>
    </w:p>
    <w:p w14:paraId="2435D99A" w14:textId="77777777" w:rsidR="007745BF" w:rsidRPr="007745BF" w:rsidRDefault="007745BF" w:rsidP="007745BF">
      <w:pPr>
        <w:rPr>
          <w:lang w:val="en-GB"/>
        </w:rPr>
      </w:pPr>
      <w:r w:rsidRPr="007745BF">
        <w:rPr>
          <w:lang w:val="en-GB"/>
        </w:rPr>
        <w:t>The Plan sets out what the Victorian Government expects of data centre development and how government will coordinate to support sustainable development. It builds on existing planning, environmental, water and energy frameworks rather than replacing them, and is enforced through a new data centre category within the planning process, together with new energy and water referral and notification controls.</w:t>
      </w:r>
    </w:p>
    <w:p w14:paraId="40E9B4D9" w14:textId="77777777" w:rsidR="007745BF" w:rsidRPr="007745BF" w:rsidRDefault="007745BF" w:rsidP="007745BF">
      <w:pPr>
        <w:rPr>
          <w:lang w:val="en-GB"/>
        </w:rPr>
      </w:pPr>
      <w:r w:rsidRPr="007745BF">
        <w:rPr>
          <w:lang w:val="en-GB"/>
        </w:rPr>
        <w:t>The Plan is organised around four enablers, each setting out what Victoria expects of data centre development, what government will do, and the performance measures and referral settings that give effect to both:</w:t>
      </w:r>
    </w:p>
    <w:p w14:paraId="60CBC2BF" w14:textId="77777777" w:rsidR="007745BF" w:rsidRPr="007745BF" w:rsidRDefault="007745BF" w:rsidP="007745BF">
      <w:pPr>
        <w:pStyle w:val="Bullet"/>
        <w:rPr>
          <w:lang w:val="en-GB"/>
        </w:rPr>
      </w:pPr>
      <w:r w:rsidRPr="007745BF">
        <w:rPr>
          <w:lang w:val="en-GB"/>
        </w:rPr>
        <w:t>Land Use, Location and Local Impact</w:t>
      </w:r>
    </w:p>
    <w:p w14:paraId="03FAF208" w14:textId="77777777" w:rsidR="007745BF" w:rsidRPr="007745BF" w:rsidRDefault="007745BF" w:rsidP="007745BF">
      <w:pPr>
        <w:pStyle w:val="Bullet"/>
        <w:rPr>
          <w:lang w:val="en-GB"/>
        </w:rPr>
      </w:pPr>
      <w:r w:rsidRPr="007745BF">
        <w:rPr>
          <w:lang w:val="en-GB"/>
        </w:rPr>
        <w:t>New Energy Supply and Grid Readiness</w:t>
      </w:r>
    </w:p>
    <w:p w14:paraId="4D23CBD0" w14:textId="77777777" w:rsidR="007745BF" w:rsidRPr="007745BF" w:rsidRDefault="007745BF" w:rsidP="007745BF">
      <w:pPr>
        <w:pStyle w:val="Bullet"/>
        <w:rPr>
          <w:lang w:val="en-GB"/>
        </w:rPr>
      </w:pPr>
      <w:r w:rsidRPr="007745BF">
        <w:rPr>
          <w:lang w:val="en-GB"/>
        </w:rPr>
        <w:t>Protecting Drinking Water and Securing Supply</w:t>
      </w:r>
    </w:p>
    <w:p w14:paraId="714EB929" w14:textId="77777777" w:rsidR="007745BF" w:rsidRPr="007745BF" w:rsidRDefault="007745BF" w:rsidP="007745BF">
      <w:pPr>
        <w:pStyle w:val="Bullet"/>
        <w:rPr>
          <w:lang w:val="en-GB"/>
        </w:rPr>
      </w:pPr>
      <w:r w:rsidRPr="007745BF">
        <w:rPr>
          <w:lang w:val="en-GB"/>
        </w:rPr>
        <w:t>Victorian Jobs, Skills and Local Benefit.</w:t>
      </w:r>
    </w:p>
    <w:p w14:paraId="7422487C" w14:textId="77777777" w:rsidR="007745BF" w:rsidRPr="007745BF" w:rsidRDefault="007745BF" w:rsidP="007745BF">
      <w:pPr>
        <w:rPr>
          <w:lang w:val="en-GB"/>
        </w:rPr>
      </w:pPr>
      <w:r w:rsidRPr="007745BF">
        <w:rPr>
          <w:lang w:val="en-GB"/>
        </w:rPr>
        <w:t>In August 2026, National Cabinet agreed that large data centres bring energy, water and land-use impacts that need to be managed, and that the Commonwealth will develop consistent mandatory standards with the states.</w:t>
      </w:r>
      <w:r w:rsidRPr="007745BF">
        <w:rPr>
          <w:vertAlign w:val="superscript"/>
          <w:lang w:val="en-GB"/>
        </w:rPr>
        <w:footnoteReference w:id="2"/>
      </w:r>
    </w:p>
    <w:p w14:paraId="6243C125" w14:textId="77777777" w:rsidR="007745BF" w:rsidRPr="007745BF" w:rsidRDefault="007745BF" w:rsidP="007745BF">
      <w:pPr>
        <w:rPr>
          <w:lang w:val="en-GB"/>
        </w:rPr>
      </w:pPr>
      <w:r w:rsidRPr="007745BF">
        <w:rPr>
          <w:lang w:val="en-GB"/>
        </w:rPr>
        <w:t>Commonwealth legislation is intended for early 2027 and is designed to complement, rather than duplicate, state planning and approval processes. The Plan aligns with the Australian Government’s five Expectations of Data Centres and AI Infrastructure Developers:</w:t>
      </w:r>
      <w:r w:rsidRPr="007745BF">
        <w:rPr>
          <w:vertAlign w:val="superscript"/>
          <w:lang w:val="en-GB"/>
        </w:rPr>
        <w:footnoteReference w:id="3"/>
      </w:r>
    </w:p>
    <w:p w14:paraId="5C558B45" w14:textId="77777777" w:rsidR="007745BF" w:rsidRPr="007745BF" w:rsidRDefault="007745BF" w:rsidP="007745BF">
      <w:pPr>
        <w:pStyle w:val="Bullet"/>
        <w:rPr>
          <w:lang w:val="en-GB"/>
        </w:rPr>
      </w:pPr>
      <w:r w:rsidRPr="007745BF">
        <w:rPr>
          <w:lang w:val="en-GB"/>
        </w:rPr>
        <w:t>Prioritising Australia’s national interest</w:t>
      </w:r>
    </w:p>
    <w:p w14:paraId="58CCC64F" w14:textId="77777777" w:rsidR="007745BF" w:rsidRPr="007745BF" w:rsidRDefault="007745BF" w:rsidP="007745BF">
      <w:pPr>
        <w:pStyle w:val="Bullet"/>
        <w:rPr>
          <w:lang w:val="en-GB"/>
        </w:rPr>
      </w:pPr>
      <w:r w:rsidRPr="007745BF">
        <w:rPr>
          <w:lang w:val="en-GB"/>
        </w:rPr>
        <w:t>Supporting Australia’s energy transition</w:t>
      </w:r>
    </w:p>
    <w:p w14:paraId="42E0A249" w14:textId="77777777" w:rsidR="007745BF" w:rsidRPr="007745BF" w:rsidRDefault="007745BF" w:rsidP="007745BF">
      <w:pPr>
        <w:pStyle w:val="Bullet"/>
        <w:rPr>
          <w:lang w:val="en-GB"/>
        </w:rPr>
      </w:pPr>
      <w:r w:rsidRPr="007745BF">
        <w:rPr>
          <w:lang w:val="en-GB"/>
        </w:rPr>
        <w:t>Sustainable and efficient water usage</w:t>
      </w:r>
    </w:p>
    <w:p w14:paraId="3EBE9F57" w14:textId="77777777" w:rsidR="007745BF" w:rsidRPr="007745BF" w:rsidRDefault="007745BF" w:rsidP="007745BF">
      <w:pPr>
        <w:pStyle w:val="Bullet"/>
        <w:rPr>
          <w:lang w:val="en-GB"/>
        </w:rPr>
      </w:pPr>
      <w:r w:rsidRPr="007745BF">
        <w:rPr>
          <w:lang w:val="en-GB"/>
        </w:rPr>
        <w:t>Investment in Australian skills and workforce</w:t>
      </w:r>
    </w:p>
    <w:p w14:paraId="31F397C2" w14:textId="77777777" w:rsidR="007745BF" w:rsidRPr="007745BF" w:rsidRDefault="007745BF" w:rsidP="007745BF">
      <w:pPr>
        <w:pStyle w:val="Bullet"/>
        <w:rPr>
          <w:lang w:val="en-GB"/>
        </w:rPr>
      </w:pPr>
      <w:r w:rsidRPr="007745BF">
        <w:rPr>
          <w:lang w:val="en-GB"/>
        </w:rPr>
        <w:t>Research, innovation and local capability.</w:t>
      </w:r>
    </w:p>
    <w:p w14:paraId="6911CE6E" w14:textId="77777777" w:rsidR="007745BF" w:rsidRPr="007745BF" w:rsidRDefault="007745BF" w:rsidP="007745BF">
      <w:pPr>
        <w:rPr>
          <w:lang w:val="en-GB"/>
        </w:rPr>
      </w:pPr>
      <w:r w:rsidRPr="007745BF">
        <w:rPr>
          <w:lang w:val="en-GB"/>
        </w:rPr>
        <w:t>Requirements set out in the Plan will be published and reviewed as conditions evolve, so that they keep pace with technology without shifting unpredictably under projects already underway.</w:t>
      </w:r>
    </w:p>
    <w:p w14:paraId="6B2953CF" w14:textId="0347E465" w:rsidR="007745BF" w:rsidRPr="007745BF" w:rsidRDefault="007745BF" w:rsidP="004D2EC0">
      <w:pPr>
        <w:pStyle w:val="Heading1"/>
        <w:numPr>
          <w:ilvl w:val="0"/>
          <w:numId w:val="31"/>
        </w:numPr>
        <w:ind w:left="709" w:hanging="709"/>
        <w:rPr>
          <w:lang w:val="en-GB"/>
        </w:rPr>
      </w:pPr>
      <w:bookmarkStart w:id="6" w:name="_Toc241570396"/>
      <w:r w:rsidRPr="007745BF">
        <w:rPr>
          <w:lang w:val="en-GB"/>
        </w:rPr>
        <w:lastRenderedPageBreak/>
        <w:t>Data Centre Investment, Operation and Resource Use in Victoria</w:t>
      </w:r>
      <w:bookmarkEnd w:id="6"/>
    </w:p>
    <w:p w14:paraId="2B812416" w14:textId="77777777" w:rsidR="007745BF" w:rsidRPr="007745BF" w:rsidRDefault="007745BF" w:rsidP="007745BF">
      <w:pPr>
        <w:pStyle w:val="Heading2"/>
        <w:rPr>
          <w:lang w:val="en-GB"/>
        </w:rPr>
      </w:pPr>
      <w:bookmarkStart w:id="7" w:name="_Toc241570397"/>
      <w:r w:rsidRPr="007745BF">
        <w:rPr>
          <w:lang w:val="en-GB"/>
        </w:rPr>
        <w:t>Where Victoria’s settings already differ</w:t>
      </w:r>
      <w:bookmarkEnd w:id="7"/>
    </w:p>
    <w:p w14:paraId="14522B73" w14:textId="77777777" w:rsidR="007745BF" w:rsidRPr="007745BF" w:rsidRDefault="007745BF" w:rsidP="007745BF">
      <w:pPr>
        <w:rPr>
          <w:lang w:val="en-GB"/>
        </w:rPr>
      </w:pPr>
      <w:r w:rsidRPr="007745BF">
        <w:rPr>
          <w:lang w:val="en-GB"/>
        </w:rPr>
        <w:t xml:space="preserve">As international jurisdictions grapple with the unprecedented resource demands of artificial intelligence and digital infrastructure, Victoria is establishing a proactive regulatory environment that avoids the reactionary measures seen globally. </w:t>
      </w:r>
    </w:p>
    <w:p w14:paraId="2F598AE2" w14:textId="77777777" w:rsidR="007745BF" w:rsidRPr="007745BF" w:rsidRDefault="007745BF" w:rsidP="007745BF">
      <w:pPr>
        <w:rPr>
          <w:lang w:val="en-GB"/>
        </w:rPr>
      </w:pPr>
      <w:r w:rsidRPr="007745BF">
        <w:rPr>
          <w:lang w:val="en-GB"/>
        </w:rPr>
        <w:t xml:space="preserve">The measures outlined in this Action Plan build on Victoria’s robust policy and regulatory settings: </w:t>
      </w:r>
    </w:p>
    <w:p w14:paraId="1931CB1C" w14:textId="77777777" w:rsidR="007745BF" w:rsidRPr="007745BF" w:rsidRDefault="007745BF" w:rsidP="007745BF">
      <w:pPr>
        <w:pStyle w:val="Bullet"/>
        <w:rPr>
          <w:lang w:val="en-GB"/>
        </w:rPr>
      </w:pPr>
      <w:r w:rsidRPr="007745BF">
        <w:rPr>
          <w:lang w:val="en-GB"/>
        </w:rPr>
        <w:t>Acoustic and amenity limits: The Environment Protection Regulations 2021 already impose mandatory, statewide noise limits on commercial and industrial premises. Additionally, the Environment Protection Authority (EPA) regulates back-up generators through its existing Development and Operating Licensing regime.</w:t>
      </w:r>
    </w:p>
    <w:p w14:paraId="26499DD5" w14:textId="77777777" w:rsidR="007745BF" w:rsidRPr="007745BF" w:rsidRDefault="007745BF" w:rsidP="007745BF">
      <w:pPr>
        <w:pStyle w:val="Bullet"/>
        <w:rPr>
          <w:lang w:val="en-GB"/>
        </w:rPr>
      </w:pPr>
      <w:r w:rsidRPr="007745BF">
        <w:rPr>
          <w:lang w:val="en-GB"/>
        </w:rPr>
        <w:t>Water infrastructure cost recovery: Under the New Customer Contributions Framework regulated by the Essential Services Commission, large new users are already required to fully fund their own project-related water infrastructure costs, protecting existing consumers.</w:t>
      </w:r>
    </w:p>
    <w:p w14:paraId="7138B1BE" w14:textId="77777777" w:rsidR="007745BF" w:rsidRPr="007745BF" w:rsidRDefault="007745BF" w:rsidP="007745BF">
      <w:pPr>
        <w:pStyle w:val="Bullet"/>
        <w:rPr>
          <w:lang w:val="en-GB"/>
        </w:rPr>
      </w:pPr>
      <w:r w:rsidRPr="007745BF">
        <w:rPr>
          <w:lang w:val="en-GB"/>
        </w:rPr>
        <w:t xml:space="preserve">Aboriginal cultural heritage: The </w:t>
      </w:r>
      <w:r w:rsidRPr="007745BF">
        <w:rPr>
          <w:i/>
          <w:iCs/>
          <w:lang w:val="en-GB"/>
        </w:rPr>
        <w:t>Aboriginal Heritage Act 2006</w:t>
      </w:r>
      <w:r w:rsidRPr="007745BF">
        <w:rPr>
          <w:lang w:val="en-GB"/>
        </w:rPr>
        <w:t xml:space="preserve"> already binds every proponent, mandating that a Cultural Heritage Management Plan be prepared and approved by the relevant Registered Aboriginal Party prior to the commencement of any high-impact activity. </w:t>
      </w:r>
    </w:p>
    <w:p w14:paraId="2707BD29" w14:textId="77777777" w:rsidR="007745BF" w:rsidRPr="007745BF" w:rsidRDefault="007745BF" w:rsidP="007745BF">
      <w:pPr>
        <w:pStyle w:val="Bullet"/>
        <w:rPr>
          <w:lang w:val="en-GB"/>
        </w:rPr>
      </w:pPr>
      <w:r w:rsidRPr="007745BF">
        <w:rPr>
          <w:lang w:val="en-GB"/>
        </w:rPr>
        <w:t xml:space="preserve">Electricity connection costs: The National Electricity Rules already mandate causer-pays connection charging. This requires proponents to execute connection agreements and fund their own network augmentations, ensuring the existing customer base does not subsidise grid upgrades. </w:t>
      </w:r>
    </w:p>
    <w:p w14:paraId="6EF0A08A" w14:textId="77777777" w:rsidR="007745BF" w:rsidRPr="007745BF" w:rsidRDefault="007745BF" w:rsidP="007745BF">
      <w:pPr>
        <w:pStyle w:val="Bullet"/>
        <w:rPr>
          <w:lang w:val="en-GB"/>
        </w:rPr>
      </w:pPr>
      <w:r w:rsidRPr="007745BF">
        <w:rPr>
          <w:lang w:val="en-GB"/>
        </w:rPr>
        <w:t xml:space="preserve">Safety and fire regulation: Independent of the planning process, regulators such as Energy Safe Victoria, WorkSafe Victoria, and Fire Rescue Victoria already hold strong, enforceable statutory powers over workplace, fire, and electrical safety under their respective acts. </w:t>
      </w:r>
    </w:p>
    <w:p w14:paraId="204BB563" w14:textId="77777777" w:rsidR="007745BF" w:rsidRPr="007745BF" w:rsidRDefault="007745BF" w:rsidP="007745BF">
      <w:pPr>
        <w:pStyle w:val="Bullet"/>
        <w:rPr>
          <w:lang w:val="en-GB"/>
        </w:rPr>
      </w:pPr>
      <w:r w:rsidRPr="007745BF">
        <w:rPr>
          <w:lang w:val="en-GB"/>
        </w:rPr>
        <w:t xml:space="preserve">Planning enforcement toolkit: Beyond just requiring a permit, the </w:t>
      </w:r>
      <w:r w:rsidRPr="007745BF">
        <w:rPr>
          <w:i/>
          <w:iCs/>
          <w:lang w:val="en-GB"/>
        </w:rPr>
        <w:t>Planning and Environment Act 1987</w:t>
      </w:r>
      <w:r w:rsidRPr="007745BF">
        <w:rPr>
          <w:lang w:val="en-GB"/>
        </w:rPr>
        <w:t xml:space="preserve"> provides a substantial existing compliance toolkit for any breach of permit conditions. This includes enforcement orders, civil and criminal penalties, and commercial benefit forfeit orders.</w:t>
      </w:r>
    </w:p>
    <w:tbl>
      <w:tblPr>
        <w:tblStyle w:val="TableGrid"/>
        <w:tblW w:w="9781" w:type="dxa"/>
        <w:tblLayout w:type="fixed"/>
        <w:tblLook w:val="0000" w:firstRow="0" w:lastRow="0" w:firstColumn="0" w:lastColumn="0" w:noHBand="0" w:noVBand="0"/>
      </w:tblPr>
      <w:tblGrid>
        <w:gridCol w:w="2835"/>
        <w:gridCol w:w="6946"/>
      </w:tblGrid>
      <w:tr w:rsidR="007745BF" w:rsidRPr="007745BF" w14:paraId="5C05F38A" w14:textId="77777777" w:rsidTr="00A05623">
        <w:trPr>
          <w:cantSplit/>
          <w:trHeight w:val="60"/>
          <w:tblHeader/>
        </w:trPr>
        <w:tc>
          <w:tcPr>
            <w:tcW w:w="2835" w:type="dxa"/>
          </w:tcPr>
          <w:p w14:paraId="137A5622" w14:textId="77777777" w:rsidR="007745BF" w:rsidRPr="007745BF" w:rsidRDefault="007745BF" w:rsidP="007745BF">
            <w:pPr>
              <w:pStyle w:val="TableHeading"/>
            </w:pPr>
            <w:r w:rsidRPr="007745BF">
              <w:lastRenderedPageBreak/>
              <w:t>Area</w:t>
            </w:r>
          </w:p>
        </w:tc>
        <w:tc>
          <w:tcPr>
            <w:tcW w:w="6946" w:type="dxa"/>
          </w:tcPr>
          <w:p w14:paraId="57470E8C" w14:textId="77777777" w:rsidR="007745BF" w:rsidRPr="007745BF" w:rsidRDefault="007745BF" w:rsidP="007745BF">
            <w:pPr>
              <w:pStyle w:val="TableHeading"/>
            </w:pPr>
            <w:r w:rsidRPr="007745BF">
              <w:t>Detail</w:t>
            </w:r>
          </w:p>
        </w:tc>
      </w:tr>
      <w:tr w:rsidR="007745BF" w:rsidRPr="007745BF" w14:paraId="1C5CA11A" w14:textId="77777777" w:rsidTr="00A05623">
        <w:trPr>
          <w:cantSplit/>
          <w:trHeight w:val="60"/>
        </w:trPr>
        <w:tc>
          <w:tcPr>
            <w:tcW w:w="2835" w:type="dxa"/>
          </w:tcPr>
          <w:p w14:paraId="6B5CD770" w14:textId="77777777" w:rsidR="007745BF" w:rsidRPr="00A05623" w:rsidRDefault="007745BF" w:rsidP="007745BF">
            <w:pPr>
              <w:pStyle w:val="TableCopy"/>
              <w:rPr>
                <w:b/>
                <w:bCs/>
              </w:rPr>
            </w:pPr>
            <w:r w:rsidRPr="00A05623">
              <w:rPr>
                <w:b/>
                <w:bCs/>
              </w:rPr>
              <w:t>Existing facilities</w:t>
            </w:r>
          </w:p>
        </w:tc>
        <w:tc>
          <w:tcPr>
            <w:tcW w:w="6946" w:type="dxa"/>
          </w:tcPr>
          <w:p w14:paraId="63C1C983" w14:textId="77777777" w:rsidR="007745BF" w:rsidRPr="007745BF" w:rsidRDefault="007745BF" w:rsidP="007745BF">
            <w:pPr>
              <w:pStyle w:val="TableCopy"/>
            </w:pPr>
            <w:r w:rsidRPr="007745BF">
              <w:t>More than 50 data centres operating across Victoria as at mid-2026, concentrated in industrial clusters in Melbourne’s west and north, with activity emerging in regional areas. The modern market dates from July 2012.</w:t>
            </w:r>
          </w:p>
        </w:tc>
      </w:tr>
      <w:tr w:rsidR="007745BF" w:rsidRPr="007745BF" w14:paraId="48F44628" w14:textId="77777777" w:rsidTr="00A05623">
        <w:trPr>
          <w:cantSplit/>
          <w:trHeight w:val="60"/>
        </w:trPr>
        <w:tc>
          <w:tcPr>
            <w:tcW w:w="2835" w:type="dxa"/>
          </w:tcPr>
          <w:p w14:paraId="289D1540" w14:textId="77777777" w:rsidR="007745BF" w:rsidRPr="00A05623" w:rsidRDefault="007745BF" w:rsidP="007745BF">
            <w:pPr>
              <w:pStyle w:val="TableCopy"/>
              <w:rPr>
                <w:b/>
                <w:bCs/>
              </w:rPr>
            </w:pPr>
            <w:r w:rsidRPr="00A05623">
              <w:rPr>
                <w:b/>
                <w:bCs/>
              </w:rPr>
              <w:t>Energy demand – current and forecast</w:t>
            </w:r>
          </w:p>
        </w:tc>
        <w:tc>
          <w:tcPr>
            <w:tcW w:w="6946" w:type="dxa"/>
          </w:tcPr>
          <w:p w14:paraId="2D44F192" w14:textId="77777777" w:rsidR="007745BF" w:rsidRPr="007745BF" w:rsidRDefault="007745BF" w:rsidP="007745BF">
            <w:pPr>
              <w:pStyle w:val="TableCopy"/>
            </w:pPr>
            <w:r w:rsidRPr="007745BF">
              <w:t>Nationally, data centres account for around 3% of National Electricity Market (NEM) grid-supplied electricity today, forecast to rise to around 6% by 2029–30 and 12–13% by 2035–36 under AEMO’s central Step Change scenario</w:t>
            </w:r>
            <w:r w:rsidRPr="007745BF">
              <w:footnoteReference w:id="4"/>
            </w:r>
            <w:r w:rsidRPr="007745BF">
              <w:t>,</w:t>
            </w:r>
            <w:r w:rsidRPr="007745BF">
              <w:footnoteReference w:id="5"/>
            </w:r>
            <w:r w:rsidRPr="007745BF">
              <w:t>. Victoria currently accounts for around 30% of national data centre electricity consumption, second to NSW at around 66%</w:t>
            </w:r>
            <w:r w:rsidRPr="007745BF">
              <w:footnoteReference w:id="6"/>
            </w:r>
            <w:r w:rsidRPr="007745BF">
              <w:t>, and Victorian data centre demand reportedly nearly doubled over the twelve months to mid-2026</w:t>
            </w:r>
            <w:r w:rsidRPr="007745BF">
              <w:footnoteReference w:id="7"/>
            </w:r>
            <w:r w:rsidRPr="007745BF">
              <w:t>.</w:t>
            </w:r>
          </w:p>
        </w:tc>
      </w:tr>
      <w:tr w:rsidR="007745BF" w:rsidRPr="007745BF" w14:paraId="19B23655" w14:textId="77777777" w:rsidTr="00A05623">
        <w:trPr>
          <w:cantSplit/>
          <w:trHeight w:val="60"/>
        </w:trPr>
        <w:tc>
          <w:tcPr>
            <w:tcW w:w="2835" w:type="dxa"/>
          </w:tcPr>
          <w:p w14:paraId="5E343762" w14:textId="77777777" w:rsidR="007745BF" w:rsidRPr="00A05623" w:rsidRDefault="007745BF" w:rsidP="007745BF">
            <w:pPr>
              <w:pStyle w:val="TableCopy"/>
              <w:rPr>
                <w:b/>
                <w:bCs/>
              </w:rPr>
            </w:pPr>
            <w:r w:rsidRPr="00A05623">
              <w:rPr>
                <w:b/>
                <w:bCs/>
              </w:rPr>
              <w:t>Water demand – current</w:t>
            </w:r>
          </w:p>
        </w:tc>
        <w:tc>
          <w:tcPr>
            <w:tcW w:w="6946" w:type="dxa"/>
          </w:tcPr>
          <w:p w14:paraId="143D960D" w14:textId="77777777" w:rsidR="007745BF" w:rsidRPr="007745BF" w:rsidRDefault="007745BF" w:rsidP="007745BF">
            <w:pPr>
              <w:pStyle w:val="TableCopy"/>
            </w:pPr>
            <w:r w:rsidRPr="007745BF">
              <w:t>Data centres draw less than 1% of potable drinking water across the Melbourne and Geelong networks. In Greater Western Water's service area, 13 of 15 facilities used 33 megalitres combined over the past year.</w:t>
            </w:r>
          </w:p>
        </w:tc>
      </w:tr>
      <w:tr w:rsidR="007745BF" w:rsidRPr="007745BF" w14:paraId="5B1C99AA" w14:textId="77777777" w:rsidTr="00A05623">
        <w:trPr>
          <w:cantSplit/>
          <w:trHeight w:val="60"/>
        </w:trPr>
        <w:tc>
          <w:tcPr>
            <w:tcW w:w="2835" w:type="dxa"/>
          </w:tcPr>
          <w:p w14:paraId="64DB2AE7" w14:textId="77777777" w:rsidR="007745BF" w:rsidRPr="00A05623" w:rsidRDefault="007745BF" w:rsidP="007745BF">
            <w:pPr>
              <w:pStyle w:val="TableCopy"/>
              <w:rPr>
                <w:b/>
                <w:bCs/>
              </w:rPr>
            </w:pPr>
            <w:r w:rsidRPr="00A05623">
              <w:rPr>
                <w:b/>
                <w:bCs/>
              </w:rPr>
              <w:t>Water demand – proposed pipeline</w:t>
            </w:r>
          </w:p>
        </w:tc>
        <w:tc>
          <w:tcPr>
            <w:tcW w:w="6946" w:type="dxa"/>
          </w:tcPr>
          <w:p w14:paraId="4709B975" w14:textId="77777777" w:rsidR="007745BF" w:rsidRPr="007745BF" w:rsidRDefault="007745BF" w:rsidP="007745BF">
            <w:pPr>
              <w:pStyle w:val="TableCopy"/>
            </w:pPr>
            <w:r w:rsidRPr="007745BF">
              <w:t>Greater Western Water is assessing 19 data centre applications seeking a combined 19,714 megalitres a year – roughly 4% of Melbourne's supply. Applications are not approvals, and not all proposed projects will proceed.</w:t>
            </w:r>
          </w:p>
        </w:tc>
      </w:tr>
      <w:tr w:rsidR="007745BF" w:rsidRPr="007745BF" w14:paraId="37BEA69B" w14:textId="77777777" w:rsidTr="00A05623">
        <w:trPr>
          <w:cantSplit/>
          <w:trHeight w:val="60"/>
        </w:trPr>
        <w:tc>
          <w:tcPr>
            <w:tcW w:w="2835" w:type="dxa"/>
          </w:tcPr>
          <w:p w14:paraId="733FF8A1" w14:textId="77777777" w:rsidR="007745BF" w:rsidRPr="00A05623" w:rsidRDefault="007745BF" w:rsidP="007745BF">
            <w:pPr>
              <w:pStyle w:val="TableCopy"/>
              <w:rPr>
                <w:b/>
                <w:bCs/>
              </w:rPr>
            </w:pPr>
            <w:r w:rsidRPr="00A05623">
              <w:rPr>
                <w:b/>
                <w:bCs/>
              </w:rPr>
              <w:t>Connection pipeline</w:t>
            </w:r>
          </w:p>
        </w:tc>
        <w:tc>
          <w:tcPr>
            <w:tcW w:w="6946" w:type="dxa"/>
          </w:tcPr>
          <w:p w14:paraId="78322B93" w14:textId="77777777" w:rsidR="007745BF" w:rsidRPr="007745BF" w:rsidRDefault="007745BF" w:rsidP="007745BF">
            <w:pPr>
              <w:pStyle w:val="TableCopy"/>
            </w:pPr>
            <w:r w:rsidRPr="007745BF">
              <w:t>AEMO received more than 18 gigawatts of data centre connection enquiries in the 18 months to October 2025; around 2.2 gigawatts had reached the formal connection process by March 2026. Around 36% of the data centre projects on AEMO's books a year earlier have since been cancelled.</w:t>
            </w:r>
          </w:p>
        </w:tc>
      </w:tr>
      <w:tr w:rsidR="007745BF" w:rsidRPr="007745BF" w14:paraId="6316FE84" w14:textId="77777777" w:rsidTr="00A05623">
        <w:trPr>
          <w:cantSplit/>
          <w:trHeight w:val="60"/>
        </w:trPr>
        <w:tc>
          <w:tcPr>
            <w:tcW w:w="2835" w:type="dxa"/>
          </w:tcPr>
          <w:p w14:paraId="280A5A0F" w14:textId="77777777" w:rsidR="007745BF" w:rsidRPr="00A05623" w:rsidRDefault="007745BF" w:rsidP="007745BF">
            <w:pPr>
              <w:pStyle w:val="TableCopy"/>
              <w:rPr>
                <w:b/>
                <w:bCs/>
              </w:rPr>
            </w:pPr>
            <w:r w:rsidRPr="00A05623">
              <w:rPr>
                <w:b/>
                <w:bCs/>
              </w:rPr>
              <w:t>State renewable energy and storage targets</w:t>
            </w:r>
          </w:p>
        </w:tc>
        <w:tc>
          <w:tcPr>
            <w:tcW w:w="6946" w:type="dxa"/>
          </w:tcPr>
          <w:p w14:paraId="302DAB72" w14:textId="77777777" w:rsidR="007745BF" w:rsidRPr="007745BF" w:rsidRDefault="007745BF" w:rsidP="007745BF">
            <w:pPr>
              <w:pStyle w:val="TableCopy"/>
            </w:pPr>
            <w:r w:rsidRPr="007745BF">
              <w:t>Legislated renewable energy targets of 65% by 2030 and 95% by 2035; storage targets of 2.6 gigawatts by 2030 and 6.3 gigawatts by 2035.</w:t>
            </w:r>
          </w:p>
        </w:tc>
      </w:tr>
    </w:tbl>
    <w:p w14:paraId="042F0073" w14:textId="77777777" w:rsidR="007745BF" w:rsidRPr="007745BF" w:rsidRDefault="007745BF" w:rsidP="007745BF">
      <w:pPr>
        <w:rPr>
          <w:lang w:val="en-GB"/>
        </w:rPr>
      </w:pPr>
    </w:p>
    <w:p w14:paraId="1A30DDDF" w14:textId="55543821" w:rsidR="007745BF" w:rsidRPr="007745BF" w:rsidRDefault="007745BF" w:rsidP="004D2EC0">
      <w:pPr>
        <w:pStyle w:val="Heading1"/>
        <w:numPr>
          <w:ilvl w:val="0"/>
          <w:numId w:val="31"/>
        </w:numPr>
        <w:ind w:left="709" w:hanging="709"/>
        <w:rPr>
          <w:lang w:val="en-GB"/>
        </w:rPr>
      </w:pPr>
      <w:bookmarkStart w:id="8" w:name="_Toc241570398"/>
      <w:r w:rsidRPr="007745BF">
        <w:rPr>
          <w:lang w:val="en-GB"/>
        </w:rPr>
        <w:lastRenderedPageBreak/>
        <w:t>Clear Requirements and Transparent Assistance</w:t>
      </w:r>
      <w:bookmarkEnd w:id="8"/>
      <w:r w:rsidRPr="007745BF">
        <w:rPr>
          <w:lang w:val="en-GB"/>
        </w:rPr>
        <w:t xml:space="preserve"> </w:t>
      </w:r>
    </w:p>
    <w:p w14:paraId="5FBC804A" w14:textId="77777777" w:rsidR="007745BF" w:rsidRPr="007745BF" w:rsidRDefault="007745BF" w:rsidP="007745BF">
      <w:pPr>
        <w:rPr>
          <w:lang w:val="en-GB"/>
        </w:rPr>
      </w:pPr>
      <w:r w:rsidRPr="007745BF">
        <w:rPr>
          <w:lang w:val="en-GB"/>
        </w:rPr>
        <w:t>Sustainable investment at scale requires absolute clarity for all stakeholders. Proponents must have distinct, upfront visibility of planning, infrastructure, and environmental requirements prior to capital commitment and site acquisition. Equally, host communities require transparent, enforceable standards regarding the operational and amenity impacts of facilities within their neighbourhoods. This Action Plan establishes a reciprocal framework, explicitly pairing government facilitation pathways with rigorous requirements to address community and resources impacts.</w:t>
      </w:r>
    </w:p>
    <w:tbl>
      <w:tblPr>
        <w:tblStyle w:val="TableGrid"/>
        <w:tblW w:w="9781" w:type="dxa"/>
        <w:tblLayout w:type="fixed"/>
        <w:tblLook w:val="0000" w:firstRow="0" w:lastRow="0" w:firstColumn="0" w:lastColumn="0" w:noHBand="0" w:noVBand="0"/>
      </w:tblPr>
      <w:tblGrid>
        <w:gridCol w:w="567"/>
        <w:gridCol w:w="1838"/>
        <w:gridCol w:w="3378"/>
        <w:gridCol w:w="3998"/>
      </w:tblGrid>
      <w:tr w:rsidR="007745BF" w:rsidRPr="00A05623" w14:paraId="0AF611C3" w14:textId="77777777" w:rsidTr="00F92BF2">
        <w:trPr>
          <w:cantSplit/>
          <w:trHeight w:val="60"/>
          <w:tblHeader/>
        </w:trPr>
        <w:tc>
          <w:tcPr>
            <w:tcW w:w="567" w:type="dxa"/>
          </w:tcPr>
          <w:p w14:paraId="5D926D46" w14:textId="77777777" w:rsidR="007745BF" w:rsidRPr="00A05623" w:rsidRDefault="007745BF" w:rsidP="00A05623">
            <w:pPr>
              <w:pStyle w:val="TableHeading"/>
            </w:pPr>
            <w:r w:rsidRPr="00A05623">
              <w:t>#</w:t>
            </w:r>
          </w:p>
        </w:tc>
        <w:tc>
          <w:tcPr>
            <w:tcW w:w="1838" w:type="dxa"/>
          </w:tcPr>
          <w:p w14:paraId="557700D4" w14:textId="77777777" w:rsidR="007745BF" w:rsidRPr="00A05623" w:rsidRDefault="007745BF" w:rsidP="00A05623">
            <w:pPr>
              <w:pStyle w:val="TableHeading"/>
            </w:pPr>
            <w:r w:rsidRPr="00A05623">
              <w:t>Commitment</w:t>
            </w:r>
          </w:p>
        </w:tc>
        <w:tc>
          <w:tcPr>
            <w:tcW w:w="3378" w:type="dxa"/>
          </w:tcPr>
          <w:p w14:paraId="51679C28" w14:textId="77777777" w:rsidR="007745BF" w:rsidRPr="00A05623" w:rsidRDefault="007745BF" w:rsidP="00A05623">
            <w:pPr>
              <w:pStyle w:val="TableHeading"/>
            </w:pPr>
            <w:r w:rsidRPr="00A05623">
              <w:t>Detail</w:t>
            </w:r>
          </w:p>
        </w:tc>
        <w:tc>
          <w:tcPr>
            <w:tcW w:w="3998" w:type="dxa"/>
          </w:tcPr>
          <w:p w14:paraId="0EDE8DE4" w14:textId="77777777" w:rsidR="007745BF" w:rsidRPr="00A05623" w:rsidRDefault="007745BF" w:rsidP="00A05623">
            <w:pPr>
              <w:pStyle w:val="TableHeading"/>
            </w:pPr>
            <w:r w:rsidRPr="00A05623">
              <w:t>Purpose</w:t>
            </w:r>
          </w:p>
        </w:tc>
      </w:tr>
      <w:tr w:rsidR="007745BF" w:rsidRPr="00A05623" w14:paraId="73C17923" w14:textId="77777777" w:rsidTr="00F92BF2">
        <w:trPr>
          <w:cantSplit/>
          <w:trHeight w:val="60"/>
        </w:trPr>
        <w:tc>
          <w:tcPr>
            <w:tcW w:w="567" w:type="dxa"/>
          </w:tcPr>
          <w:p w14:paraId="1D142695" w14:textId="77777777" w:rsidR="007745BF" w:rsidRPr="00A05623" w:rsidRDefault="007745BF" w:rsidP="00A05623">
            <w:pPr>
              <w:pStyle w:val="TableCopy"/>
              <w:rPr>
                <w:b/>
                <w:bCs/>
              </w:rPr>
            </w:pPr>
            <w:r w:rsidRPr="00A05623">
              <w:rPr>
                <w:b/>
                <w:bCs/>
              </w:rPr>
              <w:t>1</w:t>
            </w:r>
          </w:p>
        </w:tc>
        <w:tc>
          <w:tcPr>
            <w:tcW w:w="1838" w:type="dxa"/>
          </w:tcPr>
          <w:p w14:paraId="2918D335" w14:textId="77777777" w:rsidR="007745BF" w:rsidRPr="00A05623" w:rsidRDefault="007745BF" w:rsidP="00A05623">
            <w:pPr>
              <w:pStyle w:val="TableCopy"/>
              <w:rPr>
                <w:b/>
                <w:bCs/>
              </w:rPr>
            </w:pPr>
            <w:r w:rsidRPr="00A05623">
              <w:rPr>
                <w:b/>
                <w:bCs/>
              </w:rPr>
              <w:t>Single point of contact</w:t>
            </w:r>
          </w:p>
        </w:tc>
        <w:tc>
          <w:tcPr>
            <w:tcW w:w="3378" w:type="dxa"/>
          </w:tcPr>
          <w:p w14:paraId="386B711F" w14:textId="77777777" w:rsidR="007745BF" w:rsidRPr="00A05623" w:rsidRDefault="007745BF" w:rsidP="00A05623">
            <w:pPr>
              <w:pStyle w:val="TableCopy"/>
            </w:pPr>
            <w:r w:rsidRPr="00A05623">
              <w:t xml:space="preserve">The Investment Front Door is the </w:t>
            </w:r>
            <w:proofErr w:type="gramStart"/>
            <w:r w:rsidRPr="00A05623">
              <w:t>single entry</w:t>
            </w:r>
            <w:proofErr w:type="gramEnd"/>
            <w:r w:rsidRPr="00A05623">
              <w:t xml:space="preserve"> point to government for major data centre investments.</w:t>
            </w:r>
          </w:p>
        </w:tc>
        <w:tc>
          <w:tcPr>
            <w:tcW w:w="3998" w:type="dxa"/>
          </w:tcPr>
          <w:p w14:paraId="0CDF7613" w14:textId="77777777" w:rsidR="007745BF" w:rsidRPr="00A05623" w:rsidRDefault="007745BF" w:rsidP="00A05623">
            <w:pPr>
              <w:pStyle w:val="TableCopy"/>
            </w:pPr>
            <w:r w:rsidRPr="00A05623">
              <w:t>Proponents deal with one team rather than negotiating department by department.</w:t>
            </w:r>
          </w:p>
        </w:tc>
      </w:tr>
      <w:tr w:rsidR="007745BF" w:rsidRPr="00A05623" w14:paraId="3A7679A7" w14:textId="77777777" w:rsidTr="00F92BF2">
        <w:trPr>
          <w:cantSplit/>
          <w:trHeight w:val="60"/>
        </w:trPr>
        <w:tc>
          <w:tcPr>
            <w:tcW w:w="567" w:type="dxa"/>
          </w:tcPr>
          <w:p w14:paraId="6051236E" w14:textId="77777777" w:rsidR="007745BF" w:rsidRPr="00A05623" w:rsidRDefault="007745BF" w:rsidP="00A05623">
            <w:pPr>
              <w:pStyle w:val="TableCopy"/>
              <w:rPr>
                <w:b/>
                <w:bCs/>
              </w:rPr>
            </w:pPr>
            <w:r w:rsidRPr="00A05623">
              <w:rPr>
                <w:b/>
                <w:bCs/>
              </w:rPr>
              <w:t>2</w:t>
            </w:r>
          </w:p>
        </w:tc>
        <w:tc>
          <w:tcPr>
            <w:tcW w:w="1838" w:type="dxa"/>
          </w:tcPr>
          <w:p w14:paraId="23C92C92" w14:textId="77777777" w:rsidR="007745BF" w:rsidRPr="00A05623" w:rsidRDefault="007745BF" w:rsidP="00A05623">
            <w:pPr>
              <w:pStyle w:val="TableCopy"/>
              <w:rPr>
                <w:b/>
                <w:bCs/>
              </w:rPr>
            </w:pPr>
            <w:r w:rsidRPr="00A05623">
              <w:rPr>
                <w:b/>
                <w:bCs/>
              </w:rPr>
              <w:t>Information before a site is chosen</w:t>
            </w:r>
          </w:p>
        </w:tc>
        <w:tc>
          <w:tcPr>
            <w:tcW w:w="3378" w:type="dxa"/>
          </w:tcPr>
          <w:p w14:paraId="77BFAF4F" w14:textId="77777777" w:rsidR="007745BF" w:rsidRPr="00A05623" w:rsidRDefault="007745BF" w:rsidP="00A05623">
            <w:pPr>
              <w:pStyle w:val="TableCopy"/>
            </w:pPr>
            <w:r w:rsidRPr="00A05623">
              <w:t>Pre-application information covering site identification, site due diligence, infrastructure availability and applicable requirements.</w:t>
            </w:r>
          </w:p>
        </w:tc>
        <w:tc>
          <w:tcPr>
            <w:tcW w:w="3998" w:type="dxa"/>
          </w:tcPr>
          <w:p w14:paraId="0FB5547A" w14:textId="77777777" w:rsidR="007745BF" w:rsidRPr="00A05623" w:rsidRDefault="007745BF" w:rsidP="00A05623">
            <w:pPr>
              <w:pStyle w:val="TableCopy"/>
            </w:pPr>
            <w:r w:rsidRPr="00A05623">
              <w:t>Early feasibility assessment gives proponents greater certainty and reduces late-stage planning refusals.</w:t>
            </w:r>
          </w:p>
        </w:tc>
      </w:tr>
      <w:tr w:rsidR="007745BF" w:rsidRPr="00A05623" w14:paraId="6917106D" w14:textId="77777777" w:rsidTr="00F92BF2">
        <w:trPr>
          <w:cantSplit/>
          <w:trHeight w:val="60"/>
        </w:trPr>
        <w:tc>
          <w:tcPr>
            <w:tcW w:w="567" w:type="dxa"/>
          </w:tcPr>
          <w:p w14:paraId="6E25D162" w14:textId="77777777" w:rsidR="007745BF" w:rsidRPr="00A05623" w:rsidRDefault="007745BF" w:rsidP="00A05623">
            <w:pPr>
              <w:pStyle w:val="TableCopy"/>
              <w:rPr>
                <w:b/>
                <w:bCs/>
              </w:rPr>
            </w:pPr>
            <w:r w:rsidRPr="00A05623">
              <w:rPr>
                <w:b/>
                <w:bCs/>
              </w:rPr>
              <w:t>3</w:t>
            </w:r>
          </w:p>
        </w:tc>
        <w:tc>
          <w:tcPr>
            <w:tcW w:w="1838" w:type="dxa"/>
          </w:tcPr>
          <w:p w14:paraId="3BDE9503" w14:textId="77777777" w:rsidR="007745BF" w:rsidRPr="00A05623" w:rsidRDefault="007745BF" w:rsidP="00A05623">
            <w:pPr>
              <w:pStyle w:val="TableCopy"/>
              <w:rPr>
                <w:b/>
                <w:bCs/>
              </w:rPr>
            </w:pPr>
            <w:r w:rsidRPr="00A05623">
              <w:rPr>
                <w:b/>
                <w:bCs/>
              </w:rPr>
              <w:t>Coordinated regulator input</w:t>
            </w:r>
          </w:p>
        </w:tc>
        <w:tc>
          <w:tcPr>
            <w:tcW w:w="3378" w:type="dxa"/>
          </w:tcPr>
          <w:p w14:paraId="65076A08" w14:textId="77777777" w:rsidR="007745BF" w:rsidRPr="00A05623" w:rsidRDefault="007745BF" w:rsidP="00A05623">
            <w:pPr>
              <w:pStyle w:val="TableCopy"/>
            </w:pPr>
            <w:r w:rsidRPr="00A05623">
              <w:t>VicGrid, the relevant water corporation, Energy Safe Victoria, WorkSafe Victoria, Fire Rescue Victoria, the Country Fire Authority and the EPA coordinate input on energy, water, electrical, workplace safety, dangerous goods, fire safety and environmental matters.</w:t>
            </w:r>
          </w:p>
        </w:tc>
        <w:tc>
          <w:tcPr>
            <w:tcW w:w="3998" w:type="dxa"/>
          </w:tcPr>
          <w:p w14:paraId="687B9BDB" w14:textId="77777777" w:rsidR="007745BF" w:rsidRPr="00A05623" w:rsidRDefault="007745BF" w:rsidP="00A05623">
            <w:pPr>
              <w:pStyle w:val="TableCopy"/>
            </w:pPr>
            <w:r w:rsidRPr="00A05623">
              <w:t>Consistent regulatory expectations across agencies, and a single escalation point when they conflict.</w:t>
            </w:r>
          </w:p>
        </w:tc>
      </w:tr>
      <w:tr w:rsidR="007745BF" w:rsidRPr="00A05623" w14:paraId="444983EE" w14:textId="77777777" w:rsidTr="00F92BF2">
        <w:trPr>
          <w:cantSplit/>
          <w:trHeight w:val="60"/>
        </w:trPr>
        <w:tc>
          <w:tcPr>
            <w:tcW w:w="567" w:type="dxa"/>
          </w:tcPr>
          <w:p w14:paraId="34DE06B5" w14:textId="77777777" w:rsidR="007745BF" w:rsidRPr="00A05623" w:rsidRDefault="007745BF" w:rsidP="00A05623">
            <w:pPr>
              <w:pStyle w:val="TableCopy"/>
              <w:rPr>
                <w:b/>
                <w:bCs/>
              </w:rPr>
            </w:pPr>
            <w:r w:rsidRPr="00A05623">
              <w:rPr>
                <w:b/>
                <w:bCs/>
              </w:rPr>
              <w:t>4</w:t>
            </w:r>
          </w:p>
        </w:tc>
        <w:tc>
          <w:tcPr>
            <w:tcW w:w="1838" w:type="dxa"/>
          </w:tcPr>
          <w:p w14:paraId="44B410D1" w14:textId="77777777" w:rsidR="007745BF" w:rsidRPr="00A05623" w:rsidRDefault="007745BF" w:rsidP="00A05623">
            <w:pPr>
              <w:pStyle w:val="TableCopy"/>
              <w:rPr>
                <w:b/>
                <w:bCs/>
              </w:rPr>
            </w:pPr>
            <w:r w:rsidRPr="00A05623">
              <w:rPr>
                <w:b/>
                <w:bCs/>
              </w:rPr>
              <w:t>Information about the network</w:t>
            </w:r>
          </w:p>
        </w:tc>
        <w:tc>
          <w:tcPr>
            <w:tcW w:w="3378" w:type="dxa"/>
          </w:tcPr>
          <w:p w14:paraId="4AF5EB35" w14:textId="77777777" w:rsidR="007745BF" w:rsidRPr="00A05623" w:rsidRDefault="007745BF" w:rsidP="00A05623">
            <w:pPr>
              <w:pStyle w:val="TableCopy"/>
            </w:pPr>
            <w:r w:rsidRPr="00A05623">
              <w:t>Government will map Victoria's energy, water and telecommunications capacity and relevant planning controls, publish timely information.</w:t>
            </w:r>
          </w:p>
        </w:tc>
        <w:tc>
          <w:tcPr>
            <w:tcW w:w="3998" w:type="dxa"/>
          </w:tcPr>
          <w:p w14:paraId="574D1C74" w14:textId="77777777" w:rsidR="007745BF" w:rsidRPr="00A05623" w:rsidRDefault="007745BF" w:rsidP="00A05623">
            <w:pPr>
              <w:pStyle w:val="TableCopy"/>
            </w:pPr>
            <w:r w:rsidRPr="00A05623">
              <w:t>Identifies servicing constraints early and gives communities confidence that proposals put forward are viable.</w:t>
            </w:r>
          </w:p>
        </w:tc>
      </w:tr>
      <w:tr w:rsidR="007745BF" w:rsidRPr="00A05623" w14:paraId="6247087A" w14:textId="77777777" w:rsidTr="00F92BF2">
        <w:trPr>
          <w:cantSplit/>
          <w:trHeight w:val="60"/>
        </w:trPr>
        <w:tc>
          <w:tcPr>
            <w:tcW w:w="567" w:type="dxa"/>
          </w:tcPr>
          <w:p w14:paraId="5357099E" w14:textId="77777777" w:rsidR="007745BF" w:rsidRPr="00A05623" w:rsidRDefault="007745BF" w:rsidP="00A05623">
            <w:pPr>
              <w:pStyle w:val="TableCopy"/>
              <w:rPr>
                <w:b/>
                <w:bCs/>
              </w:rPr>
            </w:pPr>
            <w:r w:rsidRPr="00A05623">
              <w:rPr>
                <w:b/>
                <w:bCs/>
              </w:rPr>
              <w:lastRenderedPageBreak/>
              <w:t>5</w:t>
            </w:r>
          </w:p>
        </w:tc>
        <w:tc>
          <w:tcPr>
            <w:tcW w:w="1838" w:type="dxa"/>
          </w:tcPr>
          <w:p w14:paraId="4D18C92A" w14:textId="77777777" w:rsidR="007745BF" w:rsidRPr="00A05623" w:rsidRDefault="007745BF" w:rsidP="00A05623">
            <w:pPr>
              <w:pStyle w:val="TableCopy"/>
              <w:rPr>
                <w:b/>
                <w:bCs/>
              </w:rPr>
            </w:pPr>
            <w:r w:rsidRPr="00A05623">
              <w:rPr>
                <w:b/>
                <w:bCs/>
              </w:rPr>
              <w:t>Escalation when things stall</w:t>
            </w:r>
          </w:p>
        </w:tc>
        <w:tc>
          <w:tcPr>
            <w:tcW w:w="3378" w:type="dxa"/>
          </w:tcPr>
          <w:p w14:paraId="4AEA3722" w14:textId="77777777" w:rsidR="007745BF" w:rsidRPr="00A05623" w:rsidRDefault="007745BF" w:rsidP="00A05623">
            <w:pPr>
              <w:pStyle w:val="TableCopy"/>
            </w:pPr>
            <w:r w:rsidRPr="00A05623">
              <w:t>The Investment Coordinator-General is the escalation point for projects of state significance, resolving delays across agencies and regulators.</w:t>
            </w:r>
          </w:p>
        </w:tc>
        <w:tc>
          <w:tcPr>
            <w:tcW w:w="3998" w:type="dxa"/>
          </w:tcPr>
          <w:p w14:paraId="1651FC41" w14:textId="77777777" w:rsidR="007745BF" w:rsidRPr="00A05623" w:rsidRDefault="007745BF" w:rsidP="00A05623">
            <w:pPr>
              <w:pStyle w:val="TableCopy"/>
            </w:pPr>
            <w:r w:rsidRPr="00A05623">
              <w:t>Provides a single point of accountability for cross-agency delay.</w:t>
            </w:r>
          </w:p>
        </w:tc>
      </w:tr>
      <w:tr w:rsidR="007745BF" w:rsidRPr="00A05623" w14:paraId="544AE113" w14:textId="77777777" w:rsidTr="00F92BF2">
        <w:trPr>
          <w:cantSplit/>
          <w:trHeight w:val="60"/>
        </w:trPr>
        <w:tc>
          <w:tcPr>
            <w:tcW w:w="567" w:type="dxa"/>
          </w:tcPr>
          <w:p w14:paraId="5A1D195E" w14:textId="77777777" w:rsidR="007745BF" w:rsidRPr="00A05623" w:rsidRDefault="007745BF" w:rsidP="00A05623">
            <w:pPr>
              <w:pStyle w:val="TableCopy"/>
              <w:rPr>
                <w:b/>
                <w:bCs/>
              </w:rPr>
            </w:pPr>
            <w:r w:rsidRPr="00A05623">
              <w:rPr>
                <w:b/>
                <w:bCs/>
              </w:rPr>
              <w:t>6</w:t>
            </w:r>
          </w:p>
        </w:tc>
        <w:tc>
          <w:tcPr>
            <w:tcW w:w="1838" w:type="dxa"/>
          </w:tcPr>
          <w:p w14:paraId="29631E51" w14:textId="77777777" w:rsidR="007745BF" w:rsidRPr="00A05623" w:rsidRDefault="007745BF" w:rsidP="00A05623">
            <w:pPr>
              <w:pStyle w:val="TableCopy"/>
              <w:rPr>
                <w:b/>
                <w:bCs/>
              </w:rPr>
            </w:pPr>
            <w:r w:rsidRPr="00A05623">
              <w:rPr>
                <w:b/>
                <w:bCs/>
              </w:rPr>
              <w:t>Rules that hold still</w:t>
            </w:r>
          </w:p>
        </w:tc>
        <w:tc>
          <w:tcPr>
            <w:tcW w:w="3378" w:type="dxa"/>
          </w:tcPr>
          <w:p w14:paraId="5A8EC3DE" w14:textId="77777777" w:rsidR="007745BF" w:rsidRPr="00A05623" w:rsidRDefault="007745BF" w:rsidP="00A05623">
            <w:pPr>
              <w:pStyle w:val="TableCopy"/>
            </w:pPr>
            <w:r w:rsidRPr="00A05623">
              <w:t>Requirements will be published and reviewed as conditions evolve.</w:t>
            </w:r>
          </w:p>
        </w:tc>
        <w:tc>
          <w:tcPr>
            <w:tcW w:w="3998" w:type="dxa"/>
          </w:tcPr>
          <w:p w14:paraId="31FD0F90" w14:textId="77777777" w:rsidR="007745BF" w:rsidRPr="00A05623" w:rsidRDefault="007745BF" w:rsidP="00A05623">
            <w:pPr>
              <w:pStyle w:val="TableCopy"/>
            </w:pPr>
            <w:r w:rsidRPr="00A05623">
              <w:t>Keeps pace with technology without shifting unpredictably under projects already underway.</w:t>
            </w:r>
          </w:p>
        </w:tc>
      </w:tr>
    </w:tbl>
    <w:p w14:paraId="1DABB59B" w14:textId="6ADDCDE7" w:rsidR="007745BF" w:rsidRPr="007745BF" w:rsidRDefault="007745BF" w:rsidP="004D2EC0">
      <w:pPr>
        <w:pStyle w:val="Heading1"/>
        <w:numPr>
          <w:ilvl w:val="0"/>
          <w:numId w:val="31"/>
        </w:numPr>
        <w:ind w:left="709"/>
        <w:rPr>
          <w:lang w:val="en-GB"/>
        </w:rPr>
      </w:pPr>
      <w:bookmarkStart w:id="9" w:name="_Toc241570399"/>
      <w:r w:rsidRPr="007745BF">
        <w:rPr>
          <w:lang w:val="en-GB"/>
        </w:rPr>
        <w:lastRenderedPageBreak/>
        <w:t>Enablers and Requirements</w:t>
      </w:r>
      <w:bookmarkEnd w:id="9"/>
    </w:p>
    <w:p w14:paraId="5F62C928" w14:textId="12ED5085" w:rsidR="007745BF" w:rsidRPr="007745BF" w:rsidRDefault="007745BF" w:rsidP="004D2EC0">
      <w:pPr>
        <w:pStyle w:val="Heading2"/>
        <w:numPr>
          <w:ilvl w:val="1"/>
          <w:numId w:val="31"/>
        </w:numPr>
        <w:ind w:left="709"/>
        <w:rPr>
          <w:lang w:val="en-GB"/>
        </w:rPr>
      </w:pPr>
      <w:bookmarkStart w:id="10" w:name="_Toc241570400"/>
      <w:r w:rsidRPr="007745BF">
        <w:rPr>
          <w:lang w:val="en-GB"/>
        </w:rPr>
        <w:t>Land Use, Location and Local Impact</w:t>
      </w:r>
      <w:bookmarkEnd w:id="10"/>
    </w:p>
    <w:p w14:paraId="6BCBF92B" w14:textId="77777777" w:rsidR="007745BF" w:rsidRPr="007745BF" w:rsidRDefault="007745BF" w:rsidP="007745BF">
      <w:pPr>
        <w:rPr>
          <w:lang w:val="en-GB"/>
        </w:rPr>
      </w:pPr>
      <w:r w:rsidRPr="007745BF">
        <w:rPr>
          <w:lang w:val="en-GB"/>
        </w:rPr>
        <w:t>Victoria's expectation is that data centres are built away from homes, schools and childcare centres. They should be built where there is robust access to power, water and telecommunications capacity.</w:t>
      </w:r>
    </w:p>
    <w:p w14:paraId="0B22C735" w14:textId="77777777" w:rsidR="007745BF" w:rsidRPr="007745BF" w:rsidRDefault="007745BF" w:rsidP="007745BF">
      <w:pPr>
        <w:rPr>
          <w:lang w:val="en-GB"/>
        </w:rPr>
      </w:pPr>
      <w:r w:rsidRPr="007745BF">
        <w:rPr>
          <w:lang w:val="en-GB"/>
        </w:rPr>
        <w:t xml:space="preserve">Our </w:t>
      </w:r>
      <w:r w:rsidRPr="007745BF">
        <w:rPr>
          <w:i/>
          <w:iCs/>
          <w:lang w:val="en-GB"/>
        </w:rPr>
        <w:t>Planning for Melbourne’s Green Wedges and Agricultural Land Action Plan</w:t>
      </w:r>
      <w:r w:rsidRPr="007745BF">
        <w:rPr>
          <w:lang w:val="en-GB"/>
        </w:rPr>
        <w:t xml:space="preserve"> 2024 has committed to prohibiting new data centres in Green Wedge Zone land.</w:t>
      </w:r>
    </w:p>
    <w:p w14:paraId="5040F4F9" w14:textId="77777777" w:rsidR="007745BF" w:rsidRPr="007745BF" w:rsidRDefault="007745BF" w:rsidP="006739F6">
      <w:pPr>
        <w:pStyle w:val="Heading3"/>
        <w:rPr>
          <w:lang w:val="en-GB"/>
        </w:rPr>
      </w:pPr>
      <w:bookmarkStart w:id="11" w:name="_Toc241570401"/>
      <w:r w:rsidRPr="007745BF">
        <w:rPr>
          <w:lang w:val="en-GB"/>
        </w:rPr>
        <w:t>Land use definition</w:t>
      </w:r>
      <w:bookmarkEnd w:id="11"/>
    </w:p>
    <w:p w14:paraId="6702E18D" w14:textId="77777777" w:rsidR="007745BF" w:rsidRPr="007745BF" w:rsidRDefault="007745BF" w:rsidP="007745BF">
      <w:pPr>
        <w:rPr>
          <w:lang w:val="en-GB"/>
        </w:rPr>
      </w:pPr>
      <w:r w:rsidRPr="007745BF">
        <w:rPr>
          <w:lang w:val="en-GB"/>
        </w:rPr>
        <w:t>Victorian planning schemes will include a land use definition for data centres:</w:t>
      </w:r>
    </w:p>
    <w:p w14:paraId="72A72758" w14:textId="71612AEE" w:rsidR="007745BF" w:rsidRPr="007745BF" w:rsidRDefault="006739F6" w:rsidP="006739F6">
      <w:pPr>
        <w:pStyle w:val="IntenseQuote"/>
        <w:rPr>
          <w:lang w:val="en-GB"/>
        </w:rPr>
      </w:pPr>
      <w:r w:rsidRPr="007745BF">
        <w:rPr>
          <w:lang w:val="en-GB"/>
        </w:rPr>
        <w:t>“Land used to collect, distribute, process, or store digital data. It does not include collecting, distributing, processing, or storing digital data if it is ancillary to another use of the land.”</w:t>
      </w:r>
    </w:p>
    <w:p w14:paraId="119D4452" w14:textId="77777777" w:rsidR="007745BF" w:rsidRPr="007745BF" w:rsidRDefault="007745BF" w:rsidP="007745BF">
      <w:pPr>
        <w:rPr>
          <w:lang w:val="en-GB"/>
        </w:rPr>
      </w:pPr>
      <w:r w:rsidRPr="007745BF">
        <w:rPr>
          <w:lang w:val="en-GB"/>
        </w:rPr>
        <w:t>Land developed with critical infrastructure such as hospitals or universities often require data centres next to them – we will work with industry in these circumstances.</w:t>
      </w:r>
    </w:p>
    <w:p w14:paraId="5952C040" w14:textId="77777777" w:rsidR="007745BF" w:rsidRPr="007745BF" w:rsidRDefault="007745BF" w:rsidP="006739F6">
      <w:pPr>
        <w:pStyle w:val="Heading3"/>
        <w:rPr>
          <w:lang w:val="en-GB"/>
        </w:rPr>
      </w:pPr>
      <w:bookmarkStart w:id="12" w:name="_Toc241570402"/>
      <w:r w:rsidRPr="007745BF">
        <w:rPr>
          <w:lang w:val="en-GB"/>
        </w:rPr>
        <w:t>Locational controls</w:t>
      </w:r>
      <w:bookmarkEnd w:id="12"/>
    </w:p>
    <w:tbl>
      <w:tblPr>
        <w:tblStyle w:val="TableGrid"/>
        <w:tblW w:w="9781" w:type="dxa"/>
        <w:tblLayout w:type="fixed"/>
        <w:tblLook w:val="0000" w:firstRow="0" w:lastRow="0" w:firstColumn="0" w:lastColumn="0" w:noHBand="0" w:noVBand="0"/>
      </w:tblPr>
      <w:tblGrid>
        <w:gridCol w:w="567"/>
        <w:gridCol w:w="1838"/>
        <w:gridCol w:w="3378"/>
        <w:gridCol w:w="3998"/>
      </w:tblGrid>
      <w:tr w:rsidR="007745BF" w:rsidRPr="006739F6" w14:paraId="19344640" w14:textId="77777777" w:rsidTr="00F92BF2">
        <w:trPr>
          <w:cantSplit/>
          <w:trHeight w:val="60"/>
          <w:tblHeader/>
        </w:trPr>
        <w:tc>
          <w:tcPr>
            <w:tcW w:w="567" w:type="dxa"/>
          </w:tcPr>
          <w:p w14:paraId="56A63582" w14:textId="77777777" w:rsidR="007745BF" w:rsidRPr="006739F6" w:rsidRDefault="007745BF" w:rsidP="006739F6">
            <w:pPr>
              <w:pStyle w:val="TableHeading"/>
            </w:pPr>
            <w:r w:rsidRPr="006739F6">
              <w:t>Ref</w:t>
            </w:r>
          </w:p>
        </w:tc>
        <w:tc>
          <w:tcPr>
            <w:tcW w:w="1838" w:type="dxa"/>
          </w:tcPr>
          <w:p w14:paraId="415FA966" w14:textId="77777777" w:rsidR="007745BF" w:rsidRPr="006739F6" w:rsidRDefault="007745BF" w:rsidP="006739F6">
            <w:pPr>
              <w:pStyle w:val="TableHeading"/>
            </w:pPr>
            <w:r w:rsidRPr="006739F6">
              <w:t>Requirement</w:t>
            </w:r>
          </w:p>
        </w:tc>
        <w:tc>
          <w:tcPr>
            <w:tcW w:w="3378" w:type="dxa"/>
          </w:tcPr>
          <w:p w14:paraId="0DF27A7C" w14:textId="77777777" w:rsidR="007745BF" w:rsidRPr="006739F6" w:rsidRDefault="007745BF" w:rsidP="006739F6">
            <w:pPr>
              <w:pStyle w:val="TableHeading"/>
            </w:pPr>
            <w:r w:rsidRPr="006739F6">
              <w:t>Detail</w:t>
            </w:r>
          </w:p>
        </w:tc>
        <w:tc>
          <w:tcPr>
            <w:tcW w:w="3998" w:type="dxa"/>
          </w:tcPr>
          <w:p w14:paraId="2A51A504" w14:textId="77777777" w:rsidR="007745BF" w:rsidRPr="006739F6" w:rsidRDefault="007745BF" w:rsidP="006739F6">
            <w:pPr>
              <w:pStyle w:val="TableHeading"/>
            </w:pPr>
            <w:r w:rsidRPr="006739F6">
              <w:t>Purpose</w:t>
            </w:r>
          </w:p>
        </w:tc>
      </w:tr>
      <w:tr w:rsidR="007745BF" w:rsidRPr="006739F6" w14:paraId="7A4F14F4" w14:textId="77777777" w:rsidTr="00F92BF2">
        <w:trPr>
          <w:cantSplit/>
          <w:trHeight w:val="60"/>
        </w:trPr>
        <w:tc>
          <w:tcPr>
            <w:tcW w:w="567" w:type="dxa"/>
          </w:tcPr>
          <w:p w14:paraId="0577B6C8" w14:textId="77777777" w:rsidR="007745BF" w:rsidRPr="006739F6" w:rsidRDefault="007745BF" w:rsidP="006739F6">
            <w:pPr>
              <w:pStyle w:val="TableCopy"/>
              <w:rPr>
                <w:b/>
                <w:bCs/>
              </w:rPr>
            </w:pPr>
            <w:r w:rsidRPr="006739F6">
              <w:rPr>
                <w:b/>
                <w:bCs/>
              </w:rPr>
              <w:t>L1</w:t>
            </w:r>
          </w:p>
        </w:tc>
        <w:tc>
          <w:tcPr>
            <w:tcW w:w="1838" w:type="dxa"/>
          </w:tcPr>
          <w:p w14:paraId="5CABCC9A" w14:textId="77777777" w:rsidR="007745BF" w:rsidRPr="006739F6" w:rsidRDefault="007745BF" w:rsidP="006739F6">
            <w:pPr>
              <w:pStyle w:val="TableCopy"/>
              <w:rPr>
                <w:b/>
                <w:bCs/>
              </w:rPr>
            </w:pPr>
            <w:r w:rsidRPr="006739F6">
              <w:rPr>
                <w:b/>
                <w:bCs/>
              </w:rPr>
              <w:t>Residential areas</w:t>
            </w:r>
          </w:p>
        </w:tc>
        <w:tc>
          <w:tcPr>
            <w:tcW w:w="3378" w:type="dxa"/>
          </w:tcPr>
          <w:p w14:paraId="45D527C1" w14:textId="77777777" w:rsidR="007745BF" w:rsidRPr="006739F6" w:rsidRDefault="007745BF" w:rsidP="006739F6">
            <w:pPr>
              <w:pStyle w:val="TableCopy"/>
            </w:pPr>
            <w:r w:rsidRPr="006739F6">
              <w:t>Data centres prohibited on residential zoned land and a 150m buffer between a residential building and a proposed data centre building will be introduced and enforced via the planning system.</w:t>
            </w:r>
          </w:p>
        </w:tc>
        <w:tc>
          <w:tcPr>
            <w:tcW w:w="3998" w:type="dxa"/>
          </w:tcPr>
          <w:p w14:paraId="1D6301F7" w14:textId="77777777" w:rsidR="007745BF" w:rsidRPr="006739F6" w:rsidRDefault="007745BF" w:rsidP="006739F6">
            <w:pPr>
              <w:pStyle w:val="TableCopy"/>
            </w:pPr>
            <w:r w:rsidRPr="006739F6">
              <w:t>Separates facilities from homes and sensitive uses.</w:t>
            </w:r>
          </w:p>
        </w:tc>
      </w:tr>
      <w:tr w:rsidR="007745BF" w:rsidRPr="006739F6" w14:paraId="306D3323" w14:textId="77777777" w:rsidTr="00F92BF2">
        <w:trPr>
          <w:cantSplit/>
          <w:trHeight w:val="60"/>
        </w:trPr>
        <w:tc>
          <w:tcPr>
            <w:tcW w:w="567" w:type="dxa"/>
          </w:tcPr>
          <w:p w14:paraId="46E3C5A2" w14:textId="77777777" w:rsidR="007745BF" w:rsidRPr="006739F6" w:rsidRDefault="007745BF" w:rsidP="006739F6">
            <w:pPr>
              <w:pStyle w:val="TableCopy"/>
              <w:rPr>
                <w:b/>
                <w:bCs/>
              </w:rPr>
            </w:pPr>
            <w:r w:rsidRPr="006739F6">
              <w:rPr>
                <w:b/>
                <w:bCs/>
              </w:rPr>
              <w:lastRenderedPageBreak/>
              <w:t>L2</w:t>
            </w:r>
          </w:p>
        </w:tc>
        <w:tc>
          <w:tcPr>
            <w:tcW w:w="1838" w:type="dxa"/>
          </w:tcPr>
          <w:p w14:paraId="2B21AE65" w14:textId="77777777" w:rsidR="007745BF" w:rsidRPr="006739F6" w:rsidRDefault="007745BF" w:rsidP="006739F6">
            <w:pPr>
              <w:pStyle w:val="TableCopy"/>
              <w:rPr>
                <w:b/>
                <w:bCs/>
              </w:rPr>
            </w:pPr>
            <w:r w:rsidRPr="006739F6">
              <w:rPr>
                <w:b/>
                <w:bCs/>
              </w:rPr>
              <w:t>Rural areas</w:t>
            </w:r>
          </w:p>
        </w:tc>
        <w:tc>
          <w:tcPr>
            <w:tcW w:w="3378" w:type="dxa"/>
          </w:tcPr>
          <w:p w14:paraId="462C2AAA" w14:textId="77777777" w:rsidR="007745BF" w:rsidRPr="006739F6" w:rsidRDefault="007745BF" w:rsidP="006739F6">
            <w:pPr>
              <w:pStyle w:val="TableCopy"/>
            </w:pPr>
            <w:r w:rsidRPr="006739F6">
              <w:t>Prohibited in rural zones unless located near and able to be serviced by infrastructure critical to data centre operation – major transmission infrastructure, substations, renewable energy facilities, battery energy storage systems or recycled water infrastructure.</w:t>
            </w:r>
          </w:p>
        </w:tc>
        <w:tc>
          <w:tcPr>
            <w:tcW w:w="3998" w:type="dxa"/>
          </w:tcPr>
          <w:p w14:paraId="276D8AA9" w14:textId="77777777" w:rsidR="007745BF" w:rsidRPr="006739F6" w:rsidRDefault="007745BF" w:rsidP="006739F6">
            <w:pPr>
              <w:pStyle w:val="TableCopy"/>
            </w:pPr>
            <w:r w:rsidRPr="006739F6">
              <w:t>Directs investment to places where servicing infrastructure already exists and keeps it away from productive agricultural land.</w:t>
            </w:r>
          </w:p>
        </w:tc>
      </w:tr>
      <w:tr w:rsidR="007745BF" w:rsidRPr="006739F6" w14:paraId="01BA5DA4" w14:textId="77777777" w:rsidTr="00F92BF2">
        <w:trPr>
          <w:cantSplit/>
          <w:trHeight w:val="60"/>
        </w:trPr>
        <w:tc>
          <w:tcPr>
            <w:tcW w:w="567" w:type="dxa"/>
          </w:tcPr>
          <w:p w14:paraId="684F92F7" w14:textId="77777777" w:rsidR="007745BF" w:rsidRPr="006739F6" w:rsidRDefault="007745BF" w:rsidP="006739F6">
            <w:pPr>
              <w:pStyle w:val="TableCopy"/>
              <w:rPr>
                <w:b/>
                <w:bCs/>
              </w:rPr>
            </w:pPr>
            <w:r w:rsidRPr="006739F6">
              <w:rPr>
                <w:b/>
                <w:bCs/>
              </w:rPr>
              <w:t>L3</w:t>
            </w:r>
          </w:p>
        </w:tc>
        <w:tc>
          <w:tcPr>
            <w:tcW w:w="1838" w:type="dxa"/>
          </w:tcPr>
          <w:p w14:paraId="4FC5F1FC" w14:textId="77777777" w:rsidR="007745BF" w:rsidRPr="006739F6" w:rsidRDefault="007745BF" w:rsidP="006739F6">
            <w:pPr>
              <w:pStyle w:val="TableCopy"/>
              <w:rPr>
                <w:b/>
                <w:bCs/>
              </w:rPr>
            </w:pPr>
            <w:r w:rsidRPr="006739F6">
              <w:rPr>
                <w:b/>
                <w:bCs/>
              </w:rPr>
              <w:t>Statewide planning policy</w:t>
            </w:r>
          </w:p>
        </w:tc>
        <w:tc>
          <w:tcPr>
            <w:tcW w:w="3378" w:type="dxa"/>
          </w:tcPr>
          <w:p w14:paraId="77E12BBB" w14:textId="77777777" w:rsidR="007745BF" w:rsidRPr="006739F6" w:rsidRDefault="007745BF" w:rsidP="006739F6">
            <w:pPr>
              <w:pStyle w:val="TableCopy"/>
            </w:pPr>
            <w:r w:rsidRPr="006739F6">
              <w:t>A statewide planning policy will guide location, design, scale and infrastructure requirements. Detailed siting, design and built-form guidance to be developed with stakeholder input in 2027.</w:t>
            </w:r>
          </w:p>
        </w:tc>
        <w:tc>
          <w:tcPr>
            <w:tcW w:w="3998" w:type="dxa"/>
          </w:tcPr>
          <w:p w14:paraId="1457A750" w14:textId="77777777" w:rsidR="007745BF" w:rsidRPr="006739F6" w:rsidRDefault="007745BF" w:rsidP="006739F6">
            <w:pPr>
              <w:pStyle w:val="TableCopy"/>
            </w:pPr>
            <w:r w:rsidRPr="006739F6">
              <w:t>Gives applicants, communities and decision-makers greater certainty while encouraging efficient use of energy and water resources.</w:t>
            </w:r>
          </w:p>
        </w:tc>
      </w:tr>
    </w:tbl>
    <w:p w14:paraId="65A70B2E" w14:textId="77777777" w:rsidR="007745BF" w:rsidRPr="007745BF" w:rsidRDefault="007745BF" w:rsidP="007745BF">
      <w:pPr>
        <w:rPr>
          <w:lang w:val="en-GB"/>
        </w:rPr>
      </w:pPr>
    </w:p>
    <w:p w14:paraId="5464E32A" w14:textId="77777777" w:rsidR="007745BF" w:rsidRPr="007745BF" w:rsidRDefault="007745BF" w:rsidP="00DF1E54">
      <w:pPr>
        <w:pStyle w:val="Heading3"/>
        <w:rPr>
          <w:lang w:val="en-GB"/>
        </w:rPr>
      </w:pPr>
      <w:bookmarkStart w:id="13" w:name="_Toc241570403"/>
      <w:r w:rsidRPr="007745BF">
        <w:rPr>
          <w:lang w:val="en-GB"/>
        </w:rPr>
        <w:t xml:space="preserve">Traffic </w:t>
      </w:r>
      <w:r w:rsidRPr="00DF1E54">
        <w:t>Controls</w:t>
      </w:r>
      <w:bookmarkEnd w:id="13"/>
      <w:r w:rsidRPr="007745BF">
        <w:rPr>
          <w:lang w:val="en-GB"/>
        </w:rPr>
        <w:t xml:space="preserve"> </w:t>
      </w:r>
    </w:p>
    <w:p w14:paraId="3D6BB1FA" w14:textId="77777777" w:rsidR="007745BF" w:rsidRPr="007745BF" w:rsidRDefault="007745BF" w:rsidP="007745BF">
      <w:pPr>
        <w:rPr>
          <w:lang w:val="en-GB"/>
        </w:rPr>
      </w:pPr>
      <w:r w:rsidRPr="007745BF">
        <w:rPr>
          <w:lang w:val="en-GB"/>
        </w:rPr>
        <w:t xml:space="preserve">Before any construction work begins on public road verges, footpaths, or traffic lanes, developers must clear </w:t>
      </w:r>
      <w:proofErr w:type="gramStart"/>
      <w:r w:rsidRPr="007745BF">
        <w:rPr>
          <w:lang w:val="en-GB"/>
        </w:rPr>
        <w:t>mandatory</w:t>
      </w:r>
      <w:proofErr w:type="gramEnd"/>
      <w:r w:rsidRPr="007745BF">
        <w:rPr>
          <w:lang w:val="en-GB"/>
        </w:rPr>
        <w:t xml:space="preserve"> state safety gates:</w:t>
      </w:r>
    </w:p>
    <w:p w14:paraId="679796FD" w14:textId="77777777" w:rsidR="007745BF" w:rsidRPr="007745BF" w:rsidRDefault="007745BF" w:rsidP="00DF1E54">
      <w:pPr>
        <w:pStyle w:val="Bullet"/>
        <w:rPr>
          <w:lang w:val="en-GB"/>
        </w:rPr>
      </w:pPr>
      <w:r w:rsidRPr="007745BF">
        <w:rPr>
          <w:lang w:val="en-GB"/>
        </w:rPr>
        <w:t>Planning Permit First – Development must first meet local planning approval requirements.</w:t>
      </w:r>
    </w:p>
    <w:p w14:paraId="3D885994" w14:textId="77777777" w:rsidR="007745BF" w:rsidRPr="007745BF" w:rsidRDefault="007745BF" w:rsidP="00DF1E54">
      <w:pPr>
        <w:pStyle w:val="Bullet"/>
        <w:rPr>
          <w:lang w:val="en-GB"/>
        </w:rPr>
      </w:pPr>
      <w:r w:rsidRPr="007745BF">
        <w:rPr>
          <w:lang w:val="en-GB"/>
        </w:rPr>
        <w:t>Road Reserve Access Consent – Developers must obtain official consent to work within public road corridors (such as vehicle crossovers, utility trenching, or temporary site access points). Applications undergo a 20-day statutory assessment by the Department of Transport and Planning (DTP).</w:t>
      </w:r>
    </w:p>
    <w:p w14:paraId="32E14B4C" w14:textId="77777777" w:rsidR="007745BF" w:rsidRPr="007745BF" w:rsidRDefault="007745BF" w:rsidP="00DF1E54">
      <w:pPr>
        <w:pStyle w:val="Bullet"/>
        <w:rPr>
          <w:lang w:val="en-GB"/>
        </w:rPr>
      </w:pPr>
      <w:r w:rsidRPr="007745BF">
        <w:rPr>
          <w:lang w:val="en-GB"/>
        </w:rPr>
        <w:t>Traffic Management Plan (Memorandum of Authorisation) – Following access consent, an accredited traffic management company must submit a site-specific traffic plan.</w:t>
      </w:r>
    </w:p>
    <w:p w14:paraId="081275DC" w14:textId="77777777" w:rsidR="007745BF" w:rsidRPr="007745BF" w:rsidRDefault="007745BF" w:rsidP="00DF1E54">
      <w:pPr>
        <w:pStyle w:val="Bullet"/>
        <w:rPr>
          <w:lang w:val="en-GB"/>
        </w:rPr>
      </w:pPr>
      <w:r w:rsidRPr="007745BF">
        <w:rPr>
          <w:lang w:val="en-GB"/>
        </w:rPr>
        <w:t xml:space="preserve">Regulatory Sign-Off – DTP reviews and authorises traffic control devices (signs, signals, lane diversions) strictly against the national Australian Guide to Temporary Traffic Management (AGTTM) and Victorian Code of Practice. </w:t>
      </w:r>
    </w:p>
    <w:p w14:paraId="474024D4" w14:textId="77777777" w:rsidR="007745BF" w:rsidRPr="007745BF" w:rsidRDefault="007745BF" w:rsidP="00DF1E54">
      <w:pPr>
        <w:pStyle w:val="Heading3"/>
        <w:rPr>
          <w:lang w:val="en-GB"/>
        </w:rPr>
      </w:pPr>
      <w:bookmarkStart w:id="14" w:name="_Toc241570404"/>
      <w:r w:rsidRPr="007745BF">
        <w:rPr>
          <w:lang w:val="en-GB"/>
        </w:rPr>
        <w:t xml:space="preserve">Planning </w:t>
      </w:r>
      <w:r w:rsidRPr="00DF1E54">
        <w:t>Assessment</w:t>
      </w:r>
      <w:r w:rsidRPr="007745BF">
        <w:rPr>
          <w:lang w:val="en-GB"/>
        </w:rPr>
        <w:t xml:space="preserve"> and Notification Framework</w:t>
      </w:r>
      <w:bookmarkEnd w:id="14"/>
    </w:p>
    <w:p w14:paraId="02D1C3CB" w14:textId="77777777" w:rsidR="007745BF" w:rsidRPr="007745BF" w:rsidRDefault="007745BF" w:rsidP="00DF1E54">
      <w:pPr>
        <w:pStyle w:val="Bullet"/>
        <w:rPr>
          <w:lang w:val="en-GB"/>
        </w:rPr>
      </w:pPr>
      <w:r w:rsidRPr="007745BF">
        <w:rPr>
          <w:lang w:val="en-GB"/>
        </w:rPr>
        <w:t xml:space="preserve">Responsible Authority: The Minister for Planning serves as the responsible authority for data centre applications progressed through the Development Facilitation Program </w:t>
      </w:r>
      <w:r w:rsidRPr="007745BF">
        <w:rPr>
          <w:lang w:val="en-GB"/>
        </w:rPr>
        <w:lastRenderedPageBreak/>
        <w:t>(DFP). All other applications remain under the jurisdiction of the relevant municipal council.</w:t>
      </w:r>
    </w:p>
    <w:p w14:paraId="4450F001" w14:textId="77777777" w:rsidR="007745BF" w:rsidRPr="007745BF" w:rsidRDefault="007745BF" w:rsidP="00DF1E54">
      <w:pPr>
        <w:pStyle w:val="Bullet"/>
        <w:rPr>
          <w:lang w:val="en-GB"/>
        </w:rPr>
      </w:pPr>
      <w:r w:rsidRPr="007745BF">
        <w:rPr>
          <w:lang w:val="en-GB"/>
        </w:rPr>
        <w:t>Expanded Referrals: The Victoria Planning Provisions will be formally amended to extend referral status for WorkSafe Victoria, Fire Rescue Victoria, VicGrid and the relevant water corporation to all data centre applications, including those determined by local councils. The EPA already holds statutory referral status for these development types.</w:t>
      </w:r>
    </w:p>
    <w:p w14:paraId="7014251D" w14:textId="77777777" w:rsidR="007745BF" w:rsidRPr="007745BF" w:rsidRDefault="007745BF" w:rsidP="00DF1E54">
      <w:pPr>
        <w:pStyle w:val="Bullet"/>
        <w:rPr>
          <w:lang w:val="en-GB"/>
        </w:rPr>
      </w:pPr>
      <w:r w:rsidRPr="007745BF">
        <w:rPr>
          <w:lang w:val="en-GB"/>
        </w:rPr>
        <w:t>Public Consultation and Visibility: Proponents must ensure comprehensive community notification. Immediate neighbours must be formally notified, detailed application documentation published online, and prominent signage displayed on the proposed site. Under these settings, the assessment of large data centres will involve two clear opportunities for public consultation, firstly through existing planning notice requirements and also through the EPA’s Development Licence application process. These existing notice requirements apply regardless of whether an application is assessed through DFP or the municipal council.</w:t>
      </w:r>
    </w:p>
    <w:p w14:paraId="4FE0B6B4" w14:textId="77777777" w:rsidR="007745BF" w:rsidRPr="007745BF" w:rsidRDefault="007745BF" w:rsidP="00DF1E54">
      <w:pPr>
        <w:pStyle w:val="Heading3"/>
        <w:rPr>
          <w:lang w:val="en-GB"/>
        </w:rPr>
      </w:pPr>
      <w:bookmarkStart w:id="15" w:name="_Toc241570405"/>
      <w:r w:rsidRPr="007745BF">
        <w:rPr>
          <w:lang w:val="en-GB"/>
        </w:rPr>
        <w:t>Noise, back-up generation, fire/electrical safety and construction</w:t>
      </w:r>
      <w:bookmarkEnd w:id="15"/>
    </w:p>
    <w:tbl>
      <w:tblPr>
        <w:tblStyle w:val="TableGrid"/>
        <w:tblW w:w="9781" w:type="dxa"/>
        <w:tblLayout w:type="fixed"/>
        <w:tblLook w:val="0000" w:firstRow="0" w:lastRow="0" w:firstColumn="0" w:lastColumn="0" w:noHBand="0" w:noVBand="0"/>
      </w:tblPr>
      <w:tblGrid>
        <w:gridCol w:w="567"/>
        <w:gridCol w:w="2122"/>
        <w:gridCol w:w="3094"/>
        <w:gridCol w:w="3998"/>
      </w:tblGrid>
      <w:tr w:rsidR="007745BF" w:rsidRPr="00DF1E54" w14:paraId="313DFA1D" w14:textId="77777777" w:rsidTr="00F92BF2">
        <w:trPr>
          <w:cantSplit/>
          <w:trHeight w:val="60"/>
          <w:tblHeader/>
        </w:trPr>
        <w:tc>
          <w:tcPr>
            <w:tcW w:w="567" w:type="dxa"/>
          </w:tcPr>
          <w:p w14:paraId="7ACE0A41" w14:textId="77777777" w:rsidR="007745BF" w:rsidRPr="00DF1E54" w:rsidRDefault="007745BF" w:rsidP="00DF1E54">
            <w:pPr>
              <w:pStyle w:val="TableHeading"/>
            </w:pPr>
            <w:r w:rsidRPr="00DF1E54">
              <w:t>Ref</w:t>
            </w:r>
          </w:p>
        </w:tc>
        <w:tc>
          <w:tcPr>
            <w:tcW w:w="2122" w:type="dxa"/>
          </w:tcPr>
          <w:p w14:paraId="4D6C4AE9" w14:textId="77777777" w:rsidR="007745BF" w:rsidRPr="00DF1E54" w:rsidRDefault="007745BF" w:rsidP="00DF1E54">
            <w:pPr>
              <w:pStyle w:val="TableHeading"/>
            </w:pPr>
            <w:r w:rsidRPr="00DF1E54">
              <w:t>Requirement</w:t>
            </w:r>
          </w:p>
        </w:tc>
        <w:tc>
          <w:tcPr>
            <w:tcW w:w="3094" w:type="dxa"/>
          </w:tcPr>
          <w:p w14:paraId="4E82AAAE" w14:textId="77777777" w:rsidR="007745BF" w:rsidRPr="00DF1E54" w:rsidRDefault="007745BF" w:rsidP="00DF1E54">
            <w:pPr>
              <w:pStyle w:val="TableHeading"/>
            </w:pPr>
            <w:r w:rsidRPr="00DF1E54">
              <w:t>Detail</w:t>
            </w:r>
          </w:p>
        </w:tc>
        <w:tc>
          <w:tcPr>
            <w:tcW w:w="3998" w:type="dxa"/>
          </w:tcPr>
          <w:p w14:paraId="05DAAD7B" w14:textId="77777777" w:rsidR="007745BF" w:rsidRPr="00DF1E54" w:rsidRDefault="007745BF" w:rsidP="00DF1E54">
            <w:pPr>
              <w:pStyle w:val="TableHeading"/>
            </w:pPr>
            <w:r w:rsidRPr="00DF1E54">
              <w:t>Purpose</w:t>
            </w:r>
          </w:p>
        </w:tc>
      </w:tr>
      <w:tr w:rsidR="007745BF" w:rsidRPr="00DF1E54" w14:paraId="2175ED59" w14:textId="77777777" w:rsidTr="00F92BF2">
        <w:trPr>
          <w:cantSplit/>
          <w:trHeight w:val="60"/>
        </w:trPr>
        <w:tc>
          <w:tcPr>
            <w:tcW w:w="567" w:type="dxa"/>
          </w:tcPr>
          <w:p w14:paraId="31B0E761" w14:textId="77777777" w:rsidR="007745BF" w:rsidRPr="00F92BF2" w:rsidRDefault="007745BF" w:rsidP="00DF1E54">
            <w:pPr>
              <w:pStyle w:val="TableCopy"/>
              <w:rPr>
                <w:b/>
                <w:bCs/>
              </w:rPr>
            </w:pPr>
            <w:r w:rsidRPr="00F92BF2">
              <w:rPr>
                <w:b/>
                <w:bCs/>
              </w:rPr>
              <w:t>L4</w:t>
            </w:r>
          </w:p>
        </w:tc>
        <w:tc>
          <w:tcPr>
            <w:tcW w:w="2122" w:type="dxa"/>
          </w:tcPr>
          <w:p w14:paraId="6AA93A98" w14:textId="77777777" w:rsidR="007745BF" w:rsidRPr="00F92BF2" w:rsidRDefault="007745BF" w:rsidP="00DF1E54">
            <w:pPr>
              <w:pStyle w:val="TableCopy"/>
              <w:rPr>
                <w:b/>
                <w:bCs/>
              </w:rPr>
            </w:pPr>
            <w:r w:rsidRPr="00F92BF2">
              <w:rPr>
                <w:b/>
                <w:bCs/>
              </w:rPr>
              <w:t>Noise</w:t>
            </w:r>
          </w:p>
        </w:tc>
        <w:tc>
          <w:tcPr>
            <w:tcW w:w="3094" w:type="dxa"/>
          </w:tcPr>
          <w:p w14:paraId="7939C88F" w14:textId="77777777" w:rsidR="007745BF" w:rsidRPr="00DF1E54" w:rsidRDefault="007745BF" w:rsidP="00DF1E54">
            <w:pPr>
              <w:pStyle w:val="TableCopy"/>
            </w:pPr>
            <w:r w:rsidRPr="00DF1E54">
              <w:t>Statewide industrial/commercial noise limits apply; night-time limit of 55 dB(A) anywhere in Victoria; a penalty applies for tonal noise (the hum characteristic of cooling equipment); where several premises affect the same location they are assessed cumulatively; no equipment is exempt.</w:t>
            </w:r>
          </w:p>
        </w:tc>
        <w:tc>
          <w:tcPr>
            <w:tcW w:w="3998" w:type="dxa"/>
          </w:tcPr>
          <w:p w14:paraId="38D01301" w14:textId="77777777" w:rsidR="007745BF" w:rsidRPr="00DF1E54" w:rsidRDefault="007745BF" w:rsidP="00DF1E54">
            <w:pPr>
              <w:pStyle w:val="TableCopy"/>
            </w:pPr>
            <w:r w:rsidRPr="00DF1E54">
              <w:t>Protects amenity for nearby sensitive receivers, including where facilities cluster.</w:t>
            </w:r>
          </w:p>
        </w:tc>
      </w:tr>
      <w:tr w:rsidR="007745BF" w:rsidRPr="00DF1E54" w14:paraId="776C5E36" w14:textId="77777777" w:rsidTr="00F92BF2">
        <w:trPr>
          <w:cantSplit/>
          <w:trHeight w:val="60"/>
        </w:trPr>
        <w:tc>
          <w:tcPr>
            <w:tcW w:w="567" w:type="dxa"/>
          </w:tcPr>
          <w:p w14:paraId="441F3CF5" w14:textId="77777777" w:rsidR="007745BF" w:rsidRPr="00F92BF2" w:rsidRDefault="007745BF" w:rsidP="00DF1E54">
            <w:pPr>
              <w:pStyle w:val="TableCopy"/>
              <w:rPr>
                <w:b/>
                <w:bCs/>
              </w:rPr>
            </w:pPr>
            <w:r w:rsidRPr="00F92BF2">
              <w:rPr>
                <w:b/>
                <w:bCs/>
              </w:rPr>
              <w:lastRenderedPageBreak/>
              <w:t>L5</w:t>
            </w:r>
          </w:p>
        </w:tc>
        <w:tc>
          <w:tcPr>
            <w:tcW w:w="2122" w:type="dxa"/>
          </w:tcPr>
          <w:p w14:paraId="7D7263BC" w14:textId="77777777" w:rsidR="007745BF" w:rsidRPr="00F92BF2" w:rsidRDefault="007745BF" w:rsidP="00DF1E54">
            <w:pPr>
              <w:pStyle w:val="TableCopy"/>
              <w:rPr>
                <w:b/>
                <w:bCs/>
              </w:rPr>
            </w:pPr>
            <w:r w:rsidRPr="00F92BF2">
              <w:rPr>
                <w:b/>
                <w:bCs/>
              </w:rPr>
              <w:t>Air quality and Emissions</w:t>
            </w:r>
          </w:p>
        </w:tc>
        <w:tc>
          <w:tcPr>
            <w:tcW w:w="3094" w:type="dxa"/>
          </w:tcPr>
          <w:p w14:paraId="2869103F" w14:textId="77777777" w:rsidR="007745BF" w:rsidRPr="00DF1E54" w:rsidRDefault="007745BF" w:rsidP="00DF1E54">
            <w:pPr>
              <w:pStyle w:val="TableCopy"/>
            </w:pPr>
            <w:r w:rsidRPr="00DF1E54">
              <w:t>Proponents must restrict backup diesel generation to emergencies and mandatory testing, deploy best-available technology (such as US EPA Tier 4 equivalent generators), continuously monitor and report runtime/emissions, and mitigate residual greenhouse gas/air-quality impacts through appropriate crediting or localised equivalent management.</w:t>
            </w:r>
          </w:p>
        </w:tc>
        <w:tc>
          <w:tcPr>
            <w:tcW w:w="3998" w:type="dxa"/>
          </w:tcPr>
          <w:p w14:paraId="61A0F88F" w14:textId="77777777" w:rsidR="007745BF" w:rsidRPr="00DF1E54" w:rsidRDefault="007745BF" w:rsidP="00DF1E54">
            <w:pPr>
              <w:pStyle w:val="TableCopy"/>
            </w:pPr>
            <w:r w:rsidRPr="00DF1E54">
              <w:t>To protect local air quality and public health around the site while accounting for greenhouse gas impacts.</w:t>
            </w:r>
          </w:p>
        </w:tc>
      </w:tr>
      <w:tr w:rsidR="007745BF" w:rsidRPr="00DF1E54" w14:paraId="7B3DCE40" w14:textId="77777777" w:rsidTr="00F92BF2">
        <w:trPr>
          <w:cantSplit/>
          <w:trHeight w:val="60"/>
        </w:trPr>
        <w:tc>
          <w:tcPr>
            <w:tcW w:w="567" w:type="dxa"/>
          </w:tcPr>
          <w:p w14:paraId="13673CC6" w14:textId="77777777" w:rsidR="007745BF" w:rsidRPr="00F92BF2" w:rsidRDefault="007745BF" w:rsidP="00DF1E54">
            <w:pPr>
              <w:pStyle w:val="TableCopy"/>
              <w:rPr>
                <w:b/>
                <w:bCs/>
              </w:rPr>
            </w:pPr>
            <w:r w:rsidRPr="00F92BF2">
              <w:rPr>
                <w:b/>
                <w:bCs/>
              </w:rPr>
              <w:t>L6</w:t>
            </w:r>
          </w:p>
        </w:tc>
        <w:tc>
          <w:tcPr>
            <w:tcW w:w="2122" w:type="dxa"/>
          </w:tcPr>
          <w:p w14:paraId="7A9334D8" w14:textId="77777777" w:rsidR="007745BF" w:rsidRPr="00F92BF2" w:rsidRDefault="007745BF" w:rsidP="00DF1E54">
            <w:pPr>
              <w:pStyle w:val="TableCopy"/>
              <w:rPr>
                <w:b/>
                <w:bCs/>
              </w:rPr>
            </w:pPr>
            <w:r w:rsidRPr="00F92BF2">
              <w:rPr>
                <w:b/>
                <w:bCs/>
              </w:rPr>
              <w:t>Fire and electrical safety</w:t>
            </w:r>
          </w:p>
        </w:tc>
        <w:tc>
          <w:tcPr>
            <w:tcW w:w="3094" w:type="dxa"/>
          </w:tcPr>
          <w:p w14:paraId="7C5F3628" w14:textId="77777777" w:rsidR="007745BF" w:rsidRPr="00DF1E54" w:rsidRDefault="007745BF" w:rsidP="00DF1E54">
            <w:pPr>
              <w:pStyle w:val="TableCopy"/>
            </w:pPr>
            <w:r w:rsidRPr="00DF1E54">
              <w:t>Energy Safe Victoria, WorkSafe Victoria, Fire Rescue Victoria and the CFA coordinate regulatory input on electrical, workplace, dangerous goods and fire safety, including advice during planning, joint site inspections, and FRV fire safety guidance.</w:t>
            </w:r>
          </w:p>
        </w:tc>
        <w:tc>
          <w:tcPr>
            <w:tcW w:w="3998" w:type="dxa"/>
          </w:tcPr>
          <w:p w14:paraId="6BAD87C0" w14:textId="77777777" w:rsidR="007745BF" w:rsidRPr="00DF1E54" w:rsidRDefault="007745BF" w:rsidP="00DF1E54">
            <w:pPr>
              <w:pStyle w:val="TableCopy"/>
            </w:pPr>
            <w:r w:rsidRPr="00DF1E54">
              <w:t>Identifies and manages emerging risks as the sector grows.</w:t>
            </w:r>
          </w:p>
        </w:tc>
      </w:tr>
      <w:tr w:rsidR="007745BF" w:rsidRPr="00DF1E54" w14:paraId="306D55D6" w14:textId="77777777" w:rsidTr="00F92BF2">
        <w:trPr>
          <w:cantSplit/>
          <w:trHeight w:val="60"/>
        </w:trPr>
        <w:tc>
          <w:tcPr>
            <w:tcW w:w="567" w:type="dxa"/>
          </w:tcPr>
          <w:p w14:paraId="0D1E770C" w14:textId="77777777" w:rsidR="007745BF" w:rsidRPr="00F92BF2" w:rsidRDefault="007745BF" w:rsidP="00DF1E54">
            <w:pPr>
              <w:pStyle w:val="TableCopy"/>
              <w:rPr>
                <w:b/>
                <w:bCs/>
              </w:rPr>
            </w:pPr>
            <w:r w:rsidRPr="00F92BF2">
              <w:rPr>
                <w:b/>
                <w:bCs/>
              </w:rPr>
              <w:t>L7</w:t>
            </w:r>
          </w:p>
        </w:tc>
        <w:tc>
          <w:tcPr>
            <w:tcW w:w="2122" w:type="dxa"/>
          </w:tcPr>
          <w:p w14:paraId="64C9BC55" w14:textId="77777777" w:rsidR="007745BF" w:rsidRPr="00F92BF2" w:rsidRDefault="007745BF" w:rsidP="00DF1E54">
            <w:pPr>
              <w:pStyle w:val="TableCopy"/>
              <w:rPr>
                <w:b/>
                <w:bCs/>
              </w:rPr>
            </w:pPr>
            <w:r w:rsidRPr="00F92BF2">
              <w:rPr>
                <w:b/>
                <w:bCs/>
              </w:rPr>
              <w:t>Construction and local amenity</w:t>
            </w:r>
          </w:p>
        </w:tc>
        <w:tc>
          <w:tcPr>
            <w:tcW w:w="3094" w:type="dxa"/>
          </w:tcPr>
          <w:p w14:paraId="2A4AF2D4" w14:textId="77777777" w:rsidR="007745BF" w:rsidRPr="00DF1E54" w:rsidRDefault="007745BF" w:rsidP="00DF1E54">
            <w:pPr>
              <w:pStyle w:val="TableCopy"/>
            </w:pPr>
            <w:r w:rsidRPr="00DF1E54">
              <w:t xml:space="preserve">Proponents are expected to engage early with VicRoads, telecommunications and fibre providers to coordinate traffic management and infrastructure requirements, including shared underground conduits where possible. </w:t>
            </w:r>
          </w:p>
        </w:tc>
        <w:tc>
          <w:tcPr>
            <w:tcW w:w="3998" w:type="dxa"/>
          </w:tcPr>
          <w:p w14:paraId="185282B7" w14:textId="77777777" w:rsidR="007745BF" w:rsidRPr="00DF1E54" w:rsidRDefault="007745BF" w:rsidP="00DF1E54">
            <w:pPr>
              <w:pStyle w:val="TableCopy"/>
            </w:pPr>
            <w:r w:rsidRPr="00DF1E54">
              <w:t>Avoids repeated excavation disrupting local streets.</w:t>
            </w:r>
          </w:p>
        </w:tc>
      </w:tr>
    </w:tbl>
    <w:p w14:paraId="4CC44F40" w14:textId="77777777" w:rsidR="007745BF" w:rsidRPr="007745BF" w:rsidRDefault="007745BF" w:rsidP="00DF1E54">
      <w:pPr>
        <w:pStyle w:val="Heading3"/>
        <w:rPr>
          <w:lang w:val="en-GB"/>
        </w:rPr>
      </w:pPr>
      <w:bookmarkStart w:id="16" w:name="_Toc241570406"/>
      <w:r w:rsidRPr="007745BF">
        <w:rPr>
          <w:lang w:val="en-GB"/>
        </w:rPr>
        <w:t>Community, First Peoples and environment</w:t>
      </w:r>
      <w:bookmarkEnd w:id="16"/>
    </w:p>
    <w:p w14:paraId="22212A63" w14:textId="77777777" w:rsidR="007745BF" w:rsidRPr="007745BF" w:rsidRDefault="007745BF" w:rsidP="00DF1E54">
      <w:pPr>
        <w:pStyle w:val="Bullet"/>
        <w:rPr>
          <w:lang w:val="en-GB"/>
        </w:rPr>
      </w:pPr>
      <w:r w:rsidRPr="007745BF">
        <w:rPr>
          <w:lang w:val="en-GB"/>
        </w:rPr>
        <w:t xml:space="preserve">Proactive Engagement: In addition to standard statutory public consultation requirements, proponents of all data centre projects, including those accelerated through the Development Facilitation Program, must actively engage with local </w:t>
      </w:r>
      <w:r w:rsidRPr="007745BF">
        <w:rPr>
          <w:lang w:val="en-GB"/>
        </w:rPr>
        <w:lastRenderedPageBreak/>
        <w:t>communities, First Peoples, and host municipal councils both prior to and throughout the approval process.</w:t>
      </w:r>
    </w:p>
    <w:p w14:paraId="6D63CD29" w14:textId="77777777" w:rsidR="007745BF" w:rsidRPr="007745BF" w:rsidRDefault="007745BF" w:rsidP="00DF1E54">
      <w:pPr>
        <w:pStyle w:val="Bullet"/>
        <w:rPr>
          <w:lang w:val="en-GB"/>
        </w:rPr>
      </w:pPr>
      <w:r w:rsidRPr="007745BF">
        <w:rPr>
          <w:lang w:val="en-GB"/>
        </w:rPr>
        <w:t xml:space="preserve">Aboriginal Cultural Heritage: Statutory cultural heritage protections apply to data centres exactly as they do to any other development. Where a proposal involves a high-impact activity within an area of cultural heritage sensitivity, a Cultural Heritage Management Plan must be prepared and formally approved by the relevant Registered Aboriginal Party before any activity can commence. </w:t>
      </w:r>
    </w:p>
    <w:p w14:paraId="28C29CC0" w14:textId="77777777" w:rsidR="007745BF" w:rsidRPr="007745BF" w:rsidRDefault="007745BF" w:rsidP="00DF1E54">
      <w:pPr>
        <w:pStyle w:val="Bullet"/>
        <w:rPr>
          <w:lang w:val="en-GB"/>
        </w:rPr>
      </w:pPr>
      <w:r w:rsidRPr="007745BF">
        <w:rPr>
          <w:lang w:val="en-GB"/>
        </w:rPr>
        <w:t xml:space="preserve">General Environmental Duty: The General Environmental Duty under the </w:t>
      </w:r>
      <w:r w:rsidRPr="007745BF">
        <w:rPr>
          <w:i/>
          <w:iCs/>
          <w:lang w:val="en-GB"/>
        </w:rPr>
        <w:t>Environment Protection Act 2017</w:t>
      </w:r>
      <w:r w:rsidRPr="007745BF">
        <w:rPr>
          <w:lang w:val="en-GB"/>
        </w:rPr>
        <w:t xml:space="preserve"> binds every facility operator, with no minimum threshold. Proponents are expected to proactively identify and minimise adverse environmental impacts, including risks to native vegetation, waterways, and land, during the initial site selection phase, rather than attempting to mitigate poor locational choices during the formal assessment process.</w:t>
      </w:r>
    </w:p>
    <w:p w14:paraId="4D043928" w14:textId="77777777" w:rsidR="007745BF" w:rsidRPr="007745BF" w:rsidRDefault="007745BF" w:rsidP="00DF1E54">
      <w:pPr>
        <w:pStyle w:val="Bullet"/>
        <w:rPr>
          <w:lang w:val="en-GB"/>
        </w:rPr>
      </w:pPr>
      <w:r w:rsidRPr="007745BF">
        <w:rPr>
          <w:lang w:val="en-GB"/>
        </w:rPr>
        <w:t>Environmental Sustainability and Landscaping: updates to the Victorian State Planning Policy framework will enable planning permit applications to be assessed against the environmental sustainability of a development application – including space provided for the planting of more trees, water sensitive urban design, landscaping and visual bulk.</w:t>
      </w:r>
    </w:p>
    <w:p w14:paraId="36119158" w14:textId="77777777" w:rsidR="007745BF" w:rsidRPr="007745BF" w:rsidRDefault="007745BF" w:rsidP="00DF1E54">
      <w:pPr>
        <w:pStyle w:val="Heading3"/>
        <w:rPr>
          <w:lang w:val="en-GB"/>
        </w:rPr>
      </w:pPr>
      <w:bookmarkStart w:id="17" w:name="_Toc241570407"/>
      <w:r w:rsidRPr="007745BF">
        <w:rPr>
          <w:lang w:val="en-GB"/>
        </w:rPr>
        <w:t xml:space="preserve">Local </w:t>
      </w:r>
      <w:r w:rsidRPr="00DF1E54">
        <w:t>investment</w:t>
      </w:r>
      <w:r w:rsidRPr="007745BF">
        <w:rPr>
          <w:lang w:val="en-GB"/>
        </w:rPr>
        <w:t xml:space="preserve"> guarantee</w:t>
      </w:r>
      <w:bookmarkEnd w:id="17"/>
      <w:r w:rsidRPr="007745BF">
        <w:rPr>
          <w:lang w:val="en-GB"/>
        </w:rPr>
        <w:t xml:space="preserve"> </w:t>
      </w:r>
    </w:p>
    <w:p w14:paraId="5B01A054" w14:textId="77777777" w:rsidR="007745BF" w:rsidRPr="007745BF" w:rsidRDefault="007745BF" w:rsidP="007745BF">
      <w:pPr>
        <w:rPr>
          <w:lang w:val="en-GB"/>
        </w:rPr>
      </w:pPr>
      <w:r w:rsidRPr="007745BF">
        <w:rPr>
          <w:lang w:val="en-GB"/>
        </w:rPr>
        <w:t xml:space="preserve">Victoria will work with the local government sector, industry and local communities to establish a Local Investment Guarantee as part of a Data Centre development. </w:t>
      </w:r>
    </w:p>
    <w:p w14:paraId="68709BAB" w14:textId="77777777" w:rsidR="007745BF" w:rsidRPr="007745BF" w:rsidRDefault="007745BF" w:rsidP="007745BF">
      <w:pPr>
        <w:rPr>
          <w:lang w:val="en-GB"/>
        </w:rPr>
      </w:pPr>
      <w:r w:rsidRPr="007745BF">
        <w:rPr>
          <w:lang w:val="en-GB"/>
        </w:rPr>
        <w:t xml:space="preserve">This guarantee will go above and beyond the regulatory and compliance expectations established in the Action Plan and should deliver a proportionate, enduring and measurable local impact. </w:t>
      </w:r>
    </w:p>
    <w:p w14:paraId="4310D134" w14:textId="77777777" w:rsidR="007745BF" w:rsidRPr="007745BF" w:rsidRDefault="007745BF" w:rsidP="007745BF">
      <w:pPr>
        <w:rPr>
          <w:lang w:val="en-GB"/>
        </w:rPr>
      </w:pPr>
      <w:r w:rsidRPr="007745BF">
        <w:rPr>
          <w:lang w:val="en-GB"/>
        </w:rPr>
        <w:t>Investments that must be considered include local employment, skills development, training partnerships, engagement with First Nations communities, local procurement, and measures to improve local areas (trees, parks, community facilities).</w:t>
      </w:r>
    </w:p>
    <w:p w14:paraId="773688CF" w14:textId="163C3847" w:rsidR="007745BF" w:rsidRPr="007745BF" w:rsidRDefault="007745BF" w:rsidP="004D2EC0">
      <w:pPr>
        <w:pStyle w:val="Heading2"/>
        <w:numPr>
          <w:ilvl w:val="1"/>
          <w:numId w:val="31"/>
        </w:numPr>
        <w:ind w:left="709"/>
        <w:rPr>
          <w:lang w:val="en-GB"/>
        </w:rPr>
      </w:pPr>
      <w:bookmarkStart w:id="18" w:name="_Toc241570408"/>
      <w:r w:rsidRPr="007745BF">
        <w:rPr>
          <w:lang w:val="en-GB"/>
        </w:rPr>
        <w:t xml:space="preserve">New </w:t>
      </w:r>
      <w:r w:rsidRPr="00DF1E54">
        <w:t>Energy</w:t>
      </w:r>
      <w:r w:rsidRPr="007745BF">
        <w:rPr>
          <w:lang w:val="en-GB"/>
        </w:rPr>
        <w:t xml:space="preserve"> Supply and Grid Readiness</w:t>
      </w:r>
      <w:bookmarkEnd w:id="18"/>
    </w:p>
    <w:p w14:paraId="022B7400" w14:textId="77777777" w:rsidR="007745BF" w:rsidRPr="007745BF" w:rsidRDefault="007745BF" w:rsidP="007745BF">
      <w:pPr>
        <w:rPr>
          <w:lang w:val="en-GB"/>
        </w:rPr>
      </w:pPr>
      <w:r w:rsidRPr="007745BF">
        <w:rPr>
          <w:lang w:val="en-GB"/>
        </w:rPr>
        <w:t>Data centre electricity demand is expected to be met by new investment in renewable energy, without increasing electricity prices or reliability risks for other Victorian energy users.</w:t>
      </w:r>
    </w:p>
    <w:p w14:paraId="24C2C400" w14:textId="7D0B914D" w:rsidR="007745BF" w:rsidRPr="00DF1E54" w:rsidRDefault="007745BF" w:rsidP="00DF1E54">
      <w:pPr>
        <w:pStyle w:val="Heading3"/>
      </w:pPr>
      <w:bookmarkStart w:id="19" w:name="_Toc241570409"/>
      <w:r w:rsidRPr="00DF1E54">
        <w:lastRenderedPageBreak/>
        <w:t>Requirements</w:t>
      </w:r>
      <w:bookmarkEnd w:id="19"/>
    </w:p>
    <w:tbl>
      <w:tblPr>
        <w:tblStyle w:val="TableGrid"/>
        <w:tblW w:w="9781" w:type="dxa"/>
        <w:tblLayout w:type="fixed"/>
        <w:tblLook w:val="0000" w:firstRow="0" w:lastRow="0" w:firstColumn="0" w:lastColumn="0" w:noHBand="0" w:noVBand="0"/>
      </w:tblPr>
      <w:tblGrid>
        <w:gridCol w:w="567"/>
        <w:gridCol w:w="1980"/>
        <w:gridCol w:w="3236"/>
        <w:gridCol w:w="3998"/>
      </w:tblGrid>
      <w:tr w:rsidR="007745BF" w:rsidRPr="007745BF" w14:paraId="5C1D6799" w14:textId="77777777" w:rsidTr="00F92BF2">
        <w:trPr>
          <w:cantSplit/>
          <w:trHeight w:val="60"/>
          <w:tblHeader/>
        </w:trPr>
        <w:tc>
          <w:tcPr>
            <w:tcW w:w="567" w:type="dxa"/>
          </w:tcPr>
          <w:p w14:paraId="5EE5E959" w14:textId="77777777" w:rsidR="007745BF" w:rsidRPr="00DF1E54" w:rsidRDefault="007745BF" w:rsidP="00DF1E54">
            <w:pPr>
              <w:pStyle w:val="TableHeading"/>
            </w:pPr>
            <w:r w:rsidRPr="00DF1E54">
              <w:t>#</w:t>
            </w:r>
          </w:p>
        </w:tc>
        <w:tc>
          <w:tcPr>
            <w:tcW w:w="1980" w:type="dxa"/>
          </w:tcPr>
          <w:p w14:paraId="3535E1C3" w14:textId="77777777" w:rsidR="007745BF" w:rsidRPr="00DF1E54" w:rsidRDefault="007745BF" w:rsidP="00DF1E54">
            <w:pPr>
              <w:pStyle w:val="TableHeading"/>
            </w:pPr>
            <w:r w:rsidRPr="00DF1E54">
              <w:t>Requirement</w:t>
            </w:r>
          </w:p>
        </w:tc>
        <w:tc>
          <w:tcPr>
            <w:tcW w:w="3236" w:type="dxa"/>
          </w:tcPr>
          <w:p w14:paraId="6F22B4ED" w14:textId="77777777" w:rsidR="007745BF" w:rsidRPr="00DF1E54" w:rsidRDefault="007745BF" w:rsidP="00DF1E54">
            <w:pPr>
              <w:pStyle w:val="TableHeading"/>
            </w:pPr>
            <w:r w:rsidRPr="00DF1E54">
              <w:t>Detail</w:t>
            </w:r>
          </w:p>
        </w:tc>
        <w:tc>
          <w:tcPr>
            <w:tcW w:w="3998" w:type="dxa"/>
          </w:tcPr>
          <w:p w14:paraId="2183E60E" w14:textId="77777777" w:rsidR="007745BF" w:rsidRPr="00DF1E54" w:rsidRDefault="007745BF" w:rsidP="00DF1E54">
            <w:pPr>
              <w:pStyle w:val="TableHeading"/>
            </w:pPr>
            <w:r w:rsidRPr="00DF1E54">
              <w:t>Purpose</w:t>
            </w:r>
          </w:p>
        </w:tc>
      </w:tr>
      <w:tr w:rsidR="007745BF" w:rsidRPr="007745BF" w14:paraId="74B26FED" w14:textId="77777777" w:rsidTr="00F92BF2">
        <w:trPr>
          <w:cantSplit/>
          <w:trHeight w:val="60"/>
        </w:trPr>
        <w:tc>
          <w:tcPr>
            <w:tcW w:w="567" w:type="dxa"/>
          </w:tcPr>
          <w:p w14:paraId="6F1C417B" w14:textId="77777777" w:rsidR="007745BF" w:rsidRPr="00DF1E54" w:rsidRDefault="007745BF" w:rsidP="00DF1E54">
            <w:pPr>
              <w:pStyle w:val="TableCopy"/>
              <w:rPr>
                <w:b/>
                <w:bCs/>
                <w:lang w:val="en-GB"/>
              </w:rPr>
            </w:pPr>
            <w:r w:rsidRPr="00DF1E54">
              <w:rPr>
                <w:b/>
                <w:bCs/>
                <w:lang w:val="en-GB"/>
              </w:rPr>
              <w:t>E1</w:t>
            </w:r>
          </w:p>
        </w:tc>
        <w:tc>
          <w:tcPr>
            <w:tcW w:w="1980" w:type="dxa"/>
          </w:tcPr>
          <w:p w14:paraId="2A08F0EA" w14:textId="77777777" w:rsidR="007745BF" w:rsidRPr="00DF1E54" w:rsidRDefault="007745BF" w:rsidP="00DF1E54">
            <w:pPr>
              <w:pStyle w:val="TableCopy"/>
              <w:rPr>
                <w:b/>
                <w:bCs/>
                <w:lang w:val="en-GB"/>
              </w:rPr>
            </w:pPr>
            <w:r w:rsidRPr="00DF1E54">
              <w:rPr>
                <w:b/>
                <w:bCs/>
                <w:lang w:val="en-GB"/>
              </w:rPr>
              <w:t>Bring your own supply</w:t>
            </w:r>
          </w:p>
        </w:tc>
        <w:tc>
          <w:tcPr>
            <w:tcW w:w="3236" w:type="dxa"/>
          </w:tcPr>
          <w:p w14:paraId="340F03C5" w14:textId="77777777" w:rsidR="007745BF" w:rsidRPr="007745BF" w:rsidRDefault="007745BF" w:rsidP="00DF1E54">
            <w:pPr>
              <w:pStyle w:val="TableCopy"/>
              <w:rPr>
                <w:lang w:val="en-GB"/>
              </w:rPr>
            </w:pPr>
            <w:r w:rsidRPr="007745BF">
              <w:rPr>
                <w:lang w:val="en-GB"/>
              </w:rPr>
              <w:t>Offset actual operational electricity use by investing in new renewable energy generation and storage. Detailed compliance, verification and firming requirements to be finalised in step with Commonwealth standards.</w:t>
            </w:r>
          </w:p>
        </w:tc>
        <w:tc>
          <w:tcPr>
            <w:tcW w:w="3998" w:type="dxa"/>
          </w:tcPr>
          <w:p w14:paraId="3F107056" w14:textId="77777777" w:rsidR="007745BF" w:rsidRPr="007745BF" w:rsidRDefault="007745BF" w:rsidP="00DF1E54">
            <w:pPr>
              <w:pStyle w:val="TableCopy"/>
              <w:rPr>
                <w:lang w:val="en-GB"/>
              </w:rPr>
            </w:pPr>
            <w:r w:rsidRPr="007745BF">
              <w:rPr>
                <w:lang w:val="en-GB"/>
              </w:rPr>
              <w:t>Matches new demand with new generation rather than drawing on existing supply.</w:t>
            </w:r>
          </w:p>
        </w:tc>
      </w:tr>
      <w:tr w:rsidR="007745BF" w:rsidRPr="007745BF" w14:paraId="1560B5C9" w14:textId="77777777" w:rsidTr="00F92BF2">
        <w:trPr>
          <w:cantSplit/>
          <w:trHeight w:val="60"/>
        </w:trPr>
        <w:tc>
          <w:tcPr>
            <w:tcW w:w="567" w:type="dxa"/>
          </w:tcPr>
          <w:p w14:paraId="7C7CCB62" w14:textId="77777777" w:rsidR="007745BF" w:rsidRPr="00DF1E54" w:rsidRDefault="007745BF" w:rsidP="00DF1E54">
            <w:pPr>
              <w:pStyle w:val="TableCopy"/>
              <w:rPr>
                <w:b/>
                <w:bCs/>
                <w:lang w:val="en-GB"/>
              </w:rPr>
            </w:pPr>
            <w:r w:rsidRPr="00DF1E54">
              <w:rPr>
                <w:b/>
                <w:bCs/>
                <w:lang w:val="en-GB"/>
              </w:rPr>
              <w:t>E2</w:t>
            </w:r>
          </w:p>
        </w:tc>
        <w:tc>
          <w:tcPr>
            <w:tcW w:w="1980" w:type="dxa"/>
          </w:tcPr>
          <w:p w14:paraId="5A936B35" w14:textId="77777777" w:rsidR="007745BF" w:rsidRPr="00DF1E54" w:rsidRDefault="007745BF" w:rsidP="00DF1E54">
            <w:pPr>
              <w:pStyle w:val="TableCopy"/>
              <w:rPr>
                <w:b/>
                <w:bCs/>
                <w:lang w:val="en-GB"/>
              </w:rPr>
            </w:pPr>
            <w:r w:rsidRPr="00DF1E54">
              <w:rPr>
                <w:b/>
                <w:bCs/>
                <w:lang w:val="en-GB"/>
              </w:rPr>
              <w:t>Meet connection costs</w:t>
            </w:r>
          </w:p>
        </w:tc>
        <w:tc>
          <w:tcPr>
            <w:tcW w:w="3236" w:type="dxa"/>
          </w:tcPr>
          <w:p w14:paraId="6484ACCA" w14:textId="77777777" w:rsidR="007745BF" w:rsidRPr="007745BF" w:rsidRDefault="007745BF" w:rsidP="00DF1E54">
            <w:pPr>
              <w:pStyle w:val="TableCopy"/>
              <w:rPr>
                <w:lang w:val="en-GB"/>
              </w:rPr>
            </w:pPr>
            <w:r w:rsidRPr="007745BF">
              <w:rPr>
                <w:lang w:val="en-GB"/>
              </w:rPr>
              <w:t>Cover all connection costs and network augmentations required as a direct result of new investment, including necessary upstream augmentations.</w:t>
            </w:r>
          </w:p>
        </w:tc>
        <w:tc>
          <w:tcPr>
            <w:tcW w:w="3998" w:type="dxa"/>
          </w:tcPr>
          <w:p w14:paraId="50E5A7BC" w14:textId="77777777" w:rsidR="007745BF" w:rsidRPr="007745BF" w:rsidRDefault="007745BF" w:rsidP="00DF1E54">
            <w:pPr>
              <w:pStyle w:val="TableCopy"/>
              <w:rPr>
                <w:lang w:val="en-GB"/>
              </w:rPr>
            </w:pPr>
            <w:r w:rsidRPr="007745BF">
              <w:rPr>
                <w:lang w:val="en-GB"/>
              </w:rPr>
              <w:t>Ensures costs are not passed on through energy bills to other consumers or businesses.</w:t>
            </w:r>
          </w:p>
        </w:tc>
      </w:tr>
      <w:tr w:rsidR="007745BF" w:rsidRPr="007745BF" w14:paraId="7B83DA9A" w14:textId="77777777" w:rsidTr="00F92BF2">
        <w:trPr>
          <w:cantSplit/>
          <w:trHeight w:val="60"/>
        </w:trPr>
        <w:tc>
          <w:tcPr>
            <w:tcW w:w="567" w:type="dxa"/>
          </w:tcPr>
          <w:p w14:paraId="3A2A955F" w14:textId="77777777" w:rsidR="007745BF" w:rsidRPr="00DF1E54" w:rsidRDefault="007745BF" w:rsidP="00DF1E54">
            <w:pPr>
              <w:pStyle w:val="TableCopy"/>
              <w:rPr>
                <w:b/>
                <w:bCs/>
                <w:lang w:val="en-GB"/>
              </w:rPr>
            </w:pPr>
            <w:r w:rsidRPr="00DF1E54">
              <w:rPr>
                <w:b/>
                <w:bCs/>
                <w:lang w:val="en-GB"/>
              </w:rPr>
              <w:t>E3</w:t>
            </w:r>
          </w:p>
        </w:tc>
        <w:tc>
          <w:tcPr>
            <w:tcW w:w="1980" w:type="dxa"/>
          </w:tcPr>
          <w:p w14:paraId="0EB11D94" w14:textId="77777777" w:rsidR="007745BF" w:rsidRPr="00DF1E54" w:rsidRDefault="007745BF" w:rsidP="00DF1E54">
            <w:pPr>
              <w:pStyle w:val="TableCopy"/>
              <w:rPr>
                <w:b/>
                <w:bCs/>
                <w:lang w:val="en-GB"/>
              </w:rPr>
            </w:pPr>
            <w:r w:rsidRPr="00DF1E54">
              <w:rPr>
                <w:b/>
                <w:bCs/>
                <w:lang w:val="en-GB"/>
              </w:rPr>
              <w:t>Maintain system security</w:t>
            </w:r>
          </w:p>
        </w:tc>
        <w:tc>
          <w:tcPr>
            <w:tcW w:w="3236" w:type="dxa"/>
          </w:tcPr>
          <w:p w14:paraId="3BC875DB" w14:textId="77777777" w:rsidR="007745BF" w:rsidRPr="007745BF" w:rsidRDefault="007745BF" w:rsidP="00DF1E54">
            <w:pPr>
              <w:pStyle w:val="TableCopy"/>
              <w:rPr>
                <w:lang w:val="en-GB"/>
              </w:rPr>
            </w:pPr>
            <w:r w:rsidRPr="007745BF">
              <w:rPr>
                <w:lang w:val="en-GB"/>
              </w:rPr>
              <w:t>Participate in demand flexibility services to the maximum extent commercially and technically possible.</w:t>
            </w:r>
          </w:p>
        </w:tc>
        <w:tc>
          <w:tcPr>
            <w:tcW w:w="3998" w:type="dxa"/>
          </w:tcPr>
          <w:p w14:paraId="145E2A27" w14:textId="77777777" w:rsidR="007745BF" w:rsidRPr="007745BF" w:rsidRDefault="007745BF" w:rsidP="00DF1E54">
            <w:pPr>
              <w:pStyle w:val="TableCopy"/>
              <w:rPr>
                <w:lang w:val="en-GB"/>
              </w:rPr>
            </w:pPr>
            <w:r w:rsidRPr="007745BF">
              <w:rPr>
                <w:lang w:val="en-GB"/>
              </w:rPr>
              <w:t>Maintains electricity system stability as large new loads connect.</w:t>
            </w:r>
          </w:p>
        </w:tc>
      </w:tr>
      <w:tr w:rsidR="007745BF" w:rsidRPr="007745BF" w14:paraId="1CF409C7" w14:textId="77777777" w:rsidTr="00F92BF2">
        <w:trPr>
          <w:cantSplit/>
          <w:trHeight w:val="60"/>
        </w:trPr>
        <w:tc>
          <w:tcPr>
            <w:tcW w:w="567" w:type="dxa"/>
          </w:tcPr>
          <w:p w14:paraId="0C664E3E" w14:textId="77777777" w:rsidR="007745BF" w:rsidRPr="00DF1E54" w:rsidRDefault="007745BF" w:rsidP="00DF1E54">
            <w:pPr>
              <w:pStyle w:val="TableCopy"/>
              <w:rPr>
                <w:b/>
                <w:bCs/>
                <w:lang w:val="en-GB"/>
              </w:rPr>
            </w:pPr>
            <w:r w:rsidRPr="00DF1E54">
              <w:rPr>
                <w:b/>
                <w:bCs/>
                <w:lang w:val="en-GB"/>
              </w:rPr>
              <w:t>E4</w:t>
            </w:r>
          </w:p>
        </w:tc>
        <w:tc>
          <w:tcPr>
            <w:tcW w:w="1980" w:type="dxa"/>
          </w:tcPr>
          <w:p w14:paraId="4BD46395" w14:textId="77777777" w:rsidR="007745BF" w:rsidRPr="00DF1E54" w:rsidRDefault="007745BF" w:rsidP="00DF1E54">
            <w:pPr>
              <w:pStyle w:val="TableCopy"/>
              <w:rPr>
                <w:b/>
                <w:bCs/>
                <w:lang w:val="en-GB"/>
              </w:rPr>
            </w:pPr>
            <w:r w:rsidRPr="00DF1E54">
              <w:rPr>
                <w:b/>
                <w:bCs/>
                <w:lang w:val="en-GB"/>
              </w:rPr>
              <w:t>Deliver efficient performance</w:t>
            </w:r>
          </w:p>
        </w:tc>
        <w:tc>
          <w:tcPr>
            <w:tcW w:w="3236" w:type="dxa"/>
          </w:tcPr>
          <w:p w14:paraId="2DFD3AC6" w14:textId="77777777" w:rsidR="007745BF" w:rsidRPr="007745BF" w:rsidRDefault="007745BF" w:rsidP="00DF1E54">
            <w:pPr>
              <w:pStyle w:val="TableCopy"/>
              <w:rPr>
                <w:lang w:val="en-GB"/>
              </w:rPr>
            </w:pPr>
            <w:r w:rsidRPr="007745BF">
              <w:rPr>
                <w:lang w:val="en-GB"/>
              </w:rPr>
              <w:t>Achieve high levels of power usage effectiveness (PUE), designed to industry best-practice targets and measured to recognised national standards.</w:t>
            </w:r>
          </w:p>
        </w:tc>
        <w:tc>
          <w:tcPr>
            <w:tcW w:w="3998" w:type="dxa"/>
          </w:tcPr>
          <w:p w14:paraId="66C48A21" w14:textId="77777777" w:rsidR="007745BF" w:rsidRPr="007745BF" w:rsidRDefault="007745BF" w:rsidP="00DF1E54">
            <w:pPr>
              <w:pStyle w:val="TableCopy"/>
              <w:rPr>
                <w:lang w:val="en-GB"/>
              </w:rPr>
            </w:pPr>
            <w:r w:rsidRPr="007745BF">
              <w:rPr>
                <w:lang w:val="en-GB"/>
              </w:rPr>
              <w:t>Reduces total energy draw per unit of IT load.</w:t>
            </w:r>
          </w:p>
        </w:tc>
      </w:tr>
      <w:tr w:rsidR="007745BF" w:rsidRPr="007745BF" w14:paraId="44EE4E5F" w14:textId="77777777" w:rsidTr="00F92BF2">
        <w:trPr>
          <w:cantSplit/>
          <w:trHeight w:val="60"/>
        </w:trPr>
        <w:tc>
          <w:tcPr>
            <w:tcW w:w="567" w:type="dxa"/>
          </w:tcPr>
          <w:p w14:paraId="5927DF73" w14:textId="77777777" w:rsidR="007745BF" w:rsidRPr="00DF1E54" w:rsidRDefault="007745BF" w:rsidP="00DF1E54">
            <w:pPr>
              <w:pStyle w:val="TableCopy"/>
              <w:rPr>
                <w:b/>
                <w:bCs/>
                <w:lang w:val="en-GB"/>
              </w:rPr>
            </w:pPr>
            <w:r w:rsidRPr="00DF1E54">
              <w:rPr>
                <w:b/>
                <w:bCs/>
                <w:lang w:val="en-GB"/>
              </w:rPr>
              <w:t>E5</w:t>
            </w:r>
          </w:p>
        </w:tc>
        <w:tc>
          <w:tcPr>
            <w:tcW w:w="1980" w:type="dxa"/>
          </w:tcPr>
          <w:p w14:paraId="69B4158B" w14:textId="77777777" w:rsidR="007745BF" w:rsidRPr="00DF1E54" w:rsidRDefault="007745BF" w:rsidP="00DF1E54">
            <w:pPr>
              <w:pStyle w:val="TableCopy"/>
              <w:rPr>
                <w:b/>
                <w:bCs/>
                <w:lang w:val="en-GB"/>
              </w:rPr>
            </w:pPr>
            <w:r w:rsidRPr="00DF1E54">
              <w:rPr>
                <w:b/>
                <w:bCs/>
                <w:lang w:val="en-GB"/>
              </w:rPr>
              <w:t>Support the transition</w:t>
            </w:r>
          </w:p>
        </w:tc>
        <w:tc>
          <w:tcPr>
            <w:tcW w:w="3236" w:type="dxa"/>
          </w:tcPr>
          <w:p w14:paraId="3CAB5C60" w14:textId="77777777" w:rsidR="007745BF" w:rsidRPr="007745BF" w:rsidRDefault="007745BF" w:rsidP="00DF1E54">
            <w:pPr>
              <w:pStyle w:val="TableCopy"/>
              <w:rPr>
                <w:lang w:val="en-GB"/>
              </w:rPr>
            </w:pPr>
            <w:r w:rsidRPr="007745BF">
              <w:rPr>
                <w:lang w:val="en-GB"/>
              </w:rPr>
              <w:t>Meet these Requirements while contributing positively to Victoria's legislated emissions reduction and renewable energy targets.</w:t>
            </w:r>
          </w:p>
        </w:tc>
        <w:tc>
          <w:tcPr>
            <w:tcW w:w="3998" w:type="dxa"/>
          </w:tcPr>
          <w:p w14:paraId="1503916A" w14:textId="77777777" w:rsidR="007745BF" w:rsidRPr="007745BF" w:rsidRDefault="007745BF" w:rsidP="00DF1E54">
            <w:pPr>
              <w:pStyle w:val="TableCopy"/>
              <w:rPr>
                <w:lang w:val="en-GB"/>
              </w:rPr>
            </w:pPr>
            <w:r w:rsidRPr="007745BF">
              <w:rPr>
                <w:lang w:val="en-GB"/>
              </w:rPr>
              <w:t>Aligns sector growth with the state's decarbonisation trajectory.</w:t>
            </w:r>
          </w:p>
        </w:tc>
      </w:tr>
    </w:tbl>
    <w:p w14:paraId="3C2E101D" w14:textId="77777777" w:rsidR="007745BF" w:rsidRPr="007745BF" w:rsidRDefault="007745BF" w:rsidP="00F92BF2">
      <w:pPr>
        <w:pStyle w:val="Heading3"/>
        <w:rPr>
          <w:lang w:val="en-GB"/>
        </w:rPr>
      </w:pPr>
      <w:bookmarkStart w:id="20" w:name="_Toc241570410"/>
      <w:r w:rsidRPr="007745BF">
        <w:rPr>
          <w:lang w:val="en-GB"/>
        </w:rPr>
        <w:lastRenderedPageBreak/>
        <w:t>Implementation actions</w:t>
      </w:r>
      <w:bookmarkEnd w:id="20"/>
    </w:p>
    <w:tbl>
      <w:tblPr>
        <w:tblStyle w:val="TableGrid"/>
        <w:tblW w:w="9781" w:type="dxa"/>
        <w:tblLayout w:type="fixed"/>
        <w:tblLook w:val="0000" w:firstRow="0" w:lastRow="0" w:firstColumn="0" w:lastColumn="0" w:noHBand="0" w:noVBand="0"/>
      </w:tblPr>
      <w:tblGrid>
        <w:gridCol w:w="2835"/>
        <w:gridCol w:w="6946"/>
      </w:tblGrid>
      <w:tr w:rsidR="007745BF" w:rsidRPr="00F92BF2" w14:paraId="2720C215" w14:textId="77777777" w:rsidTr="00F92BF2">
        <w:trPr>
          <w:cantSplit/>
          <w:trHeight w:val="60"/>
          <w:tblHeader/>
        </w:trPr>
        <w:tc>
          <w:tcPr>
            <w:tcW w:w="2835" w:type="dxa"/>
          </w:tcPr>
          <w:p w14:paraId="4E2D0958" w14:textId="77777777" w:rsidR="007745BF" w:rsidRPr="00F92BF2" w:rsidRDefault="007745BF" w:rsidP="00F92BF2">
            <w:pPr>
              <w:pStyle w:val="TableHeading"/>
            </w:pPr>
            <w:r w:rsidRPr="00F92BF2">
              <w:t>Action</w:t>
            </w:r>
          </w:p>
        </w:tc>
        <w:tc>
          <w:tcPr>
            <w:tcW w:w="6946" w:type="dxa"/>
          </w:tcPr>
          <w:p w14:paraId="30CC4285" w14:textId="77777777" w:rsidR="007745BF" w:rsidRPr="00F92BF2" w:rsidRDefault="007745BF" w:rsidP="00F92BF2">
            <w:pPr>
              <w:pStyle w:val="TableHeading"/>
            </w:pPr>
            <w:r w:rsidRPr="00F92BF2">
              <w:t>Detail</w:t>
            </w:r>
          </w:p>
        </w:tc>
      </w:tr>
      <w:tr w:rsidR="007745BF" w:rsidRPr="007745BF" w14:paraId="152BF62E" w14:textId="77777777" w:rsidTr="00F92BF2">
        <w:trPr>
          <w:cantSplit/>
          <w:trHeight w:val="60"/>
        </w:trPr>
        <w:tc>
          <w:tcPr>
            <w:tcW w:w="2835" w:type="dxa"/>
          </w:tcPr>
          <w:p w14:paraId="2EC26A55" w14:textId="77777777" w:rsidR="007745BF" w:rsidRPr="00F92BF2" w:rsidRDefault="007745BF" w:rsidP="00F92BF2">
            <w:pPr>
              <w:pStyle w:val="TableCopy"/>
              <w:rPr>
                <w:b/>
                <w:bCs/>
                <w:lang w:val="en-GB"/>
              </w:rPr>
            </w:pPr>
            <w:r w:rsidRPr="00F92BF2">
              <w:rPr>
                <w:b/>
                <w:bCs/>
                <w:lang w:val="en-GB"/>
              </w:rPr>
              <w:t>Deliver the national settings</w:t>
            </w:r>
          </w:p>
        </w:tc>
        <w:tc>
          <w:tcPr>
            <w:tcW w:w="6946" w:type="dxa"/>
          </w:tcPr>
          <w:p w14:paraId="73761C63" w14:textId="77777777" w:rsidR="007745BF" w:rsidRPr="007745BF" w:rsidRDefault="007745BF" w:rsidP="00F92BF2">
            <w:pPr>
              <w:pStyle w:val="TableCopy"/>
              <w:rPr>
                <w:lang w:val="en-GB"/>
              </w:rPr>
            </w:pPr>
            <w:r w:rsidRPr="007745BF">
              <w:rPr>
                <w:lang w:val="en-GB"/>
              </w:rPr>
              <w:t>Through the Energy and Climate Change Ministerial Council, work with the Commonwealth and other jurisdictions on policy settings requiring data centres to offset electricity demand through additional renewable generation.</w:t>
            </w:r>
          </w:p>
        </w:tc>
      </w:tr>
      <w:tr w:rsidR="007745BF" w:rsidRPr="007745BF" w14:paraId="4DC027E3" w14:textId="77777777" w:rsidTr="00F92BF2">
        <w:trPr>
          <w:cantSplit/>
          <w:trHeight w:val="60"/>
        </w:trPr>
        <w:tc>
          <w:tcPr>
            <w:tcW w:w="2835" w:type="dxa"/>
          </w:tcPr>
          <w:p w14:paraId="5290120F" w14:textId="77777777" w:rsidR="007745BF" w:rsidRPr="00F92BF2" w:rsidRDefault="007745BF" w:rsidP="00F92BF2">
            <w:pPr>
              <w:pStyle w:val="TableCopy"/>
              <w:rPr>
                <w:b/>
                <w:bCs/>
                <w:lang w:val="en-GB"/>
              </w:rPr>
            </w:pPr>
            <w:r w:rsidRPr="00F92BF2">
              <w:rPr>
                <w:b/>
                <w:bCs/>
                <w:lang w:val="en-GB"/>
              </w:rPr>
              <w:t>Strengthen reporting</w:t>
            </w:r>
          </w:p>
        </w:tc>
        <w:tc>
          <w:tcPr>
            <w:tcW w:w="6946" w:type="dxa"/>
          </w:tcPr>
          <w:p w14:paraId="7C11B0FF" w14:textId="77777777" w:rsidR="007745BF" w:rsidRPr="007745BF" w:rsidRDefault="007745BF" w:rsidP="00F92BF2">
            <w:pPr>
              <w:pStyle w:val="TableCopy"/>
              <w:rPr>
                <w:lang w:val="en-GB"/>
              </w:rPr>
            </w:pPr>
            <w:r w:rsidRPr="007745BF">
              <w:rPr>
                <w:lang w:val="en-GB"/>
              </w:rPr>
              <w:t>The Commonwealth will introduce legislation to strengthen reporting under the National Greenhouse and Energy Reporting scheme.</w:t>
            </w:r>
          </w:p>
        </w:tc>
      </w:tr>
      <w:tr w:rsidR="007745BF" w:rsidRPr="007745BF" w14:paraId="2CEDC288" w14:textId="77777777" w:rsidTr="00F92BF2">
        <w:trPr>
          <w:cantSplit/>
          <w:trHeight w:val="60"/>
        </w:trPr>
        <w:tc>
          <w:tcPr>
            <w:tcW w:w="2835" w:type="dxa"/>
          </w:tcPr>
          <w:p w14:paraId="5FC7160A" w14:textId="77777777" w:rsidR="007745BF" w:rsidRPr="00F92BF2" w:rsidRDefault="007745BF" w:rsidP="00F92BF2">
            <w:pPr>
              <w:pStyle w:val="TableCopy"/>
              <w:rPr>
                <w:b/>
                <w:bCs/>
                <w:lang w:val="en-GB"/>
              </w:rPr>
            </w:pPr>
            <w:r w:rsidRPr="00F92BF2">
              <w:rPr>
                <w:b/>
                <w:bCs/>
                <w:lang w:val="en-GB"/>
              </w:rPr>
              <w:t>Develop Victorian settings and approvals</w:t>
            </w:r>
          </w:p>
        </w:tc>
        <w:tc>
          <w:tcPr>
            <w:tcW w:w="6946" w:type="dxa"/>
          </w:tcPr>
          <w:p w14:paraId="73A57105" w14:textId="77777777" w:rsidR="007745BF" w:rsidRPr="007745BF" w:rsidRDefault="007745BF" w:rsidP="00F92BF2">
            <w:pPr>
              <w:pStyle w:val="TableCopy"/>
              <w:rPr>
                <w:lang w:val="en-GB"/>
              </w:rPr>
            </w:pPr>
            <w:r w:rsidRPr="007745BF">
              <w:rPr>
                <w:lang w:val="en-GB"/>
              </w:rPr>
              <w:t>VicGrid will become a referral authority through the planning process, providing expert input to ensure data centres do not negatively affect the grid.</w:t>
            </w:r>
          </w:p>
        </w:tc>
      </w:tr>
      <w:tr w:rsidR="007745BF" w:rsidRPr="007745BF" w14:paraId="56A7B233" w14:textId="77777777" w:rsidTr="00F92BF2">
        <w:trPr>
          <w:cantSplit/>
          <w:trHeight w:val="60"/>
        </w:trPr>
        <w:tc>
          <w:tcPr>
            <w:tcW w:w="2835" w:type="dxa"/>
          </w:tcPr>
          <w:p w14:paraId="384C9CAB" w14:textId="77777777" w:rsidR="007745BF" w:rsidRPr="00F92BF2" w:rsidRDefault="007745BF" w:rsidP="00F92BF2">
            <w:pPr>
              <w:pStyle w:val="TableCopy"/>
              <w:rPr>
                <w:b/>
                <w:bCs/>
                <w:lang w:val="en-GB"/>
              </w:rPr>
            </w:pPr>
            <w:r w:rsidRPr="00F92BF2">
              <w:rPr>
                <w:b/>
                <w:bCs/>
                <w:lang w:val="en-GB"/>
              </w:rPr>
              <w:t>Renewable energy industrial precincts</w:t>
            </w:r>
          </w:p>
        </w:tc>
        <w:tc>
          <w:tcPr>
            <w:tcW w:w="6946" w:type="dxa"/>
          </w:tcPr>
          <w:p w14:paraId="6E232DFA" w14:textId="77777777" w:rsidR="007745BF" w:rsidRPr="007745BF" w:rsidRDefault="007745BF" w:rsidP="00F92BF2">
            <w:pPr>
              <w:pStyle w:val="TableCopy"/>
              <w:rPr>
                <w:lang w:val="en-GB"/>
              </w:rPr>
            </w:pPr>
            <w:r w:rsidRPr="007745BF">
              <w:rPr>
                <w:lang w:val="en-GB"/>
              </w:rPr>
              <w:t>Scope pathways for data centres to co-locate with complementary industries, sharing infrastructure, workforce and essential services.</w:t>
            </w:r>
          </w:p>
        </w:tc>
      </w:tr>
      <w:tr w:rsidR="007745BF" w:rsidRPr="007745BF" w14:paraId="2C8CB4E9" w14:textId="77777777" w:rsidTr="00F92BF2">
        <w:trPr>
          <w:cantSplit/>
          <w:trHeight w:val="60"/>
        </w:trPr>
        <w:tc>
          <w:tcPr>
            <w:tcW w:w="2835" w:type="dxa"/>
          </w:tcPr>
          <w:p w14:paraId="7A6C3B65" w14:textId="77777777" w:rsidR="007745BF" w:rsidRPr="00F92BF2" w:rsidRDefault="007745BF" w:rsidP="00F92BF2">
            <w:pPr>
              <w:pStyle w:val="TableCopy"/>
              <w:rPr>
                <w:b/>
                <w:bCs/>
                <w:lang w:val="en-GB"/>
              </w:rPr>
            </w:pPr>
            <w:r w:rsidRPr="00F92BF2">
              <w:rPr>
                <w:b/>
                <w:bCs/>
                <w:lang w:val="en-GB"/>
              </w:rPr>
              <w:t>Support green power procurement</w:t>
            </w:r>
          </w:p>
        </w:tc>
        <w:tc>
          <w:tcPr>
            <w:tcW w:w="6946" w:type="dxa"/>
          </w:tcPr>
          <w:p w14:paraId="252F8EF9" w14:textId="77777777" w:rsidR="007745BF" w:rsidRPr="007745BF" w:rsidRDefault="007745BF" w:rsidP="00F92BF2">
            <w:pPr>
              <w:pStyle w:val="TableCopy"/>
              <w:rPr>
                <w:lang w:val="en-GB"/>
              </w:rPr>
            </w:pPr>
            <w:r w:rsidRPr="007745BF">
              <w:rPr>
                <w:lang w:val="en-GB"/>
              </w:rPr>
              <w:t>Develop best-practice guidelines and identify opportunities for investors to pursue sustainable outcomes through green power procurement.</w:t>
            </w:r>
          </w:p>
        </w:tc>
      </w:tr>
      <w:tr w:rsidR="007745BF" w:rsidRPr="007745BF" w14:paraId="447CBE44" w14:textId="77777777" w:rsidTr="00F92BF2">
        <w:trPr>
          <w:cantSplit/>
          <w:trHeight w:val="60"/>
        </w:trPr>
        <w:tc>
          <w:tcPr>
            <w:tcW w:w="2835" w:type="dxa"/>
          </w:tcPr>
          <w:p w14:paraId="2D0508F1" w14:textId="77777777" w:rsidR="007745BF" w:rsidRPr="00F92BF2" w:rsidRDefault="007745BF" w:rsidP="00F92BF2">
            <w:pPr>
              <w:pStyle w:val="TableCopy"/>
              <w:rPr>
                <w:b/>
                <w:bCs/>
                <w:lang w:val="en-GB"/>
              </w:rPr>
            </w:pPr>
            <w:r w:rsidRPr="00F92BF2">
              <w:rPr>
                <w:b/>
                <w:bCs/>
                <w:lang w:val="en-GB"/>
              </w:rPr>
              <w:t>Promote infrastructure upgrades</w:t>
            </w:r>
          </w:p>
        </w:tc>
        <w:tc>
          <w:tcPr>
            <w:tcW w:w="6946" w:type="dxa"/>
          </w:tcPr>
          <w:p w14:paraId="3534C52A" w14:textId="77777777" w:rsidR="007745BF" w:rsidRPr="007745BF" w:rsidRDefault="007745BF" w:rsidP="00F92BF2">
            <w:pPr>
              <w:pStyle w:val="TableCopy"/>
              <w:rPr>
                <w:lang w:val="en-GB"/>
              </w:rPr>
            </w:pPr>
            <w:r w:rsidRPr="007745BF">
              <w:rPr>
                <w:lang w:val="en-GB"/>
              </w:rPr>
              <w:t>Provide regular updates on the status of network infrastructure projects to operators and investors.</w:t>
            </w:r>
          </w:p>
        </w:tc>
      </w:tr>
    </w:tbl>
    <w:p w14:paraId="7BD21195" w14:textId="4069C22E" w:rsidR="007745BF" w:rsidRPr="007745BF" w:rsidRDefault="007745BF" w:rsidP="004D2EC0">
      <w:pPr>
        <w:pStyle w:val="Heading2"/>
        <w:numPr>
          <w:ilvl w:val="1"/>
          <w:numId w:val="31"/>
        </w:numPr>
        <w:ind w:left="709"/>
        <w:rPr>
          <w:lang w:val="en-GB"/>
        </w:rPr>
      </w:pPr>
      <w:bookmarkStart w:id="21" w:name="_Toc241570411"/>
      <w:r w:rsidRPr="007745BF">
        <w:rPr>
          <w:lang w:val="en-GB"/>
        </w:rPr>
        <w:t>Protecting Drinking Water and Securing Supply</w:t>
      </w:r>
      <w:bookmarkEnd w:id="21"/>
    </w:p>
    <w:p w14:paraId="44F97831" w14:textId="77777777" w:rsidR="007745BF" w:rsidRPr="007745BF" w:rsidRDefault="007745BF" w:rsidP="007745BF">
      <w:pPr>
        <w:rPr>
          <w:lang w:val="en-GB"/>
        </w:rPr>
      </w:pPr>
      <w:r w:rsidRPr="007745BF">
        <w:rPr>
          <w:lang w:val="en-GB"/>
        </w:rPr>
        <w:t>Large industrial facilities, including data centres, that need water for cooling should use recycled or non-drinking water, and where they cannot yet, should pay to replace what they use.</w:t>
      </w:r>
    </w:p>
    <w:p w14:paraId="3184C6F2" w14:textId="77777777" w:rsidR="007745BF" w:rsidRPr="007745BF" w:rsidRDefault="007745BF" w:rsidP="00F92BF2">
      <w:pPr>
        <w:pStyle w:val="Heading3"/>
        <w:rPr>
          <w:lang w:val="en-GB"/>
        </w:rPr>
      </w:pPr>
      <w:bookmarkStart w:id="22" w:name="_Toc241570412"/>
      <w:r w:rsidRPr="00F92BF2">
        <w:lastRenderedPageBreak/>
        <w:t>Requirements</w:t>
      </w:r>
      <w:bookmarkEnd w:id="22"/>
    </w:p>
    <w:tbl>
      <w:tblPr>
        <w:tblStyle w:val="TableGrid"/>
        <w:tblW w:w="9781" w:type="dxa"/>
        <w:tblLayout w:type="fixed"/>
        <w:tblLook w:val="0000" w:firstRow="0" w:lastRow="0" w:firstColumn="0" w:lastColumn="0" w:noHBand="0" w:noVBand="0"/>
      </w:tblPr>
      <w:tblGrid>
        <w:gridCol w:w="567"/>
        <w:gridCol w:w="1838"/>
        <w:gridCol w:w="3378"/>
        <w:gridCol w:w="3998"/>
      </w:tblGrid>
      <w:tr w:rsidR="007745BF" w:rsidRPr="00F92BF2" w14:paraId="3C75A947" w14:textId="77777777" w:rsidTr="00F92BF2">
        <w:trPr>
          <w:cantSplit/>
          <w:trHeight w:val="60"/>
          <w:tblHeader/>
        </w:trPr>
        <w:tc>
          <w:tcPr>
            <w:tcW w:w="567" w:type="dxa"/>
          </w:tcPr>
          <w:p w14:paraId="4DD0EEE8" w14:textId="77777777" w:rsidR="007745BF" w:rsidRPr="00F92BF2" w:rsidRDefault="007745BF" w:rsidP="00F92BF2">
            <w:pPr>
              <w:pStyle w:val="TableHeading"/>
            </w:pPr>
            <w:r w:rsidRPr="00F92BF2">
              <w:t>#</w:t>
            </w:r>
          </w:p>
        </w:tc>
        <w:tc>
          <w:tcPr>
            <w:tcW w:w="1838" w:type="dxa"/>
          </w:tcPr>
          <w:p w14:paraId="636A0E93" w14:textId="77777777" w:rsidR="007745BF" w:rsidRPr="00F92BF2" w:rsidRDefault="007745BF" w:rsidP="00F92BF2">
            <w:pPr>
              <w:pStyle w:val="TableHeading"/>
            </w:pPr>
            <w:r w:rsidRPr="00F92BF2">
              <w:t>Requirements</w:t>
            </w:r>
          </w:p>
        </w:tc>
        <w:tc>
          <w:tcPr>
            <w:tcW w:w="3378" w:type="dxa"/>
          </w:tcPr>
          <w:p w14:paraId="76BE0480" w14:textId="77777777" w:rsidR="007745BF" w:rsidRPr="00F92BF2" w:rsidRDefault="007745BF" w:rsidP="00F92BF2">
            <w:pPr>
              <w:pStyle w:val="TableHeading"/>
            </w:pPr>
            <w:r w:rsidRPr="00F92BF2">
              <w:t>Detail</w:t>
            </w:r>
          </w:p>
        </w:tc>
        <w:tc>
          <w:tcPr>
            <w:tcW w:w="3998" w:type="dxa"/>
          </w:tcPr>
          <w:p w14:paraId="72BFA04D" w14:textId="77777777" w:rsidR="007745BF" w:rsidRPr="00F92BF2" w:rsidRDefault="007745BF" w:rsidP="00F92BF2">
            <w:pPr>
              <w:pStyle w:val="TableHeading"/>
            </w:pPr>
            <w:r w:rsidRPr="00F92BF2">
              <w:t>Purpose</w:t>
            </w:r>
          </w:p>
        </w:tc>
      </w:tr>
      <w:tr w:rsidR="007745BF" w:rsidRPr="007745BF" w14:paraId="78AF4127" w14:textId="77777777" w:rsidTr="00F92BF2">
        <w:trPr>
          <w:cantSplit/>
          <w:trHeight w:val="60"/>
        </w:trPr>
        <w:tc>
          <w:tcPr>
            <w:tcW w:w="567" w:type="dxa"/>
          </w:tcPr>
          <w:p w14:paraId="08EBD3A6" w14:textId="77777777" w:rsidR="007745BF" w:rsidRPr="00F92BF2" w:rsidRDefault="007745BF" w:rsidP="00F92BF2">
            <w:pPr>
              <w:pStyle w:val="TableCopy"/>
              <w:rPr>
                <w:b/>
                <w:bCs/>
                <w:lang w:val="en-GB"/>
              </w:rPr>
            </w:pPr>
            <w:r w:rsidRPr="00F92BF2">
              <w:rPr>
                <w:b/>
                <w:bCs/>
                <w:lang w:val="en-GB"/>
              </w:rPr>
              <w:t>W1</w:t>
            </w:r>
          </w:p>
        </w:tc>
        <w:tc>
          <w:tcPr>
            <w:tcW w:w="1838" w:type="dxa"/>
          </w:tcPr>
          <w:p w14:paraId="5A234C63" w14:textId="77777777" w:rsidR="007745BF" w:rsidRPr="00F92BF2" w:rsidRDefault="007745BF" w:rsidP="00F92BF2">
            <w:pPr>
              <w:pStyle w:val="TableCopy"/>
              <w:rPr>
                <w:b/>
                <w:bCs/>
                <w:lang w:val="en-GB"/>
              </w:rPr>
            </w:pPr>
            <w:r w:rsidRPr="00F92BF2">
              <w:rPr>
                <w:b/>
                <w:bCs/>
                <w:lang w:val="en-GB"/>
              </w:rPr>
              <w:t>Use recycled/non-drinking water for cooling</w:t>
            </w:r>
          </w:p>
        </w:tc>
        <w:tc>
          <w:tcPr>
            <w:tcW w:w="3378" w:type="dxa"/>
          </w:tcPr>
          <w:p w14:paraId="17365DF0" w14:textId="77777777" w:rsidR="007745BF" w:rsidRPr="007745BF" w:rsidRDefault="007745BF" w:rsidP="00F92BF2">
            <w:pPr>
              <w:pStyle w:val="TableCopy"/>
              <w:rPr>
                <w:lang w:val="en-GB"/>
              </w:rPr>
            </w:pPr>
            <w:r w:rsidRPr="007745BF">
              <w:rPr>
                <w:lang w:val="en-GB"/>
              </w:rPr>
              <w:t>Facilities using water-intensive cooling (evaporative, adiabatic or other open-loop systems) are expected to meet cooling needs from recycled or other non-drinking sources or hold an agreement with their water corporation to transition when available.</w:t>
            </w:r>
          </w:p>
        </w:tc>
        <w:tc>
          <w:tcPr>
            <w:tcW w:w="3998" w:type="dxa"/>
          </w:tcPr>
          <w:p w14:paraId="1BBE9037" w14:textId="77777777" w:rsidR="007745BF" w:rsidRPr="007745BF" w:rsidRDefault="007745BF" w:rsidP="00F92BF2">
            <w:pPr>
              <w:pStyle w:val="TableCopy"/>
              <w:rPr>
                <w:lang w:val="en-GB"/>
              </w:rPr>
            </w:pPr>
            <w:r w:rsidRPr="007745BF">
              <w:rPr>
                <w:lang w:val="en-GB"/>
              </w:rPr>
              <w:t>Shifts demand away from drinking water supplies.</w:t>
            </w:r>
          </w:p>
        </w:tc>
      </w:tr>
      <w:tr w:rsidR="007745BF" w:rsidRPr="007745BF" w14:paraId="51797924" w14:textId="77777777" w:rsidTr="00F92BF2">
        <w:trPr>
          <w:cantSplit/>
          <w:trHeight w:val="60"/>
        </w:trPr>
        <w:tc>
          <w:tcPr>
            <w:tcW w:w="567" w:type="dxa"/>
          </w:tcPr>
          <w:p w14:paraId="766377B1" w14:textId="77777777" w:rsidR="007745BF" w:rsidRPr="00F92BF2" w:rsidRDefault="007745BF" w:rsidP="00F92BF2">
            <w:pPr>
              <w:pStyle w:val="TableCopy"/>
              <w:rPr>
                <w:b/>
                <w:bCs/>
                <w:lang w:val="en-GB"/>
              </w:rPr>
            </w:pPr>
            <w:r w:rsidRPr="00F92BF2">
              <w:rPr>
                <w:b/>
                <w:bCs/>
                <w:lang w:val="en-GB"/>
              </w:rPr>
              <w:t>W2</w:t>
            </w:r>
          </w:p>
        </w:tc>
        <w:tc>
          <w:tcPr>
            <w:tcW w:w="1838" w:type="dxa"/>
          </w:tcPr>
          <w:p w14:paraId="60F3AB53" w14:textId="77777777" w:rsidR="007745BF" w:rsidRPr="00F92BF2" w:rsidRDefault="007745BF" w:rsidP="00F92BF2">
            <w:pPr>
              <w:pStyle w:val="TableCopy"/>
              <w:rPr>
                <w:b/>
                <w:bCs/>
                <w:lang w:val="en-GB"/>
              </w:rPr>
            </w:pPr>
            <w:r w:rsidRPr="00F92BF2">
              <w:rPr>
                <w:b/>
                <w:bCs/>
                <w:lang w:val="en-GB"/>
              </w:rPr>
              <w:t>Replace what you use</w:t>
            </w:r>
          </w:p>
        </w:tc>
        <w:tc>
          <w:tcPr>
            <w:tcW w:w="3378" w:type="dxa"/>
          </w:tcPr>
          <w:p w14:paraId="7F0069E3" w14:textId="77777777" w:rsidR="007745BF" w:rsidRPr="007745BF" w:rsidRDefault="007745BF" w:rsidP="00F92BF2">
            <w:pPr>
              <w:pStyle w:val="TableCopy"/>
              <w:rPr>
                <w:lang w:val="en-GB"/>
              </w:rPr>
            </w:pPr>
            <w:r w:rsidRPr="007745BF">
              <w:rPr>
                <w:lang w:val="en-GB"/>
              </w:rPr>
              <w:t>Where recycled or non-drinking water is not yet available, agree a plan with the water corporation to offset interim drinking water use – funding agreements or water efficiency programs.</w:t>
            </w:r>
          </w:p>
        </w:tc>
        <w:tc>
          <w:tcPr>
            <w:tcW w:w="3998" w:type="dxa"/>
          </w:tcPr>
          <w:p w14:paraId="4DEB2865" w14:textId="77777777" w:rsidR="007745BF" w:rsidRPr="007745BF" w:rsidRDefault="007745BF" w:rsidP="00F92BF2">
            <w:pPr>
              <w:pStyle w:val="TableCopy"/>
              <w:rPr>
                <w:lang w:val="en-GB"/>
              </w:rPr>
            </w:pPr>
            <w:r w:rsidRPr="007745BF">
              <w:rPr>
                <w:lang w:val="en-GB"/>
              </w:rPr>
              <w:t>Ensures interim potable use does not reduce overall system supply.</w:t>
            </w:r>
          </w:p>
        </w:tc>
      </w:tr>
      <w:tr w:rsidR="007745BF" w:rsidRPr="007745BF" w14:paraId="27E7CD22" w14:textId="77777777" w:rsidTr="00F92BF2">
        <w:trPr>
          <w:cantSplit/>
          <w:trHeight w:val="60"/>
        </w:trPr>
        <w:tc>
          <w:tcPr>
            <w:tcW w:w="567" w:type="dxa"/>
          </w:tcPr>
          <w:p w14:paraId="3C293ABC" w14:textId="77777777" w:rsidR="007745BF" w:rsidRPr="00F92BF2" w:rsidRDefault="007745BF" w:rsidP="00F92BF2">
            <w:pPr>
              <w:pStyle w:val="TableCopy"/>
              <w:rPr>
                <w:b/>
                <w:bCs/>
                <w:lang w:val="en-GB"/>
              </w:rPr>
            </w:pPr>
            <w:r w:rsidRPr="00F92BF2">
              <w:rPr>
                <w:b/>
                <w:bCs/>
                <w:lang w:val="en-GB"/>
              </w:rPr>
              <w:t>W3</w:t>
            </w:r>
          </w:p>
        </w:tc>
        <w:tc>
          <w:tcPr>
            <w:tcW w:w="1838" w:type="dxa"/>
          </w:tcPr>
          <w:p w14:paraId="14BF2447" w14:textId="77777777" w:rsidR="007745BF" w:rsidRPr="00F92BF2" w:rsidRDefault="007745BF" w:rsidP="00F92BF2">
            <w:pPr>
              <w:pStyle w:val="TableCopy"/>
              <w:rPr>
                <w:b/>
                <w:bCs/>
                <w:lang w:val="en-GB"/>
              </w:rPr>
            </w:pPr>
            <w:r w:rsidRPr="00F92BF2">
              <w:rPr>
                <w:b/>
                <w:bCs/>
                <w:lang w:val="en-GB"/>
              </w:rPr>
              <w:t>Design for drought</w:t>
            </w:r>
          </w:p>
        </w:tc>
        <w:tc>
          <w:tcPr>
            <w:tcW w:w="3378" w:type="dxa"/>
          </w:tcPr>
          <w:p w14:paraId="03DF7371" w14:textId="77777777" w:rsidR="007745BF" w:rsidRPr="007745BF" w:rsidRDefault="007745BF" w:rsidP="00F92BF2">
            <w:pPr>
              <w:pStyle w:val="TableCopy"/>
              <w:rPr>
                <w:lang w:val="en-GB"/>
              </w:rPr>
            </w:pPr>
            <w:r w:rsidRPr="007745BF">
              <w:rPr>
                <w:lang w:val="en-GB"/>
              </w:rPr>
              <w:t>Facilities relying on drinking water as an interim measure must be designed so water use can be reduced when restrictions are imposed.</w:t>
            </w:r>
          </w:p>
        </w:tc>
        <w:tc>
          <w:tcPr>
            <w:tcW w:w="3998" w:type="dxa"/>
          </w:tcPr>
          <w:p w14:paraId="2E5C59A5" w14:textId="77777777" w:rsidR="007745BF" w:rsidRPr="007745BF" w:rsidRDefault="007745BF" w:rsidP="00F92BF2">
            <w:pPr>
              <w:pStyle w:val="TableCopy"/>
              <w:rPr>
                <w:lang w:val="en-GB"/>
              </w:rPr>
            </w:pPr>
            <w:r w:rsidRPr="007745BF">
              <w:rPr>
                <w:lang w:val="en-GB"/>
              </w:rPr>
              <w:t>Aligns data centre water use with obligations already placed on other water users during drought.</w:t>
            </w:r>
          </w:p>
        </w:tc>
      </w:tr>
      <w:tr w:rsidR="007745BF" w:rsidRPr="007745BF" w14:paraId="45FD01F8" w14:textId="77777777" w:rsidTr="00F92BF2">
        <w:trPr>
          <w:cantSplit/>
          <w:trHeight w:val="60"/>
        </w:trPr>
        <w:tc>
          <w:tcPr>
            <w:tcW w:w="567" w:type="dxa"/>
          </w:tcPr>
          <w:p w14:paraId="02B5620E" w14:textId="77777777" w:rsidR="007745BF" w:rsidRPr="00F92BF2" w:rsidRDefault="007745BF" w:rsidP="00F92BF2">
            <w:pPr>
              <w:pStyle w:val="TableCopy"/>
              <w:rPr>
                <w:b/>
                <w:bCs/>
                <w:lang w:val="en-GB"/>
              </w:rPr>
            </w:pPr>
            <w:r w:rsidRPr="00F92BF2">
              <w:rPr>
                <w:b/>
                <w:bCs/>
                <w:lang w:val="en-GB"/>
              </w:rPr>
              <w:t>W4</w:t>
            </w:r>
          </w:p>
        </w:tc>
        <w:tc>
          <w:tcPr>
            <w:tcW w:w="1838" w:type="dxa"/>
          </w:tcPr>
          <w:p w14:paraId="037F5841" w14:textId="77777777" w:rsidR="007745BF" w:rsidRPr="00F92BF2" w:rsidRDefault="007745BF" w:rsidP="00F92BF2">
            <w:pPr>
              <w:pStyle w:val="TableCopy"/>
              <w:rPr>
                <w:b/>
                <w:bCs/>
                <w:lang w:val="en-GB"/>
              </w:rPr>
            </w:pPr>
            <w:r w:rsidRPr="00F92BF2">
              <w:rPr>
                <w:b/>
                <w:bCs/>
                <w:lang w:val="en-GB"/>
              </w:rPr>
              <w:t>Be efficient, measure it, report it</w:t>
            </w:r>
          </w:p>
        </w:tc>
        <w:tc>
          <w:tcPr>
            <w:tcW w:w="3378" w:type="dxa"/>
          </w:tcPr>
          <w:p w14:paraId="47696CB0" w14:textId="77777777" w:rsidR="007745BF" w:rsidRPr="007745BF" w:rsidRDefault="007745BF" w:rsidP="00F92BF2">
            <w:pPr>
              <w:pStyle w:val="TableCopy"/>
              <w:rPr>
                <w:lang w:val="en-GB"/>
              </w:rPr>
            </w:pPr>
            <w:r w:rsidRPr="007745BF">
              <w:rPr>
                <w:lang w:val="en-GB"/>
              </w:rPr>
              <w:t>Design to dWUE ≤ 1.0 (potable) or ≤ 1.6 (non-potable), otherwise agreed with the water corporation. Measured in line with ISO/IEC 30134-9:2022. Standards reviewed and updated annually. Publicly report water use, aligned to national standards.</w:t>
            </w:r>
          </w:p>
        </w:tc>
        <w:tc>
          <w:tcPr>
            <w:tcW w:w="3998" w:type="dxa"/>
          </w:tcPr>
          <w:p w14:paraId="327B79D0" w14:textId="77777777" w:rsidR="007745BF" w:rsidRPr="007745BF" w:rsidRDefault="007745BF" w:rsidP="00F92BF2">
            <w:pPr>
              <w:pStyle w:val="TableCopy"/>
              <w:rPr>
                <w:lang w:val="en-GB"/>
              </w:rPr>
            </w:pPr>
            <w:r w:rsidRPr="007745BF">
              <w:rPr>
                <w:lang w:val="en-GB"/>
              </w:rPr>
              <w:t>Demonstrates efficient resource use and supports transparent public reporting.</w:t>
            </w:r>
          </w:p>
        </w:tc>
      </w:tr>
      <w:tr w:rsidR="007745BF" w:rsidRPr="007745BF" w14:paraId="59CDCFE9" w14:textId="77777777" w:rsidTr="00F92BF2">
        <w:trPr>
          <w:cantSplit/>
          <w:trHeight w:val="60"/>
        </w:trPr>
        <w:tc>
          <w:tcPr>
            <w:tcW w:w="567" w:type="dxa"/>
          </w:tcPr>
          <w:p w14:paraId="16416608" w14:textId="77777777" w:rsidR="007745BF" w:rsidRPr="00F92BF2" w:rsidRDefault="007745BF" w:rsidP="00F92BF2">
            <w:pPr>
              <w:pStyle w:val="TableCopy"/>
              <w:rPr>
                <w:b/>
                <w:bCs/>
                <w:lang w:val="en-GB"/>
              </w:rPr>
            </w:pPr>
            <w:r w:rsidRPr="00F92BF2">
              <w:rPr>
                <w:b/>
                <w:bCs/>
                <w:lang w:val="en-GB"/>
              </w:rPr>
              <w:t>W5</w:t>
            </w:r>
          </w:p>
        </w:tc>
        <w:tc>
          <w:tcPr>
            <w:tcW w:w="1838" w:type="dxa"/>
          </w:tcPr>
          <w:p w14:paraId="65F3F9B3" w14:textId="77777777" w:rsidR="007745BF" w:rsidRPr="00F92BF2" w:rsidRDefault="007745BF" w:rsidP="00F92BF2">
            <w:pPr>
              <w:pStyle w:val="TableCopy"/>
              <w:rPr>
                <w:b/>
                <w:bCs/>
                <w:lang w:val="en-GB"/>
              </w:rPr>
            </w:pPr>
            <w:r w:rsidRPr="00F92BF2">
              <w:rPr>
                <w:b/>
                <w:bCs/>
                <w:lang w:val="en-GB"/>
              </w:rPr>
              <w:t>Pay for infrastructure</w:t>
            </w:r>
          </w:p>
        </w:tc>
        <w:tc>
          <w:tcPr>
            <w:tcW w:w="3378" w:type="dxa"/>
          </w:tcPr>
          <w:p w14:paraId="5BBF3C17" w14:textId="77777777" w:rsidR="007745BF" w:rsidRPr="007745BF" w:rsidRDefault="007745BF" w:rsidP="00F92BF2">
            <w:pPr>
              <w:pStyle w:val="TableCopy"/>
              <w:rPr>
                <w:lang w:val="en-GB"/>
              </w:rPr>
            </w:pPr>
            <w:r w:rsidRPr="007745BF">
              <w:rPr>
                <w:lang w:val="en-GB"/>
              </w:rPr>
              <w:t>Meet the full cost of water infrastructure required to service the connection; contribute where demand brings forward augmentation other customers would otherwise have funded later.</w:t>
            </w:r>
          </w:p>
        </w:tc>
        <w:tc>
          <w:tcPr>
            <w:tcW w:w="3998" w:type="dxa"/>
          </w:tcPr>
          <w:p w14:paraId="5271260E" w14:textId="77777777" w:rsidR="007745BF" w:rsidRPr="007745BF" w:rsidRDefault="007745BF" w:rsidP="00F92BF2">
            <w:pPr>
              <w:pStyle w:val="TableCopy"/>
              <w:rPr>
                <w:lang w:val="en-GB"/>
              </w:rPr>
            </w:pPr>
            <w:r w:rsidRPr="007745BF">
              <w:rPr>
                <w:lang w:val="en-GB"/>
              </w:rPr>
              <w:t>Protects the existing customer base from cross-subsidising new large users.</w:t>
            </w:r>
          </w:p>
        </w:tc>
      </w:tr>
      <w:tr w:rsidR="007745BF" w:rsidRPr="007745BF" w14:paraId="787FE1B3" w14:textId="77777777" w:rsidTr="00F92BF2">
        <w:trPr>
          <w:cantSplit/>
          <w:trHeight w:val="60"/>
        </w:trPr>
        <w:tc>
          <w:tcPr>
            <w:tcW w:w="567" w:type="dxa"/>
          </w:tcPr>
          <w:p w14:paraId="47ADFBE7" w14:textId="77777777" w:rsidR="007745BF" w:rsidRPr="00F92BF2" w:rsidRDefault="007745BF" w:rsidP="00F92BF2">
            <w:pPr>
              <w:pStyle w:val="TableCopy"/>
              <w:rPr>
                <w:b/>
                <w:bCs/>
                <w:lang w:val="en-GB"/>
              </w:rPr>
            </w:pPr>
            <w:r w:rsidRPr="00F92BF2">
              <w:rPr>
                <w:b/>
                <w:bCs/>
                <w:lang w:val="en-GB"/>
              </w:rPr>
              <w:lastRenderedPageBreak/>
              <w:t>W6</w:t>
            </w:r>
          </w:p>
        </w:tc>
        <w:tc>
          <w:tcPr>
            <w:tcW w:w="1838" w:type="dxa"/>
          </w:tcPr>
          <w:p w14:paraId="78A5BA16" w14:textId="77777777" w:rsidR="007745BF" w:rsidRPr="00F92BF2" w:rsidRDefault="007745BF" w:rsidP="00F92BF2">
            <w:pPr>
              <w:pStyle w:val="TableCopy"/>
              <w:rPr>
                <w:b/>
                <w:bCs/>
                <w:lang w:val="en-GB"/>
              </w:rPr>
            </w:pPr>
            <w:r w:rsidRPr="00F92BF2">
              <w:rPr>
                <w:b/>
                <w:bCs/>
                <w:lang w:val="en-GB"/>
              </w:rPr>
              <w:t>Support national standards</w:t>
            </w:r>
          </w:p>
        </w:tc>
        <w:tc>
          <w:tcPr>
            <w:tcW w:w="3378" w:type="dxa"/>
          </w:tcPr>
          <w:p w14:paraId="08E0D0C9" w14:textId="77777777" w:rsidR="007745BF" w:rsidRPr="007745BF" w:rsidRDefault="007745BF" w:rsidP="00F92BF2">
            <w:pPr>
              <w:pStyle w:val="TableCopy"/>
              <w:rPr>
                <w:lang w:val="en-GB"/>
              </w:rPr>
            </w:pPr>
            <w:r w:rsidRPr="007745BF">
              <w:rPr>
                <w:lang w:val="en-GB"/>
              </w:rPr>
              <w:t>Align with mandatory minimum water-use standards being developed by the Australian Government with states and territories, alongside applicable Victorian requirements.</w:t>
            </w:r>
          </w:p>
        </w:tc>
        <w:tc>
          <w:tcPr>
            <w:tcW w:w="3998" w:type="dxa"/>
          </w:tcPr>
          <w:p w14:paraId="33B66CFC" w14:textId="77777777" w:rsidR="007745BF" w:rsidRPr="007745BF" w:rsidRDefault="007745BF" w:rsidP="00F92BF2">
            <w:pPr>
              <w:pStyle w:val="TableCopy"/>
              <w:rPr>
                <w:lang w:val="en-GB"/>
              </w:rPr>
            </w:pPr>
            <w:r w:rsidRPr="007745BF">
              <w:rPr>
                <w:lang w:val="en-GB"/>
              </w:rPr>
              <w:t>Consistency with the national approach agreed by National Cabinet.</w:t>
            </w:r>
          </w:p>
        </w:tc>
      </w:tr>
    </w:tbl>
    <w:p w14:paraId="46193C8B" w14:textId="77777777" w:rsidR="007745BF" w:rsidRPr="007745BF" w:rsidRDefault="007745BF" w:rsidP="00F92BF2">
      <w:pPr>
        <w:pStyle w:val="Heading3"/>
        <w:rPr>
          <w:lang w:val="en-GB"/>
        </w:rPr>
      </w:pPr>
      <w:bookmarkStart w:id="23" w:name="_Toc241570413"/>
      <w:r w:rsidRPr="007745BF">
        <w:rPr>
          <w:lang w:val="en-GB"/>
        </w:rPr>
        <w:t>Existing protections</w:t>
      </w:r>
      <w:bookmarkEnd w:id="23"/>
    </w:p>
    <w:p w14:paraId="513478E9" w14:textId="77777777" w:rsidR="007745BF" w:rsidRPr="007745BF" w:rsidRDefault="007745BF" w:rsidP="00F92BF2">
      <w:pPr>
        <w:pStyle w:val="Bullet"/>
        <w:rPr>
          <w:lang w:val="en-GB"/>
        </w:rPr>
      </w:pPr>
      <w:r w:rsidRPr="007745BF">
        <w:rPr>
          <w:lang w:val="en-GB"/>
        </w:rPr>
        <w:t xml:space="preserve">Statutory Safeguards: Under the </w:t>
      </w:r>
      <w:r w:rsidRPr="007745BF">
        <w:rPr>
          <w:i/>
          <w:iCs/>
          <w:lang w:val="en-GB"/>
        </w:rPr>
        <w:t>Water Act 1989</w:t>
      </w:r>
      <w:r w:rsidRPr="007745BF">
        <w:rPr>
          <w:lang w:val="en-GB"/>
        </w:rPr>
        <w:t>, publicly owned water corporations hold the explicit authority to refuse a connection or apply strict conditions to protect the water supply of existing users.</w:t>
      </w:r>
    </w:p>
    <w:p w14:paraId="650F695F" w14:textId="77777777" w:rsidR="007745BF" w:rsidRPr="007745BF" w:rsidRDefault="007745BF" w:rsidP="00F92BF2">
      <w:pPr>
        <w:pStyle w:val="Bullet"/>
        <w:rPr>
          <w:lang w:val="en-GB"/>
        </w:rPr>
      </w:pPr>
      <w:r w:rsidRPr="007745BF">
        <w:rPr>
          <w:lang w:val="en-GB"/>
        </w:rPr>
        <w:t>Infrastructure Cost Recovery: The New Customer Contributions Framework mandates that proponents fully fund any dedicated infrastructure upgrades required for large-scale water use, ensuring the existing customer base is entirely insulated from the financial impacts of data centre growth.</w:t>
      </w:r>
    </w:p>
    <w:p w14:paraId="1B4A3C7A" w14:textId="77777777" w:rsidR="007745BF" w:rsidRPr="007745BF" w:rsidRDefault="007745BF" w:rsidP="00F92BF2">
      <w:pPr>
        <w:pStyle w:val="Bullet"/>
        <w:rPr>
          <w:lang w:val="en-GB"/>
        </w:rPr>
      </w:pPr>
      <w:r w:rsidRPr="007745BF">
        <w:rPr>
          <w:lang w:val="en-GB"/>
        </w:rPr>
        <w:t>Sustainable Cooling Alternatives: Where data centres rely on water for primary cooling, Victoria is exceptionally well positioned to mandate non-potable alternatives, with Melbourne Water currently producing the largest volume of Class A recycled water in Australia for complex industrial cooling.</w:t>
      </w:r>
    </w:p>
    <w:p w14:paraId="09FEDB6E" w14:textId="77777777" w:rsidR="007745BF" w:rsidRPr="007745BF" w:rsidRDefault="007745BF" w:rsidP="00F92BF2">
      <w:pPr>
        <w:pStyle w:val="Bullet"/>
        <w:rPr>
          <w:lang w:val="en-GB"/>
        </w:rPr>
      </w:pPr>
      <w:r w:rsidRPr="007745BF">
        <w:rPr>
          <w:lang w:val="en-GB"/>
        </w:rPr>
        <w:t>Proven Commercial Viability: This sustainable approach is actively demonstrated in Melbourne’s west, where the Melton Recycled Water Plant supplies the Amazon Web Services data centre – marking the state’s first direct recycled water connection of its kind.</w:t>
      </w:r>
    </w:p>
    <w:p w14:paraId="1134CCE7" w14:textId="77777777" w:rsidR="007745BF" w:rsidRPr="007745BF" w:rsidRDefault="007745BF" w:rsidP="00F92BF2">
      <w:pPr>
        <w:pStyle w:val="Heading3"/>
        <w:rPr>
          <w:lang w:val="en-GB"/>
        </w:rPr>
      </w:pPr>
      <w:bookmarkStart w:id="24" w:name="_Toc241570414"/>
      <w:r w:rsidRPr="007745BF">
        <w:rPr>
          <w:lang w:val="en-GB"/>
        </w:rPr>
        <w:t>Implementation actions</w:t>
      </w:r>
      <w:bookmarkEnd w:id="24"/>
    </w:p>
    <w:tbl>
      <w:tblPr>
        <w:tblStyle w:val="TableGrid"/>
        <w:tblW w:w="9781" w:type="dxa"/>
        <w:tblLayout w:type="fixed"/>
        <w:tblLook w:val="0000" w:firstRow="0" w:lastRow="0" w:firstColumn="0" w:lastColumn="0" w:noHBand="0" w:noVBand="0"/>
      </w:tblPr>
      <w:tblGrid>
        <w:gridCol w:w="2835"/>
        <w:gridCol w:w="6946"/>
      </w:tblGrid>
      <w:tr w:rsidR="007745BF" w:rsidRPr="00F92BF2" w14:paraId="13D4EAED" w14:textId="77777777" w:rsidTr="00F92BF2">
        <w:trPr>
          <w:cantSplit/>
          <w:trHeight w:val="60"/>
          <w:tblHeader/>
        </w:trPr>
        <w:tc>
          <w:tcPr>
            <w:tcW w:w="2835" w:type="dxa"/>
          </w:tcPr>
          <w:p w14:paraId="31A56767" w14:textId="77777777" w:rsidR="007745BF" w:rsidRPr="00F92BF2" w:rsidRDefault="007745BF" w:rsidP="00F92BF2">
            <w:pPr>
              <w:pStyle w:val="TableHeading"/>
            </w:pPr>
            <w:r w:rsidRPr="00F92BF2">
              <w:t>Action</w:t>
            </w:r>
          </w:p>
        </w:tc>
        <w:tc>
          <w:tcPr>
            <w:tcW w:w="6946" w:type="dxa"/>
          </w:tcPr>
          <w:p w14:paraId="317C97B6" w14:textId="77777777" w:rsidR="007745BF" w:rsidRPr="00F92BF2" w:rsidRDefault="007745BF" w:rsidP="00F92BF2">
            <w:pPr>
              <w:pStyle w:val="TableHeading"/>
            </w:pPr>
            <w:r w:rsidRPr="00F92BF2">
              <w:t>Detail</w:t>
            </w:r>
          </w:p>
        </w:tc>
      </w:tr>
      <w:tr w:rsidR="007745BF" w:rsidRPr="00F92BF2" w14:paraId="2F897EFF" w14:textId="77777777" w:rsidTr="00F92BF2">
        <w:trPr>
          <w:cantSplit/>
          <w:trHeight w:val="60"/>
        </w:trPr>
        <w:tc>
          <w:tcPr>
            <w:tcW w:w="2835" w:type="dxa"/>
          </w:tcPr>
          <w:p w14:paraId="6A453659" w14:textId="77777777" w:rsidR="007745BF" w:rsidRPr="00F92BF2" w:rsidRDefault="007745BF" w:rsidP="00F92BF2">
            <w:pPr>
              <w:pStyle w:val="TableCopy"/>
              <w:rPr>
                <w:b/>
                <w:bCs/>
              </w:rPr>
            </w:pPr>
            <w:r w:rsidRPr="00F92BF2">
              <w:rPr>
                <w:b/>
                <w:bCs/>
              </w:rPr>
              <w:t>Clearer guidance for industry</w:t>
            </w:r>
          </w:p>
        </w:tc>
        <w:tc>
          <w:tcPr>
            <w:tcW w:w="6946" w:type="dxa"/>
          </w:tcPr>
          <w:p w14:paraId="7C42F3A2" w14:textId="77777777" w:rsidR="007745BF" w:rsidRPr="00F92BF2" w:rsidRDefault="007745BF" w:rsidP="00F92BF2">
            <w:pPr>
              <w:pStyle w:val="TableCopy"/>
            </w:pPr>
            <w:r w:rsidRPr="00F92BF2">
              <w:t>Published the Industry Water Connection Guide for large non-residential water users.</w:t>
            </w:r>
          </w:p>
        </w:tc>
      </w:tr>
      <w:tr w:rsidR="007745BF" w:rsidRPr="00F92BF2" w14:paraId="3E03CCE6" w14:textId="77777777" w:rsidTr="00F92BF2">
        <w:trPr>
          <w:cantSplit/>
          <w:trHeight w:val="60"/>
        </w:trPr>
        <w:tc>
          <w:tcPr>
            <w:tcW w:w="2835" w:type="dxa"/>
          </w:tcPr>
          <w:p w14:paraId="48D9BAE7" w14:textId="77777777" w:rsidR="007745BF" w:rsidRPr="00F92BF2" w:rsidRDefault="007745BF" w:rsidP="00F92BF2">
            <w:pPr>
              <w:pStyle w:val="TableCopy"/>
              <w:rPr>
                <w:b/>
                <w:bCs/>
              </w:rPr>
            </w:pPr>
            <w:r w:rsidRPr="00F92BF2">
              <w:rPr>
                <w:b/>
                <w:bCs/>
              </w:rPr>
              <w:t>Clearer guidance for water corporations</w:t>
            </w:r>
          </w:p>
        </w:tc>
        <w:tc>
          <w:tcPr>
            <w:tcW w:w="6946" w:type="dxa"/>
          </w:tcPr>
          <w:p w14:paraId="63E40795" w14:textId="77777777" w:rsidR="007745BF" w:rsidRPr="00F92BF2" w:rsidRDefault="007745BF" w:rsidP="00F92BF2">
            <w:pPr>
              <w:pStyle w:val="TableCopy"/>
            </w:pPr>
            <w:r w:rsidRPr="00F92BF2">
              <w:t>Updated Urban Water Strategy Guidance directing water corporations to supply recycled water to new large industrial customers wherever feasible.</w:t>
            </w:r>
          </w:p>
        </w:tc>
      </w:tr>
      <w:tr w:rsidR="007745BF" w:rsidRPr="00F92BF2" w14:paraId="7674EE60" w14:textId="77777777" w:rsidTr="00F92BF2">
        <w:trPr>
          <w:cantSplit/>
          <w:trHeight w:val="60"/>
        </w:trPr>
        <w:tc>
          <w:tcPr>
            <w:tcW w:w="2835" w:type="dxa"/>
          </w:tcPr>
          <w:p w14:paraId="32D8715E" w14:textId="77777777" w:rsidR="007745BF" w:rsidRPr="00F92BF2" w:rsidRDefault="007745BF" w:rsidP="00F92BF2">
            <w:pPr>
              <w:pStyle w:val="TableCopy"/>
              <w:rPr>
                <w:b/>
                <w:bCs/>
              </w:rPr>
            </w:pPr>
            <w:r w:rsidRPr="00F92BF2">
              <w:rPr>
                <w:b/>
                <w:bCs/>
              </w:rPr>
              <w:t>Standardised engagement tools</w:t>
            </w:r>
          </w:p>
        </w:tc>
        <w:tc>
          <w:tcPr>
            <w:tcW w:w="6946" w:type="dxa"/>
          </w:tcPr>
          <w:p w14:paraId="3481E683" w14:textId="77777777" w:rsidR="007745BF" w:rsidRPr="00F92BF2" w:rsidRDefault="007745BF" w:rsidP="00F92BF2">
            <w:pPr>
              <w:pStyle w:val="TableCopy"/>
            </w:pPr>
            <w:r w:rsidRPr="00F92BF2">
              <w:t>A data centre-specific template for water corporations to inform approval decisions, plan for growth and avoid delays.</w:t>
            </w:r>
          </w:p>
        </w:tc>
      </w:tr>
      <w:tr w:rsidR="007745BF" w:rsidRPr="00F92BF2" w14:paraId="5CE4217E" w14:textId="77777777" w:rsidTr="00F92BF2">
        <w:trPr>
          <w:cantSplit/>
          <w:trHeight w:val="60"/>
        </w:trPr>
        <w:tc>
          <w:tcPr>
            <w:tcW w:w="2835" w:type="dxa"/>
          </w:tcPr>
          <w:p w14:paraId="7EE9E151" w14:textId="77777777" w:rsidR="007745BF" w:rsidRPr="00F92BF2" w:rsidRDefault="007745BF" w:rsidP="00F92BF2">
            <w:pPr>
              <w:pStyle w:val="TableCopy"/>
              <w:rPr>
                <w:b/>
                <w:bCs/>
              </w:rPr>
            </w:pPr>
            <w:r w:rsidRPr="00F92BF2">
              <w:rPr>
                <w:b/>
                <w:bCs/>
              </w:rPr>
              <w:t>Early facilitation and advice</w:t>
            </w:r>
          </w:p>
        </w:tc>
        <w:tc>
          <w:tcPr>
            <w:tcW w:w="6946" w:type="dxa"/>
          </w:tcPr>
          <w:p w14:paraId="6D75D7C9" w14:textId="77777777" w:rsidR="007745BF" w:rsidRPr="00F92BF2" w:rsidRDefault="007745BF" w:rsidP="00F92BF2">
            <w:pPr>
              <w:pStyle w:val="TableCopy"/>
            </w:pPr>
            <w:r w:rsidRPr="00F92BF2">
              <w:t>Engage with major data centre investors early to identify optimal water-efficient design, including recycled water options.</w:t>
            </w:r>
          </w:p>
        </w:tc>
      </w:tr>
      <w:tr w:rsidR="007745BF" w:rsidRPr="00F92BF2" w14:paraId="4B00EDB1" w14:textId="77777777" w:rsidTr="00F92BF2">
        <w:trPr>
          <w:cantSplit/>
          <w:trHeight w:val="60"/>
        </w:trPr>
        <w:tc>
          <w:tcPr>
            <w:tcW w:w="2835" w:type="dxa"/>
          </w:tcPr>
          <w:p w14:paraId="36E5D922" w14:textId="77777777" w:rsidR="007745BF" w:rsidRPr="00F92BF2" w:rsidRDefault="007745BF" w:rsidP="00F92BF2">
            <w:pPr>
              <w:pStyle w:val="TableCopy"/>
              <w:rPr>
                <w:b/>
                <w:bCs/>
              </w:rPr>
            </w:pPr>
            <w:r w:rsidRPr="00F92BF2">
              <w:rPr>
                <w:b/>
                <w:bCs/>
              </w:rPr>
              <w:lastRenderedPageBreak/>
              <w:t>Better leverage recycled water infrastructure</w:t>
            </w:r>
          </w:p>
        </w:tc>
        <w:tc>
          <w:tcPr>
            <w:tcW w:w="6946" w:type="dxa"/>
          </w:tcPr>
          <w:p w14:paraId="2AC7B895" w14:textId="77777777" w:rsidR="007745BF" w:rsidRPr="00F92BF2" w:rsidRDefault="007745BF" w:rsidP="00F92BF2">
            <w:pPr>
              <w:pStyle w:val="TableCopy"/>
            </w:pPr>
            <w:r w:rsidRPr="00F92BF2">
              <w:t>Identify areas of water and wastewater infrastructure constraint and opportunities to better use existing networks.</w:t>
            </w:r>
          </w:p>
        </w:tc>
      </w:tr>
      <w:tr w:rsidR="007745BF" w:rsidRPr="00F92BF2" w14:paraId="78AE97D2" w14:textId="77777777" w:rsidTr="00F92BF2">
        <w:trPr>
          <w:cantSplit/>
          <w:trHeight w:val="60"/>
        </w:trPr>
        <w:tc>
          <w:tcPr>
            <w:tcW w:w="2835" w:type="dxa"/>
          </w:tcPr>
          <w:p w14:paraId="7DAB76AA" w14:textId="77777777" w:rsidR="007745BF" w:rsidRPr="00F92BF2" w:rsidRDefault="007745BF" w:rsidP="00F92BF2">
            <w:pPr>
              <w:pStyle w:val="TableCopy"/>
              <w:rPr>
                <w:b/>
                <w:bCs/>
              </w:rPr>
            </w:pPr>
            <w:r w:rsidRPr="00F92BF2">
              <w:rPr>
                <w:b/>
                <w:bCs/>
              </w:rPr>
              <w:t>Collaborative water preservation</w:t>
            </w:r>
          </w:p>
        </w:tc>
        <w:tc>
          <w:tcPr>
            <w:tcW w:w="6946" w:type="dxa"/>
          </w:tcPr>
          <w:p w14:paraId="35F45005" w14:textId="77777777" w:rsidR="007745BF" w:rsidRPr="00F92BF2" w:rsidRDefault="007745BF" w:rsidP="00F92BF2">
            <w:pPr>
              <w:pStyle w:val="TableCopy"/>
            </w:pPr>
            <w:r w:rsidRPr="00F92BF2">
              <w:t>Work with water corporations and the sector to reduce drinking water consumption for new investment.</w:t>
            </w:r>
          </w:p>
        </w:tc>
      </w:tr>
      <w:tr w:rsidR="007745BF" w:rsidRPr="00F92BF2" w14:paraId="4AA73B9F" w14:textId="77777777" w:rsidTr="00F92BF2">
        <w:trPr>
          <w:cantSplit/>
          <w:trHeight w:val="60"/>
        </w:trPr>
        <w:tc>
          <w:tcPr>
            <w:tcW w:w="2835" w:type="dxa"/>
          </w:tcPr>
          <w:p w14:paraId="5D03427B" w14:textId="77777777" w:rsidR="007745BF" w:rsidRPr="00F92BF2" w:rsidRDefault="007745BF" w:rsidP="00F92BF2">
            <w:pPr>
              <w:pStyle w:val="TableCopy"/>
              <w:rPr>
                <w:b/>
                <w:bCs/>
              </w:rPr>
            </w:pPr>
            <w:r w:rsidRPr="00F92BF2">
              <w:rPr>
                <w:b/>
                <w:bCs/>
              </w:rPr>
              <w:t>Transparent cost recovery</w:t>
            </w:r>
          </w:p>
        </w:tc>
        <w:tc>
          <w:tcPr>
            <w:tcW w:w="6946" w:type="dxa"/>
          </w:tcPr>
          <w:p w14:paraId="611A57CD" w14:textId="77777777" w:rsidR="007745BF" w:rsidRPr="00F92BF2" w:rsidRDefault="007745BF" w:rsidP="00F92BF2">
            <w:pPr>
              <w:pStyle w:val="TableCopy"/>
            </w:pPr>
            <w:r w:rsidRPr="00F92BF2">
              <w:t>Clarify the user-pays principle for new water infrastructure, providing certainty for investors and protecting existing customers from cross-subsidisation.</w:t>
            </w:r>
          </w:p>
        </w:tc>
      </w:tr>
      <w:tr w:rsidR="007745BF" w:rsidRPr="00F92BF2" w14:paraId="75B774E3" w14:textId="77777777" w:rsidTr="00F92BF2">
        <w:trPr>
          <w:cantSplit/>
          <w:trHeight w:val="60"/>
        </w:trPr>
        <w:tc>
          <w:tcPr>
            <w:tcW w:w="2835" w:type="dxa"/>
          </w:tcPr>
          <w:p w14:paraId="0CA72F09" w14:textId="77777777" w:rsidR="007745BF" w:rsidRPr="00F92BF2" w:rsidRDefault="007745BF" w:rsidP="00F92BF2">
            <w:pPr>
              <w:pStyle w:val="TableCopy"/>
              <w:rPr>
                <w:b/>
                <w:bCs/>
              </w:rPr>
            </w:pPr>
            <w:r w:rsidRPr="00F92BF2">
              <w:rPr>
                <w:b/>
                <w:bCs/>
              </w:rPr>
              <w:t>Facility-level water reporting</w:t>
            </w:r>
          </w:p>
        </w:tc>
        <w:tc>
          <w:tcPr>
            <w:tcW w:w="6946" w:type="dxa"/>
          </w:tcPr>
          <w:p w14:paraId="04C431CF" w14:textId="77777777" w:rsidR="007745BF" w:rsidRPr="00F92BF2" w:rsidRDefault="007745BF" w:rsidP="00F92BF2">
            <w:pPr>
              <w:pStyle w:val="TableCopy"/>
            </w:pPr>
            <w:r w:rsidRPr="00F92BF2">
              <w:t>Align Victoria's reporting with the national principle that operators meet efficiency standards and transparently report water use by location above a threshold.</w:t>
            </w:r>
          </w:p>
        </w:tc>
      </w:tr>
    </w:tbl>
    <w:p w14:paraId="60139358" w14:textId="02E47B83" w:rsidR="007745BF" w:rsidRPr="007745BF" w:rsidRDefault="007745BF" w:rsidP="004D2EC0">
      <w:pPr>
        <w:pStyle w:val="Heading2"/>
        <w:numPr>
          <w:ilvl w:val="1"/>
          <w:numId w:val="31"/>
        </w:numPr>
        <w:ind w:left="709"/>
        <w:rPr>
          <w:lang w:val="en-GB"/>
        </w:rPr>
      </w:pPr>
      <w:bookmarkStart w:id="25" w:name="_Toc241570415"/>
      <w:r w:rsidRPr="007745BF">
        <w:rPr>
          <w:lang w:val="en-GB"/>
        </w:rPr>
        <w:t>Victorian Jobs, Skills and Local Benefit</w:t>
      </w:r>
      <w:bookmarkEnd w:id="25"/>
    </w:p>
    <w:p w14:paraId="6A08924C" w14:textId="77777777" w:rsidR="007745BF" w:rsidRPr="007745BF" w:rsidRDefault="007745BF" w:rsidP="007745BF">
      <w:pPr>
        <w:rPr>
          <w:lang w:val="en-GB"/>
        </w:rPr>
      </w:pPr>
      <w:r w:rsidRPr="007745BF">
        <w:rPr>
          <w:lang w:val="en-GB"/>
        </w:rPr>
        <w:t>Data centre investment creates significant opportunities across construction, highly skilled operational fields, and the industries that rely on digital infrastructure. Industry is already partnering with training providers to give workers the skills needed to benefit from this investment. Given the scale of investment, the sector should maximise opportunities to support Victorian jobs, skills and training.</w:t>
      </w:r>
    </w:p>
    <w:p w14:paraId="65E16D0F" w14:textId="77777777" w:rsidR="007745BF" w:rsidRPr="007745BF" w:rsidRDefault="007745BF" w:rsidP="00F92BF2">
      <w:pPr>
        <w:pStyle w:val="Heading3"/>
        <w:rPr>
          <w:lang w:val="en-GB"/>
        </w:rPr>
      </w:pPr>
      <w:bookmarkStart w:id="26" w:name="_Toc241570416"/>
      <w:r w:rsidRPr="007745BF">
        <w:rPr>
          <w:lang w:val="en-GB"/>
        </w:rPr>
        <w:t>Where the jobs are</w:t>
      </w:r>
      <w:bookmarkEnd w:id="26"/>
    </w:p>
    <w:p w14:paraId="1421D788" w14:textId="77777777" w:rsidR="007745BF" w:rsidRPr="00F92BF2" w:rsidRDefault="007745BF" w:rsidP="00F92BF2">
      <w:pPr>
        <w:pStyle w:val="Bullet"/>
      </w:pPr>
      <w:r w:rsidRPr="007745BF">
        <w:rPr>
          <w:lang w:val="en-GB"/>
        </w:rPr>
        <w:t xml:space="preserve">Construction Workforce: Construction represents the largest direct workforce, supporting hundreds of </w:t>
      </w:r>
      <w:r w:rsidRPr="00F92BF2">
        <w:t>workers per facility across multi-year programs in electrical, plumbing, engineering, rigging, and concreting trades.</w:t>
      </w:r>
    </w:p>
    <w:p w14:paraId="71563247" w14:textId="77777777" w:rsidR="007745BF" w:rsidRPr="00F92BF2" w:rsidRDefault="007745BF" w:rsidP="00F92BF2">
      <w:pPr>
        <w:pStyle w:val="Bullet"/>
      </w:pPr>
      <w:r w:rsidRPr="00F92BF2">
        <w:t>Specialised Operational Roles: Ongoing facility operations require highly skilled technical teams – including facility engineers, critical environment technicians, network systems specialists, and security personnel – providing stable, long-term employment.</w:t>
      </w:r>
    </w:p>
    <w:p w14:paraId="12D3BEA3" w14:textId="77777777" w:rsidR="007745BF" w:rsidRPr="00F92BF2" w:rsidRDefault="007745BF" w:rsidP="00F92BF2">
      <w:pPr>
        <w:pStyle w:val="Bullet"/>
      </w:pPr>
      <w:r w:rsidRPr="00F92BF2">
        <w:t>Supply Chain and Service Procurement: Economic activity extends throughout Victorian supply chains, generating ongoing commercial opportunities in cabling, switchboards, construction materials, mechanical and electrical engineering, and long-term maintenance contracts.</w:t>
      </w:r>
    </w:p>
    <w:p w14:paraId="60453BF8" w14:textId="77777777" w:rsidR="007745BF" w:rsidRPr="007745BF" w:rsidRDefault="007745BF" w:rsidP="00F92BF2">
      <w:pPr>
        <w:pStyle w:val="Bullet"/>
        <w:rPr>
          <w:lang w:val="en-GB"/>
        </w:rPr>
      </w:pPr>
      <w:r w:rsidRPr="00F92BF2">
        <w:t>Broader Economic Enablement: Beyond direct site operations, high-capacity digital infrastructure</w:t>
      </w:r>
      <w:r w:rsidRPr="007745BF">
        <w:rPr>
          <w:lang w:val="en-GB"/>
        </w:rPr>
        <w:t xml:space="preserve"> underpins the wider Victorian economy, delivering the critical compute foundation needed to scale advanced manufacturing, health, financial services, and scientific research.</w:t>
      </w:r>
    </w:p>
    <w:p w14:paraId="5B1A813E" w14:textId="77777777" w:rsidR="007745BF" w:rsidRPr="007745BF" w:rsidRDefault="007745BF" w:rsidP="00F92BF2">
      <w:pPr>
        <w:pStyle w:val="Heading3"/>
        <w:rPr>
          <w:lang w:val="en-GB"/>
        </w:rPr>
      </w:pPr>
      <w:bookmarkStart w:id="27" w:name="_Toc241570417"/>
      <w:r w:rsidRPr="00F92BF2">
        <w:lastRenderedPageBreak/>
        <w:t>Requirements</w:t>
      </w:r>
      <w:bookmarkEnd w:id="27"/>
    </w:p>
    <w:tbl>
      <w:tblPr>
        <w:tblStyle w:val="TableGrid"/>
        <w:tblW w:w="9781" w:type="dxa"/>
        <w:tblLayout w:type="fixed"/>
        <w:tblLook w:val="0000" w:firstRow="0" w:lastRow="0" w:firstColumn="0" w:lastColumn="0" w:noHBand="0" w:noVBand="0"/>
      </w:tblPr>
      <w:tblGrid>
        <w:gridCol w:w="567"/>
        <w:gridCol w:w="1980"/>
        <w:gridCol w:w="3236"/>
        <w:gridCol w:w="3998"/>
      </w:tblGrid>
      <w:tr w:rsidR="007745BF" w:rsidRPr="007745BF" w14:paraId="72FDCB65" w14:textId="77777777" w:rsidTr="009A06D2">
        <w:trPr>
          <w:cantSplit/>
          <w:trHeight w:val="60"/>
          <w:tblHeader/>
        </w:trPr>
        <w:tc>
          <w:tcPr>
            <w:tcW w:w="567" w:type="dxa"/>
          </w:tcPr>
          <w:p w14:paraId="22DD13CC" w14:textId="77777777" w:rsidR="007745BF" w:rsidRPr="007745BF" w:rsidRDefault="007745BF" w:rsidP="009A06D2">
            <w:pPr>
              <w:pStyle w:val="TableHeading"/>
              <w:rPr>
                <w:lang w:val="en-GB"/>
              </w:rPr>
            </w:pPr>
            <w:r w:rsidRPr="007745BF">
              <w:rPr>
                <w:lang w:val="en-GB"/>
              </w:rPr>
              <w:t>#</w:t>
            </w:r>
          </w:p>
        </w:tc>
        <w:tc>
          <w:tcPr>
            <w:tcW w:w="1980" w:type="dxa"/>
          </w:tcPr>
          <w:p w14:paraId="164D3EA5" w14:textId="77777777" w:rsidR="007745BF" w:rsidRPr="007745BF" w:rsidRDefault="007745BF" w:rsidP="009A06D2">
            <w:pPr>
              <w:pStyle w:val="TableHeading"/>
              <w:rPr>
                <w:lang w:val="en-GB"/>
              </w:rPr>
            </w:pPr>
            <w:r w:rsidRPr="007745BF">
              <w:rPr>
                <w:lang w:val="en-GB"/>
              </w:rPr>
              <w:t>Requirements</w:t>
            </w:r>
          </w:p>
        </w:tc>
        <w:tc>
          <w:tcPr>
            <w:tcW w:w="3236" w:type="dxa"/>
          </w:tcPr>
          <w:p w14:paraId="2C6908FF" w14:textId="77777777" w:rsidR="007745BF" w:rsidRPr="007745BF" w:rsidRDefault="007745BF" w:rsidP="009A06D2">
            <w:pPr>
              <w:pStyle w:val="TableHeading"/>
              <w:rPr>
                <w:lang w:val="en-GB"/>
              </w:rPr>
            </w:pPr>
            <w:r w:rsidRPr="007745BF">
              <w:rPr>
                <w:lang w:val="en-GB"/>
              </w:rPr>
              <w:t>Detail</w:t>
            </w:r>
          </w:p>
        </w:tc>
        <w:tc>
          <w:tcPr>
            <w:tcW w:w="3998" w:type="dxa"/>
          </w:tcPr>
          <w:p w14:paraId="548AFC4C" w14:textId="77777777" w:rsidR="007745BF" w:rsidRPr="007745BF" w:rsidRDefault="007745BF" w:rsidP="009A06D2">
            <w:pPr>
              <w:pStyle w:val="TableHeading"/>
              <w:rPr>
                <w:lang w:val="en-GB"/>
              </w:rPr>
            </w:pPr>
            <w:r w:rsidRPr="007745BF">
              <w:rPr>
                <w:lang w:val="en-GB"/>
              </w:rPr>
              <w:t>Purpose</w:t>
            </w:r>
          </w:p>
        </w:tc>
      </w:tr>
      <w:tr w:rsidR="007745BF" w:rsidRPr="007745BF" w14:paraId="2BCCB40A" w14:textId="77777777" w:rsidTr="009A06D2">
        <w:trPr>
          <w:cantSplit/>
          <w:trHeight w:val="60"/>
        </w:trPr>
        <w:tc>
          <w:tcPr>
            <w:tcW w:w="567" w:type="dxa"/>
          </w:tcPr>
          <w:p w14:paraId="0D70CF17" w14:textId="77777777" w:rsidR="007745BF" w:rsidRPr="009A06D2" w:rsidRDefault="007745BF" w:rsidP="009A06D2">
            <w:pPr>
              <w:pStyle w:val="TableCopy"/>
              <w:rPr>
                <w:b/>
                <w:bCs/>
                <w:lang w:val="en-GB"/>
              </w:rPr>
            </w:pPr>
            <w:r w:rsidRPr="009A06D2">
              <w:rPr>
                <w:b/>
                <w:bCs/>
                <w:lang w:val="en-GB"/>
              </w:rPr>
              <w:t>J1</w:t>
            </w:r>
          </w:p>
        </w:tc>
        <w:tc>
          <w:tcPr>
            <w:tcW w:w="1980" w:type="dxa"/>
          </w:tcPr>
          <w:p w14:paraId="3BC56053" w14:textId="77777777" w:rsidR="007745BF" w:rsidRPr="009A06D2" w:rsidRDefault="007745BF" w:rsidP="009A06D2">
            <w:pPr>
              <w:pStyle w:val="TableCopy"/>
              <w:rPr>
                <w:b/>
                <w:bCs/>
                <w:lang w:val="en-GB"/>
              </w:rPr>
            </w:pPr>
            <w:r w:rsidRPr="009A06D2">
              <w:rPr>
                <w:b/>
                <w:bCs/>
                <w:lang w:val="en-GB"/>
              </w:rPr>
              <w:t>Train Victorians</w:t>
            </w:r>
          </w:p>
        </w:tc>
        <w:tc>
          <w:tcPr>
            <w:tcW w:w="3236" w:type="dxa"/>
          </w:tcPr>
          <w:p w14:paraId="1E0D281F" w14:textId="77777777" w:rsidR="007745BF" w:rsidRPr="007745BF" w:rsidRDefault="007745BF" w:rsidP="009A06D2">
            <w:pPr>
              <w:pStyle w:val="TableCopy"/>
              <w:rPr>
                <w:lang w:val="en-GB"/>
              </w:rPr>
            </w:pPr>
            <w:r w:rsidRPr="007745BF">
              <w:rPr>
                <w:lang w:val="en-GB"/>
              </w:rPr>
              <w:t>Support training of construction and operational workers through apprenticeships and traineeships, TAFE and tertiary partnerships, or bursaries and scholarships connected to real employment.</w:t>
            </w:r>
          </w:p>
        </w:tc>
        <w:tc>
          <w:tcPr>
            <w:tcW w:w="3998" w:type="dxa"/>
          </w:tcPr>
          <w:p w14:paraId="79C8EA2D" w14:textId="77777777" w:rsidR="007745BF" w:rsidRPr="007745BF" w:rsidRDefault="007745BF" w:rsidP="009A06D2">
            <w:pPr>
              <w:pStyle w:val="TableCopy"/>
              <w:rPr>
                <w:lang w:val="en-GB"/>
              </w:rPr>
            </w:pPr>
            <w:r w:rsidRPr="007745BF">
              <w:rPr>
                <w:lang w:val="en-GB"/>
              </w:rPr>
              <w:t>Builds a skilled workforce pipeline tied to actual jobs.</w:t>
            </w:r>
          </w:p>
        </w:tc>
      </w:tr>
      <w:tr w:rsidR="007745BF" w:rsidRPr="007745BF" w14:paraId="39721E2A" w14:textId="77777777" w:rsidTr="009A06D2">
        <w:trPr>
          <w:cantSplit/>
          <w:trHeight w:val="60"/>
        </w:trPr>
        <w:tc>
          <w:tcPr>
            <w:tcW w:w="567" w:type="dxa"/>
          </w:tcPr>
          <w:p w14:paraId="6723A87D" w14:textId="77777777" w:rsidR="007745BF" w:rsidRPr="009A06D2" w:rsidRDefault="007745BF" w:rsidP="009A06D2">
            <w:pPr>
              <w:pStyle w:val="TableCopy"/>
              <w:rPr>
                <w:b/>
                <w:bCs/>
                <w:lang w:val="en-GB"/>
              </w:rPr>
            </w:pPr>
            <w:r w:rsidRPr="009A06D2">
              <w:rPr>
                <w:b/>
                <w:bCs/>
                <w:lang w:val="en-GB"/>
              </w:rPr>
              <w:t>J2</w:t>
            </w:r>
          </w:p>
        </w:tc>
        <w:tc>
          <w:tcPr>
            <w:tcW w:w="1980" w:type="dxa"/>
          </w:tcPr>
          <w:p w14:paraId="5E03C0D7" w14:textId="77777777" w:rsidR="007745BF" w:rsidRPr="009A06D2" w:rsidRDefault="007745BF" w:rsidP="009A06D2">
            <w:pPr>
              <w:pStyle w:val="TableCopy"/>
              <w:rPr>
                <w:b/>
                <w:bCs/>
                <w:lang w:val="en-GB"/>
              </w:rPr>
            </w:pPr>
            <w:r w:rsidRPr="009A06D2">
              <w:rPr>
                <w:b/>
                <w:bCs/>
                <w:lang w:val="en-GB"/>
              </w:rPr>
              <w:t>Buy Victorian</w:t>
            </w:r>
          </w:p>
        </w:tc>
        <w:tc>
          <w:tcPr>
            <w:tcW w:w="3236" w:type="dxa"/>
          </w:tcPr>
          <w:p w14:paraId="5109D47E" w14:textId="77777777" w:rsidR="007745BF" w:rsidRPr="007745BF" w:rsidRDefault="007745BF" w:rsidP="009A06D2">
            <w:pPr>
              <w:pStyle w:val="TableCopy"/>
              <w:rPr>
                <w:lang w:val="en-GB"/>
              </w:rPr>
            </w:pPr>
            <w:r w:rsidRPr="007745BF">
              <w:rPr>
                <w:lang w:val="en-GB"/>
              </w:rPr>
              <w:t>Prioritise Victorian content and local suppliers; engage with government on opportunities to support local supply chains.</w:t>
            </w:r>
          </w:p>
        </w:tc>
        <w:tc>
          <w:tcPr>
            <w:tcW w:w="3998" w:type="dxa"/>
          </w:tcPr>
          <w:p w14:paraId="0129BE31" w14:textId="77777777" w:rsidR="007745BF" w:rsidRPr="007745BF" w:rsidRDefault="007745BF" w:rsidP="009A06D2">
            <w:pPr>
              <w:pStyle w:val="TableCopy"/>
              <w:rPr>
                <w:lang w:val="en-GB"/>
              </w:rPr>
            </w:pPr>
            <w:r w:rsidRPr="007745BF">
              <w:rPr>
                <w:lang w:val="en-GB"/>
              </w:rPr>
              <w:t>Extends economic benefit beyond direct employment.</w:t>
            </w:r>
          </w:p>
        </w:tc>
      </w:tr>
      <w:tr w:rsidR="007745BF" w:rsidRPr="007745BF" w14:paraId="3338FAAB" w14:textId="77777777" w:rsidTr="009A06D2">
        <w:trPr>
          <w:cantSplit/>
          <w:trHeight w:val="60"/>
        </w:trPr>
        <w:tc>
          <w:tcPr>
            <w:tcW w:w="567" w:type="dxa"/>
          </w:tcPr>
          <w:p w14:paraId="69FC0C38" w14:textId="77777777" w:rsidR="007745BF" w:rsidRPr="009A06D2" w:rsidRDefault="007745BF" w:rsidP="009A06D2">
            <w:pPr>
              <w:pStyle w:val="TableCopy"/>
              <w:rPr>
                <w:b/>
                <w:bCs/>
                <w:lang w:val="en-GB"/>
              </w:rPr>
            </w:pPr>
            <w:r w:rsidRPr="009A06D2">
              <w:rPr>
                <w:b/>
                <w:bCs/>
                <w:lang w:val="en-GB"/>
              </w:rPr>
              <w:t>J3</w:t>
            </w:r>
          </w:p>
        </w:tc>
        <w:tc>
          <w:tcPr>
            <w:tcW w:w="1980" w:type="dxa"/>
          </w:tcPr>
          <w:p w14:paraId="056DB948" w14:textId="77777777" w:rsidR="007745BF" w:rsidRPr="009A06D2" w:rsidRDefault="007745BF" w:rsidP="009A06D2">
            <w:pPr>
              <w:pStyle w:val="TableCopy"/>
              <w:rPr>
                <w:b/>
                <w:bCs/>
                <w:lang w:val="en-GB"/>
              </w:rPr>
            </w:pPr>
            <w:r w:rsidRPr="009A06D2">
              <w:rPr>
                <w:b/>
                <w:bCs/>
                <w:lang w:val="en-GB"/>
              </w:rPr>
              <w:t>Work with the workforce</w:t>
            </w:r>
          </w:p>
        </w:tc>
        <w:tc>
          <w:tcPr>
            <w:tcW w:w="3236" w:type="dxa"/>
          </w:tcPr>
          <w:p w14:paraId="5D69B913" w14:textId="77777777" w:rsidR="007745BF" w:rsidRPr="007745BF" w:rsidRDefault="007745BF" w:rsidP="009A06D2">
            <w:pPr>
              <w:pStyle w:val="TableCopy"/>
              <w:rPr>
                <w:lang w:val="en-GB"/>
              </w:rPr>
            </w:pPr>
            <w:r w:rsidRPr="007745BF">
              <w:rPr>
                <w:lang w:val="en-GB"/>
              </w:rPr>
              <w:t>Coordinate with industry, government and unions so skills development keeps pace with demand and benefits are shared across the economy.</w:t>
            </w:r>
          </w:p>
        </w:tc>
        <w:tc>
          <w:tcPr>
            <w:tcW w:w="3998" w:type="dxa"/>
          </w:tcPr>
          <w:p w14:paraId="3BEDF767" w14:textId="77777777" w:rsidR="007745BF" w:rsidRPr="007745BF" w:rsidRDefault="007745BF" w:rsidP="009A06D2">
            <w:pPr>
              <w:pStyle w:val="TableCopy"/>
              <w:rPr>
                <w:lang w:val="en-GB"/>
              </w:rPr>
            </w:pPr>
            <w:r w:rsidRPr="007745BF">
              <w:rPr>
                <w:lang w:val="en-GB"/>
              </w:rPr>
              <w:t>Aligns training supply with sector demand.</w:t>
            </w:r>
          </w:p>
        </w:tc>
      </w:tr>
      <w:tr w:rsidR="007745BF" w:rsidRPr="007745BF" w14:paraId="1BFFEA16" w14:textId="77777777" w:rsidTr="009A06D2">
        <w:trPr>
          <w:cantSplit/>
          <w:trHeight w:val="60"/>
        </w:trPr>
        <w:tc>
          <w:tcPr>
            <w:tcW w:w="567" w:type="dxa"/>
          </w:tcPr>
          <w:p w14:paraId="2BF53A34" w14:textId="77777777" w:rsidR="007745BF" w:rsidRPr="009A06D2" w:rsidRDefault="007745BF" w:rsidP="009A06D2">
            <w:pPr>
              <w:pStyle w:val="TableCopy"/>
              <w:rPr>
                <w:b/>
                <w:bCs/>
                <w:lang w:val="en-GB"/>
              </w:rPr>
            </w:pPr>
            <w:r w:rsidRPr="009A06D2">
              <w:rPr>
                <w:b/>
                <w:bCs/>
                <w:lang w:val="en-GB"/>
              </w:rPr>
              <w:t>J4</w:t>
            </w:r>
          </w:p>
        </w:tc>
        <w:tc>
          <w:tcPr>
            <w:tcW w:w="1980" w:type="dxa"/>
          </w:tcPr>
          <w:p w14:paraId="79C6ACB0" w14:textId="77777777" w:rsidR="007745BF" w:rsidRPr="009A06D2" w:rsidRDefault="007745BF" w:rsidP="009A06D2">
            <w:pPr>
              <w:pStyle w:val="TableCopy"/>
              <w:rPr>
                <w:b/>
                <w:bCs/>
                <w:lang w:val="en-GB"/>
              </w:rPr>
            </w:pPr>
            <w:r w:rsidRPr="009A06D2">
              <w:rPr>
                <w:b/>
                <w:bCs/>
                <w:lang w:val="en-GB"/>
              </w:rPr>
              <w:t>Hire where you build</w:t>
            </w:r>
          </w:p>
        </w:tc>
        <w:tc>
          <w:tcPr>
            <w:tcW w:w="3236" w:type="dxa"/>
          </w:tcPr>
          <w:p w14:paraId="55DBC6EF" w14:textId="77777777" w:rsidR="007745BF" w:rsidRPr="007745BF" w:rsidRDefault="007745BF" w:rsidP="009A06D2">
            <w:pPr>
              <w:pStyle w:val="TableCopy"/>
              <w:rPr>
                <w:lang w:val="en-GB"/>
              </w:rPr>
            </w:pPr>
            <w:r w:rsidRPr="007745BF">
              <w:rPr>
                <w:lang w:val="en-GB"/>
              </w:rPr>
              <w:t>Where a facility is in regional Victoria or a community with high unemployment, work with local training providers and employment services.</w:t>
            </w:r>
          </w:p>
        </w:tc>
        <w:tc>
          <w:tcPr>
            <w:tcW w:w="3998" w:type="dxa"/>
          </w:tcPr>
          <w:p w14:paraId="6B6BA759" w14:textId="77777777" w:rsidR="007745BF" w:rsidRPr="007745BF" w:rsidRDefault="007745BF" w:rsidP="009A06D2">
            <w:pPr>
              <w:pStyle w:val="TableCopy"/>
              <w:rPr>
                <w:lang w:val="en-GB"/>
              </w:rPr>
            </w:pPr>
            <w:r w:rsidRPr="007745BF">
              <w:rPr>
                <w:lang w:val="en-GB"/>
              </w:rPr>
              <w:t xml:space="preserve">Directs employment benefit to the </w:t>
            </w:r>
            <w:proofErr w:type="gramStart"/>
            <w:r w:rsidRPr="007745BF">
              <w:rPr>
                <w:lang w:val="en-GB"/>
              </w:rPr>
              <w:t>communities</w:t>
            </w:r>
            <w:proofErr w:type="gramEnd"/>
            <w:r w:rsidRPr="007745BF">
              <w:rPr>
                <w:lang w:val="en-GB"/>
              </w:rPr>
              <w:t xml:space="preserve"> hosting facilities.</w:t>
            </w:r>
          </w:p>
        </w:tc>
      </w:tr>
    </w:tbl>
    <w:p w14:paraId="678A0F97" w14:textId="77777777" w:rsidR="007745BF" w:rsidRPr="007745BF" w:rsidRDefault="007745BF" w:rsidP="009A06D2">
      <w:pPr>
        <w:pStyle w:val="Heading3"/>
        <w:rPr>
          <w:lang w:val="en-GB"/>
        </w:rPr>
      </w:pPr>
      <w:bookmarkStart w:id="28" w:name="_Toc241570418"/>
      <w:r w:rsidRPr="007745BF">
        <w:rPr>
          <w:lang w:val="en-GB"/>
        </w:rPr>
        <w:t>Skills base and existing programs</w:t>
      </w:r>
      <w:bookmarkEnd w:id="28"/>
    </w:p>
    <w:p w14:paraId="3684FC75" w14:textId="77777777" w:rsidR="007745BF" w:rsidRPr="007745BF" w:rsidRDefault="007745BF" w:rsidP="009A06D2">
      <w:pPr>
        <w:pStyle w:val="Bullet"/>
        <w:rPr>
          <w:lang w:val="en-GB"/>
        </w:rPr>
      </w:pPr>
      <w:r w:rsidRPr="007745BF">
        <w:rPr>
          <w:lang w:val="en-GB"/>
        </w:rPr>
        <w:t>Victoria produces more IT, engineering and technology graduates than any other Australian state.</w:t>
      </w:r>
    </w:p>
    <w:p w14:paraId="26D5DDDC" w14:textId="77777777" w:rsidR="007745BF" w:rsidRPr="007745BF" w:rsidRDefault="007745BF" w:rsidP="009A06D2">
      <w:pPr>
        <w:pStyle w:val="Bullet"/>
        <w:rPr>
          <w:lang w:val="en-GB"/>
        </w:rPr>
      </w:pPr>
      <w:r w:rsidRPr="007745BF">
        <w:rPr>
          <w:lang w:val="en-GB"/>
        </w:rPr>
        <w:t>The Victorian Government’s $8.1 million Digital Jobs AI Career Conversion program supports workers moving into AI and digital technology roles, delivered through government-industry training partnerships.</w:t>
      </w:r>
    </w:p>
    <w:p w14:paraId="75AD1417" w14:textId="77777777" w:rsidR="007745BF" w:rsidRPr="007745BF" w:rsidRDefault="007745BF" w:rsidP="009A06D2">
      <w:pPr>
        <w:pStyle w:val="Heading3"/>
        <w:rPr>
          <w:lang w:val="en-GB"/>
        </w:rPr>
      </w:pPr>
      <w:bookmarkStart w:id="29" w:name="_Toc241570419"/>
      <w:r w:rsidRPr="007745BF">
        <w:rPr>
          <w:lang w:val="en-GB"/>
        </w:rPr>
        <w:lastRenderedPageBreak/>
        <w:t>Implementation actions</w:t>
      </w:r>
      <w:bookmarkEnd w:id="29"/>
    </w:p>
    <w:tbl>
      <w:tblPr>
        <w:tblStyle w:val="TableGrid"/>
        <w:tblW w:w="9639" w:type="dxa"/>
        <w:tblLayout w:type="fixed"/>
        <w:tblLook w:val="0000" w:firstRow="0" w:lastRow="0" w:firstColumn="0" w:lastColumn="0" w:noHBand="0" w:noVBand="0"/>
      </w:tblPr>
      <w:tblGrid>
        <w:gridCol w:w="2835"/>
        <w:gridCol w:w="6804"/>
      </w:tblGrid>
      <w:tr w:rsidR="007745BF" w:rsidRPr="009A06D2" w14:paraId="6CAB173B" w14:textId="77777777" w:rsidTr="009A06D2">
        <w:trPr>
          <w:cantSplit/>
          <w:trHeight w:val="60"/>
          <w:tblHeader/>
        </w:trPr>
        <w:tc>
          <w:tcPr>
            <w:tcW w:w="2835" w:type="dxa"/>
          </w:tcPr>
          <w:p w14:paraId="0BE8A806" w14:textId="77777777" w:rsidR="007745BF" w:rsidRPr="009A06D2" w:rsidRDefault="007745BF" w:rsidP="009A06D2">
            <w:pPr>
              <w:pStyle w:val="TableHeading"/>
            </w:pPr>
            <w:r w:rsidRPr="009A06D2">
              <w:t>Action</w:t>
            </w:r>
          </w:p>
        </w:tc>
        <w:tc>
          <w:tcPr>
            <w:tcW w:w="6804" w:type="dxa"/>
          </w:tcPr>
          <w:p w14:paraId="7782B6C8" w14:textId="77777777" w:rsidR="007745BF" w:rsidRPr="009A06D2" w:rsidRDefault="007745BF" w:rsidP="009A06D2">
            <w:pPr>
              <w:pStyle w:val="TableHeading"/>
            </w:pPr>
            <w:r w:rsidRPr="009A06D2">
              <w:t>Detail</w:t>
            </w:r>
          </w:p>
        </w:tc>
      </w:tr>
      <w:tr w:rsidR="007745BF" w:rsidRPr="007745BF" w14:paraId="5734FEDB" w14:textId="77777777" w:rsidTr="009A06D2">
        <w:trPr>
          <w:cantSplit/>
          <w:trHeight w:val="60"/>
        </w:trPr>
        <w:tc>
          <w:tcPr>
            <w:tcW w:w="2835" w:type="dxa"/>
          </w:tcPr>
          <w:p w14:paraId="7AA726F2" w14:textId="77777777" w:rsidR="007745BF" w:rsidRPr="009A06D2" w:rsidRDefault="007745BF" w:rsidP="009A06D2">
            <w:pPr>
              <w:pStyle w:val="TableCopy"/>
              <w:rPr>
                <w:b/>
                <w:bCs/>
                <w:lang w:val="en-GB"/>
              </w:rPr>
            </w:pPr>
            <w:r w:rsidRPr="009A06D2">
              <w:rPr>
                <w:b/>
                <w:bCs/>
                <w:lang w:val="en-GB"/>
              </w:rPr>
              <w:t>Targeted workforce strategy</w:t>
            </w:r>
          </w:p>
        </w:tc>
        <w:tc>
          <w:tcPr>
            <w:tcW w:w="6804" w:type="dxa"/>
          </w:tcPr>
          <w:p w14:paraId="798DFD22" w14:textId="77777777" w:rsidR="007745BF" w:rsidRPr="007745BF" w:rsidRDefault="007745BF" w:rsidP="009A06D2">
            <w:pPr>
              <w:pStyle w:val="TableCopy"/>
              <w:rPr>
                <w:lang w:val="en-GB"/>
              </w:rPr>
            </w:pPr>
            <w:r w:rsidRPr="007745BF">
              <w:rPr>
                <w:lang w:val="en-GB"/>
              </w:rPr>
              <w:t>Identify current and future skill demands and develop associated training pathways.</w:t>
            </w:r>
          </w:p>
        </w:tc>
      </w:tr>
      <w:tr w:rsidR="007745BF" w:rsidRPr="007745BF" w14:paraId="5B0255F7" w14:textId="77777777" w:rsidTr="009A06D2">
        <w:trPr>
          <w:cantSplit/>
          <w:trHeight w:val="60"/>
        </w:trPr>
        <w:tc>
          <w:tcPr>
            <w:tcW w:w="2835" w:type="dxa"/>
          </w:tcPr>
          <w:p w14:paraId="2721FAFE" w14:textId="77777777" w:rsidR="007745BF" w:rsidRPr="009A06D2" w:rsidRDefault="007745BF" w:rsidP="009A06D2">
            <w:pPr>
              <w:pStyle w:val="TableCopy"/>
              <w:rPr>
                <w:b/>
                <w:bCs/>
                <w:lang w:val="en-GB"/>
              </w:rPr>
            </w:pPr>
            <w:r w:rsidRPr="009A06D2">
              <w:rPr>
                <w:b/>
                <w:bCs/>
                <w:lang w:val="en-GB"/>
              </w:rPr>
              <w:t>Industry-specific courses</w:t>
            </w:r>
          </w:p>
        </w:tc>
        <w:tc>
          <w:tcPr>
            <w:tcW w:w="6804" w:type="dxa"/>
          </w:tcPr>
          <w:p w14:paraId="5DA6972C" w14:textId="77777777" w:rsidR="007745BF" w:rsidRPr="007745BF" w:rsidRDefault="007745BF" w:rsidP="009A06D2">
            <w:pPr>
              <w:pStyle w:val="TableCopy"/>
              <w:rPr>
                <w:lang w:val="en-GB"/>
              </w:rPr>
            </w:pPr>
            <w:r w:rsidRPr="007745BF">
              <w:rPr>
                <w:lang w:val="en-GB"/>
              </w:rPr>
              <w:t>Design and tailor pilot coursework with industry through the Skills Solutions Partnership.</w:t>
            </w:r>
          </w:p>
        </w:tc>
      </w:tr>
      <w:tr w:rsidR="007745BF" w:rsidRPr="007745BF" w14:paraId="3184CC76" w14:textId="77777777" w:rsidTr="009A06D2">
        <w:trPr>
          <w:cantSplit/>
          <w:trHeight w:val="60"/>
        </w:trPr>
        <w:tc>
          <w:tcPr>
            <w:tcW w:w="2835" w:type="dxa"/>
          </w:tcPr>
          <w:p w14:paraId="03A8BC8D" w14:textId="77777777" w:rsidR="007745BF" w:rsidRPr="009A06D2" w:rsidRDefault="007745BF" w:rsidP="009A06D2">
            <w:pPr>
              <w:pStyle w:val="TableCopy"/>
              <w:rPr>
                <w:b/>
                <w:bCs/>
                <w:lang w:val="en-GB"/>
              </w:rPr>
            </w:pPr>
            <w:r w:rsidRPr="009A06D2">
              <w:rPr>
                <w:b/>
                <w:bCs/>
                <w:lang w:val="en-GB"/>
              </w:rPr>
              <w:t>Qualified workforce pipeline</w:t>
            </w:r>
          </w:p>
        </w:tc>
        <w:tc>
          <w:tcPr>
            <w:tcW w:w="6804" w:type="dxa"/>
          </w:tcPr>
          <w:p w14:paraId="7B561C33" w14:textId="77777777" w:rsidR="007745BF" w:rsidRPr="007745BF" w:rsidRDefault="007745BF" w:rsidP="009A06D2">
            <w:pPr>
              <w:pStyle w:val="TableCopy"/>
              <w:rPr>
                <w:lang w:val="en-GB"/>
              </w:rPr>
            </w:pPr>
            <w:r w:rsidRPr="007745BF">
              <w:rPr>
                <w:lang w:val="en-GB"/>
              </w:rPr>
              <w:t>Co-design and deliver programs with TAFE and Apprenticeships Victoria to firm up future supply of skilled workers.</w:t>
            </w:r>
          </w:p>
        </w:tc>
      </w:tr>
      <w:tr w:rsidR="007745BF" w:rsidRPr="007745BF" w14:paraId="7F875F79" w14:textId="77777777" w:rsidTr="009A06D2">
        <w:trPr>
          <w:cantSplit/>
          <w:trHeight w:val="60"/>
        </w:trPr>
        <w:tc>
          <w:tcPr>
            <w:tcW w:w="2835" w:type="dxa"/>
          </w:tcPr>
          <w:p w14:paraId="4EA48F20" w14:textId="77777777" w:rsidR="007745BF" w:rsidRPr="009A06D2" w:rsidRDefault="007745BF" w:rsidP="009A06D2">
            <w:pPr>
              <w:pStyle w:val="TableCopy"/>
              <w:rPr>
                <w:b/>
                <w:bCs/>
                <w:lang w:val="en-GB"/>
              </w:rPr>
            </w:pPr>
            <w:r w:rsidRPr="009A06D2">
              <w:rPr>
                <w:b/>
                <w:bCs/>
                <w:lang w:val="en-GB"/>
              </w:rPr>
              <w:t>Open the door to the next generation</w:t>
            </w:r>
          </w:p>
        </w:tc>
        <w:tc>
          <w:tcPr>
            <w:tcW w:w="6804" w:type="dxa"/>
          </w:tcPr>
          <w:p w14:paraId="1A13AAAD" w14:textId="77777777" w:rsidR="007745BF" w:rsidRPr="007745BF" w:rsidRDefault="007745BF" w:rsidP="009A06D2">
            <w:pPr>
              <w:pStyle w:val="TableCopy"/>
              <w:rPr>
                <w:lang w:val="en-GB"/>
              </w:rPr>
            </w:pPr>
            <w:r w:rsidRPr="007745BF">
              <w:rPr>
                <w:lang w:val="en-GB"/>
              </w:rPr>
              <w:t>Promote data centre careers, including trades and technician pathways, to young people and career changers.</w:t>
            </w:r>
          </w:p>
        </w:tc>
      </w:tr>
      <w:tr w:rsidR="007745BF" w:rsidRPr="007745BF" w14:paraId="09B81785" w14:textId="77777777" w:rsidTr="009A06D2">
        <w:trPr>
          <w:cantSplit/>
          <w:trHeight w:val="60"/>
        </w:trPr>
        <w:tc>
          <w:tcPr>
            <w:tcW w:w="2835" w:type="dxa"/>
          </w:tcPr>
          <w:p w14:paraId="0766A0BE" w14:textId="77777777" w:rsidR="007745BF" w:rsidRPr="009A06D2" w:rsidRDefault="007745BF" w:rsidP="009A06D2">
            <w:pPr>
              <w:pStyle w:val="TableCopy"/>
              <w:rPr>
                <w:b/>
                <w:bCs/>
                <w:lang w:val="en-GB"/>
              </w:rPr>
            </w:pPr>
            <w:r w:rsidRPr="009A06D2">
              <w:rPr>
                <w:b/>
                <w:bCs/>
                <w:lang w:val="en-GB"/>
              </w:rPr>
              <w:t>Connect workers to employers</w:t>
            </w:r>
          </w:p>
        </w:tc>
        <w:tc>
          <w:tcPr>
            <w:tcW w:w="6804" w:type="dxa"/>
          </w:tcPr>
          <w:p w14:paraId="07314F33" w14:textId="77777777" w:rsidR="007745BF" w:rsidRPr="007745BF" w:rsidRDefault="007745BF" w:rsidP="009A06D2">
            <w:pPr>
              <w:pStyle w:val="TableCopy"/>
              <w:rPr>
                <w:lang w:val="en-GB"/>
              </w:rPr>
            </w:pPr>
            <w:r w:rsidRPr="007745BF">
              <w:rPr>
                <w:lang w:val="en-GB"/>
              </w:rPr>
              <w:t>Facilitate connections between developers/operators, universities, vocational training centres, TAFE and Apprenticeships Victoria.</w:t>
            </w:r>
          </w:p>
        </w:tc>
      </w:tr>
      <w:tr w:rsidR="007745BF" w:rsidRPr="007745BF" w14:paraId="13F98C7C" w14:textId="77777777" w:rsidTr="009A06D2">
        <w:trPr>
          <w:cantSplit/>
          <w:trHeight w:val="60"/>
        </w:trPr>
        <w:tc>
          <w:tcPr>
            <w:tcW w:w="2835" w:type="dxa"/>
          </w:tcPr>
          <w:p w14:paraId="766B016F" w14:textId="77777777" w:rsidR="007745BF" w:rsidRPr="009A06D2" w:rsidRDefault="007745BF" w:rsidP="009A06D2">
            <w:pPr>
              <w:pStyle w:val="TableCopy"/>
              <w:rPr>
                <w:b/>
                <w:bCs/>
                <w:lang w:val="en-GB"/>
              </w:rPr>
            </w:pPr>
            <w:r w:rsidRPr="009A06D2">
              <w:rPr>
                <w:b/>
                <w:bCs/>
                <w:lang w:val="en-GB"/>
              </w:rPr>
              <w:t>Prepare for national training conditions</w:t>
            </w:r>
          </w:p>
        </w:tc>
        <w:tc>
          <w:tcPr>
            <w:tcW w:w="6804" w:type="dxa"/>
          </w:tcPr>
          <w:p w14:paraId="02230167" w14:textId="77777777" w:rsidR="007745BF" w:rsidRPr="007745BF" w:rsidRDefault="007745BF" w:rsidP="009A06D2">
            <w:pPr>
              <w:pStyle w:val="TableCopy"/>
              <w:rPr>
                <w:lang w:val="en-GB"/>
              </w:rPr>
            </w:pPr>
            <w:r w:rsidRPr="007745BF">
              <w:rPr>
                <w:lang w:val="en-GB"/>
              </w:rPr>
              <w:t>Engage with the Commonwealth as it develops AI training conditions ahead of legislation in 2027.</w:t>
            </w:r>
          </w:p>
        </w:tc>
      </w:tr>
    </w:tbl>
    <w:p w14:paraId="7B369D4E" w14:textId="42998017" w:rsidR="007745BF" w:rsidRPr="007745BF" w:rsidRDefault="007745BF" w:rsidP="004D2EC0">
      <w:pPr>
        <w:pStyle w:val="Heading1"/>
        <w:numPr>
          <w:ilvl w:val="0"/>
          <w:numId w:val="31"/>
        </w:numPr>
        <w:ind w:left="709"/>
        <w:rPr>
          <w:lang w:val="en-GB"/>
        </w:rPr>
      </w:pPr>
      <w:bookmarkStart w:id="30" w:name="_Toc241570420"/>
      <w:r w:rsidRPr="007745BF">
        <w:rPr>
          <w:lang w:val="en-GB"/>
        </w:rPr>
        <w:lastRenderedPageBreak/>
        <w:t>Future Actions and Next Steps</w:t>
      </w:r>
      <w:bookmarkEnd w:id="30"/>
    </w:p>
    <w:p w14:paraId="793DBD6E" w14:textId="77777777" w:rsidR="007745BF" w:rsidRPr="007745BF" w:rsidRDefault="007745BF" w:rsidP="00372E60">
      <w:pPr>
        <w:pStyle w:val="Bullet"/>
        <w:rPr>
          <w:lang w:val="en-GB"/>
        </w:rPr>
      </w:pPr>
      <w:r w:rsidRPr="007745BF">
        <w:rPr>
          <w:lang w:val="en-GB"/>
        </w:rPr>
        <w:t>Detailed location, siting, design and built-form guidance to be developed with stakeholder input in 2027.</w:t>
      </w:r>
    </w:p>
    <w:p w14:paraId="50992E27" w14:textId="77777777" w:rsidR="007745BF" w:rsidRPr="007745BF" w:rsidRDefault="007745BF" w:rsidP="00372E60">
      <w:pPr>
        <w:pStyle w:val="Bullet"/>
        <w:rPr>
          <w:lang w:val="en-GB"/>
        </w:rPr>
      </w:pPr>
      <w:r w:rsidRPr="007745BF">
        <w:rPr>
          <w:lang w:val="en-GB"/>
        </w:rPr>
        <w:t>Commonwealth legislation on data centre energy, water and land-use standards intended for early 2027, developed with states and territories following the August 2026 National Cabinet agreement.</w:t>
      </w:r>
    </w:p>
    <w:p w14:paraId="1F8C7E7D" w14:textId="77777777" w:rsidR="007745BF" w:rsidRPr="007745BF" w:rsidRDefault="007745BF" w:rsidP="00372E60">
      <w:pPr>
        <w:pStyle w:val="Bullet"/>
        <w:rPr>
          <w:lang w:val="en-GB"/>
        </w:rPr>
      </w:pPr>
      <w:r w:rsidRPr="007745BF">
        <w:rPr>
          <w:lang w:val="en-GB"/>
        </w:rPr>
        <w:t>Energy and Climate Change Ministerial Council to consider National Electricity Market rule changes recognising data centres as market participants able to demonstrate offsetting demand.</w:t>
      </w:r>
    </w:p>
    <w:p w14:paraId="6BDD3F99" w14:textId="77777777" w:rsidR="007745BF" w:rsidRPr="007745BF" w:rsidRDefault="007745BF" w:rsidP="00372E60">
      <w:pPr>
        <w:pStyle w:val="Bullet"/>
        <w:rPr>
          <w:lang w:val="en-GB"/>
        </w:rPr>
      </w:pPr>
      <w:r w:rsidRPr="007745BF">
        <w:rPr>
          <w:lang w:val="en-GB"/>
        </w:rPr>
        <w:t>Commonwealth to legislate AI training conditions in early 2027; Victoria’s workforce approach anticipates those conditions.</w:t>
      </w:r>
    </w:p>
    <w:p w14:paraId="21DDC7A5" w14:textId="77777777" w:rsidR="007745BF" w:rsidRPr="007745BF" w:rsidRDefault="007745BF" w:rsidP="00372E60">
      <w:pPr>
        <w:pStyle w:val="Bullet"/>
        <w:rPr>
          <w:lang w:val="en-GB"/>
        </w:rPr>
      </w:pPr>
      <w:r w:rsidRPr="007745BF">
        <w:rPr>
          <w:lang w:val="en-GB"/>
        </w:rPr>
        <w:t>Local Investment Guarantee to be developed with local government sector and industry ahead of implementation.</w:t>
      </w:r>
    </w:p>
    <w:p w14:paraId="5440D08B" w14:textId="77777777" w:rsidR="007745BF" w:rsidRPr="007745BF" w:rsidRDefault="007745BF" w:rsidP="00372E60">
      <w:pPr>
        <w:pStyle w:val="Bullet"/>
        <w:rPr>
          <w:lang w:val="en-GB"/>
        </w:rPr>
      </w:pPr>
      <w:r w:rsidRPr="007745BF">
        <w:rPr>
          <w:lang w:val="en-GB"/>
        </w:rPr>
        <w:t>Water efficiency standards (dWUE) to be reviewed and updated annually.</w:t>
      </w:r>
    </w:p>
    <w:p w14:paraId="558D48E6" w14:textId="77777777" w:rsidR="007745BF" w:rsidRPr="007745BF" w:rsidRDefault="007745BF" w:rsidP="00372E60">
      <w:pPr>
        <w:pStyle w:val="Bullet"/>
        <w:rPr>
          <w:lang w:val="en-GB"/>
        </w:rPr>
      </w:pPr>
      <w:r w:rsidRPr="007745BF">
        <w:rPr>
          <w:lang w:val="en-GB"/>
        </w:rPr>
        <w:t>Government to publish sector-wide construction and ongoing employment figures.</w:t>
      </w:r>
    </w:p>
    <w:p w14:paraId="283288AE" w14:textId="77777777" w:rsidR="007745BF" w:rsidRPr="007745BF" w:rsidRDefault="007745BF" w:rsidP="00372E60">
      <w:pPr>
        <w:pStyle w:val="Bullet"/>
        <w:rPr>
          <w:lang w:val="en-GB"/>
        </w:rPr>
      </w:pPr>
      <w:r w:rsidRPr="007745BF">
        <w:rPr>
          <w:lang w:val="en-GB"/>
        </w:rPr>
        <w:t>Planning scheme amendment to extend mandatory referral to Environment Protection Authority Victoria, WorkSafe Victoria, VicGrid, Fire Rescue Victoria and urban water corporations).</w:t>
      </w:r>
    </w:p>
    <w:p w14:paraId="35B24EFB" w14:textId="77777777" w:rsidR="007745BF" w:rsidRPr="007745BF" w:rsidRDefault="007745BF" w:rsidP="00372E60">
      <w:pPr>
        <w:pStyle w:val="Heading1"/>
        <w:rPr>
          <w:lang w:val="en-GB"/>
        </w:rPr>
      </w:pPr>
      <w:bookmarkStart w:id="31" w:name="_Toc241570421"/>
      <w:r w:rsidRPr="007745BF">
        <w:rPr>
          <w:lang w:val="en-GB"/>
        </w:rPr>
        <w:lastRenderedPageBreak/>
        <w:t>Appendix A – Glossary</w:t>
      </w:r>
      <w:bookmarkEnd w:id="31"/>
    </w:p>
    <w:tbl>
      <w:tblPr>
        <w:tblStyle w:val="TableGrid"/>
        <w:tblW w:w="9639" w:type="dxa"/>
        <w:tblLayout w:type="fixed"/>
        <w:tblLook w:val="0000" w:firstRow="0" w:lastRow="0" w:firstColumn="0" w:lastColumn="0" w:noHBand="0" w:noVBand="0"/>
      </w:tblPr>
      <w:tblGrid>
        <w:gridCol w:w="2835"/>
        <w:gridCol w:w="6804"/>
      </w:tblGrid>
      <w:tr w:rsidR="007745BF" w:rsidRPr="007745BF" w14:paraId="5FACAC6E" w14:textId="77777777" w:rsidTr="00372E60">
        <w:trPr>
          <w:cantSplit/>
          <w:trHeight w:val="60"/>
          <w:tblHeader/>
        </w:trPr>
        <w:tc>
          <w:tcPr>
            <w:tcW w:w="2835" w:type="dxa"/>
          </w:tcPr>
          <w:p w14:paraId="148CCFDF" w14:textId="77777777" w:rsidR="007745BF" w:rsidRPr="007745BF" w:rsidRDefault="007745BF" w:rsidP="00372E60">
            <w:pPr>
              <w:pStyle w:val="TableHeading"/>
              <w:rPr>
                <w:lang w:val="en-GB"/>
              </w:rPr>
            </w:pPr>
            <w:r w:rsidRPr="007745BF">
              <w:rPr>
                <w:lang w:val="en-GB"/>
              </w:rPr>
              <w:t>Term</w:t>
            </w:r>
          </w:p>
        </w:tc>
        <w:tc>
          <w:tcPr>
            <w:tcW w:w="6804" w:type="dxa"/>
          </w:tcPr>
          <w:p w14:paraId="790F6BEF" w14:textId="77777777" w:rsidR="007745BF" w:rsidRPr="007745BF" w:rsidRDefault="007745BF" w:rsidP="00372E60">
            <w:pPr>
              <w:pStyle w:val="TableHeading"/>
              <w:rPr>
                <w:lang w:val="en-GB"/>
              </w:rPr>
            </w:pPr>
            <w:r w:rsidRPr="007745BF">
              <w:rPr>
                <w:lang w:val="en-GB"/>
              </w:rPr>
              <w:t>Definition</w:t>
            </w:r>
          </w:p>
        </w:tc>
      </w:tr>
      <w:tr w:rsidR="007745BF" w:rsidRPr="007745BF" w14:paraId="57CE840B" w14:textId="77777777" w:rsidTr="00372E60">
        <w:trPr>
          <w:cantSplit/>
          <w:trHeight w:val="60"/>
        </w:trPr>
        <w:tc>
          <w:tcPr>
            <w:tcW w:w="2835" w:type="dxa"/>
          </w:tcPr>
          <w:p w14:paraId="7E5FD47E" w14:textId="77777777" w:rsidR="007745BF" w:rsidRPr="00372E60" w:rsidRDefault="007745BF" w:rsidP="00372E60">
            <w:pPr>
              <w:pStyle w:val="TableCopy"/>
              <w:rPr>
                <w:b/>
                <w:bCs/>
                <w:lang w:val="en-GB"/>
              </w:rPr>
            </w:pPr>
            <w:r w:rsidRPr="00372E60">
              <w:rPr>
                <w:b/>
                <w:bCs/>
                <w:lang w:val="en-GB"/>
              </w:rPr>
              <w:t>DFP</w:t>
            </w:r>
          </w:p>
        </w:tc>
        <w:tc>
          <w:tcPr>
            <w:tcW w:w="6804" w:type="dxa"/>
          </w:tcPr>
          <w:p w14:paraId="3D67F27D" w14:textId="77777777" w:rsidR="007745BF" w:rsidRPr="007745BF" w:rsidRDefault="007745BF" w:rsidP="00372E60">
            <w:pPr>
              <w:pStyle w:val="TableCopy"/>
              <w:rPr>
                <w:lang w:val="en-GB"/>
              </w:rPr>
            </w:pPr>
            <w:r w:rsidRPr="007745BF">
              <w:rPr>
                <w:lang w:val="en-GB"/>
              </w:rPr>
              <w:t>Development Facilitation Program – a state planning assessment pathway for which the Minister for Planning is the responsible authority.</w:t>
            </w:r>
          </w:p>
        </w:tc>
      </w:tr>
      <w:tr w:rsidR="007745BF" w:rsidRPr="007745BF" w14:paraId="1573C4D5" w14:textId="77777777" w:rsidTr="00372E60">
        <w:trPr>
          <w:cantSplit/>
          <w:trHeight w:val="60"/>
        </w:trPr>
        <w:tc>
          <w:tcPr>
            <w:tcW w:w="2835" w:type="dxa"/>
          </w:tcPr>
          <w:p w14:paraId="28AC83A6" w14:textId="77777777" w:rsidR="007745BF" w:rsidRPr="00372E60" w:rsidRDefault="007745BF" w:rsidP="00372E60">
            <w:pPr>
              <w:pStyle w:val="TableCopy"/>
              <w:rPr>
                <w:b/>
                <w:bCs/>
                <w:lang w:val="en-GB"/>
              </w:rPr>
            </w:pPr>
            <w:r w:rsidRPr="00372E60">
              <w:rPr>
                <w:b/>
                <w:bCs/>
                <w:lang w:val="en-GB"/>
              </w:rPr>
              <w:t>PUE</w:t>
            </w:r>
          </w:p>
        </w:tc>
        <w:tc>
          <w:tcPr>
            <w:tcW w:w="6804" w:type="dxa"/>
          </w:tcPr>
          <w:p w14:paraId="7D432F1F" w14:textId="77777777" w:rsidR="007745BF" w:rsidRPr="007745BF" w:rsidRDefault="007745BF" w:rsidP="00372E60">
            <w:pPr>
              <w:pStyle w:val="TableCopy"/>
              <w:rPr>
                <w:lang w:val="en-GB"/>
              </w:rPr>
            </w:pPr>
            <w:r w:rsidRPr="007745BF">
              <w:rPr>
                <w:lang w:val="en-GB"/>
              </w:rPr>
              <w:t>Power Usage Effectiveness – ratio of total site energy use to the energy used by IT/data-processing hardware. Lower indicates better energy efficiency.</w:t>
            </w:r>
          </w:p>
        </w:tc>
      </w:tr>
      <w:tr w:rsidR="007745BF" w:rsidRPr="007745BF" w14:paraId="67D17F61" w14:textId="77777777" w:rsidTr="00372E60">
        <w:trPr>
          <w:cantSplit/>
          <w:trHeight w:val="60"/>
        </w:trPr>
        <w:tc>
          <w:tcPr>
            <w:tcW w:w="2835" w:type="dxa"/>
          </w:tcPr>
          <w:p w14:paraId="1552C991" w14:textId="77777777" w:rsidR="007745BF" w:rsidRPr="00372E60" w:rsidRDefault="007745BF" w:rsidP="00372E60">
            <w:pPr>
              <w:pStyle w:val="TableCopy"/>
              <w:rPr>
                <w:b/>
                <w:bCs/>
                <w:lang w:val="en-GB"/>
              </w:rPr>
            </w:pPr>
            <w:r w:rsidRPr="00372E60">
              <w:rPr>
                <w:b/>
                <w:bCs/>
                <w:lang w:val="en-GB"/>
              </w:rPr>
              <w:t>dPUE / dWUE</w:t>
            </w:r>
          </w:p>
        </w:tc>
        <w:tc>
          <w:tcPr>
            <w:tcW w:w="6804" w:type="dxa"/>
          </w:tcPr>
          <w:p w14:paraId="240B7D45" w14:textId="77777777" w:rsidR="007745BF" w:rsidRPr="007745BF" w:rsidRDefault="007745BF" w:rsidP="00372E60">
            <w:pPr>
              <w:pStyle w:val="TableCopy"/>
              <w:rPr>
                <w:lang w:val="en-GB"/>
              </w:rPr>
            </w:pPr>
            <w:r w:rsidRPr="007745BF">
              <w:rPr>
                <w:lang w:val="en-GB"/>
              </w:rPr>
              <w:t>Design Power/Water Usage Effectiveness – target efficiency values used at the design stage, based on climate data for average annualised conditions and full IT load.</w:t>
            </w:r>
          </w:p>
        </w:tc>
      </w:tr>
      <w:tr w:rsidR="007745BF" w:rsidRPr="007745BF" w14:paraId="4833956D" w14:textId="77777777" w:rsidTr="00372E60">
        <w:trPr>
          <w:cantSplit/>
          <w:trHeight w:val="60"/>
        </w:trPr>
        <w:tc>
          <w:tcPr>
            <w:tcW w:w="2835" w:type="dxa"/>
          </w:tcPr>
          <w:p w14:paraId="6B1098BB" w14:textId="77777777" w:rsidR="007745BF" w:rsidRPr="00372E60" w:rsidRDefault="007745BF" w:rsidP="00372E60">
            <w:pPr>
              <w:pStyle w:val="TableCopy"/>
              <w:rPr>
                <w:b/>
                <w:bCs/>
                <w:lang w:val="en-GB"/>
              </w:rPr>
            </w:pPr>
            <w:r w:rsidRPr="00372E60">
              <w:rPr>
                <w:b/>
                <w:bCs/>
                <w:lang w:val="en-GB"/>
              </w:rPr>
              <w:t>WUE</w:t>
            </w:r>
          </w:p>
        </w:tc>
        <w:tc>
          <w:tcPr>
            <w:tcW w:w="6804" w:type="dxa"/>
          </w:tcPr>
          <w:p w14:paraId="76C03EBB" w14:textId="77777777" w:rsidR="007745BF" w:rsidRPr="007745BF" w:rsidRDefault="007745BF" w:rsidP="00372E60">
            <w:pPr>
              <w:pStyle w:val="TableCopy"/>
              <w:rPr>
                <w:lang w:val="en-GB"/>
              </w:rPr>
            </w:pPr>
            <w:r w:rsidRPr="007745BF">
              <w:rPr>
                <w:lang w:val="en-GB"/>
              </w:rPr>
              <w:t>Water Usage Effectiveness – ratio of total water consumed to the energy consumed by IT equipment. Lower indicates better water efficiency.</w:t>
            </w:r>
          </w:p>
        </w:tc>
      </w:tr>
      <w:tr w:rsidR="007745BF" w:rsidRPr="007745BF" w14:paraId="30C09378" w14:textId="77777777" w:rsidTr="00372E60">
        <w:trPr>
          <w:cantSplit/>
          <w:trHeight w:val="60"/>
        </w:trPr>
        <w:tc>
          <w:tcPr>
            <w:tcW w:w="2835" w:type="dxa"/>
          </w:tcPr>
          <w:p w14:paraId="7DF85C6C" w14:textId="77777777" w:rsidR="007745BF" w:rsidRPr="00372E60" w:rsidRDefault="007745BF" w:rsidP="00372E60">
            <w:pPr>
              <w:pStyle w:val="TableCopy"/>
              <w:rPr>
                <w:b/>
                <w:bCs/>
                <w:lang w:val="en-GB"/>
              </w:rPr>
            </w:pPr>
            <w:r w:rsidRPr="00372E60">
              <w:rPr>
                <w:b/>
                <w:bCs/>
                <w:lang w:val="en-GB"/>
              </w:rPr>
              <w:t>General Environmental Duty</w:t>
            </w:r>
          </w:p>
        </w:tc>
        <w:tc>
          <w:tcPr>
            <w:tcW w:w="6804" w:type="dxa"/>
          </w:tcPr>
          <w:p w14:paraId="3BFE95AB" w14:textId="77777777" w:rsidR="007745BF" w:rsidRPr="007745BF" w:rsidRDefault="007745BF" w:rsidP="00372E60">
            <w:pPr>
              <w:pStyle w:val="TableCopy"/>
              <w:rPr>
                <w:lang w:val="en-GB"/>
              </w:rPr>
            </w:pPr>
            <w:r w:rsidRPr="007745BF">
              <w:rPr>
                <w:lang w:val="en-GB"/>
              </w:rPr>
              <w:t xml:space="preserve">The overarching duty under the </w:t>
            </w:r>
            <w:r w:rsidRPr="007745BF">
              <w:rPr>
                <w:i/>
                <w:iCs/>
                <w:lang w:val="en-GB"/>
              </w:rPr>
              <w:t>Environment Protection Act 2017</w:t>
            </w:r>
            <w:r w:rsidRPr="007745BF">
              <w:rPr>
                <w:lang w:val="en-GB"/>
              </w:rPr>
              <w:t xml:space="preserve"> requiring operators to minimise risks of harm to human health and the environment, applying without threshold.</w:t>
            </w:r>
          </w:p>
        </w:tc>
      </w:tr>
      <w:tr w:rsidR="007745BF" w:rsidRPr="007745BF" w14:paraId="39F31E21" w14:textId="77777777" w:rsidTr="00372E60">
        <w:trPr>
          <w:cantSplit/>
          <w:trHeight w:val="60"/>
        </w:trPr>
        <w:tc>
          <w:tcPr>
            <w:tcW w:w="2835" w:type="dxa"/>
          </w:tcPr>
          <w:p w14:paraId="66E62DF8" w14:textId="77777777" w:rsidR="007745BF" w:rsidRPr="00372E60" w:rsidRDefault="007745BF" w:rsidP="00372E60">
            <w:pPr>
              <w:pStyle w:val="TableCopy"/>
              <w:rPr>
                <w:b/>
                <w:bCs/>
                <w:lang w:val="en-GB"/>
              </w:rPr>
            </w:pPr>
            <w:r w:rsidRPr="00372E60">
              <w:rPr>
                <w:b/>
                <w:bCs/>
                <w:lang w:val="en-GB"/>
              </w:rPr>
              <w:t>CHMP</w:t>
            </w:r>
          </w:p>
        </w:tc>
        <w:tc>
          <w:tcPr>
            <w:tcW w:w="6804" w:type="dxa"/>
          </w:tcPr>
          <w:p w14:paraId="277E78F5" w14:textId="77777777" w:rsidR="007745BF" w:rsidRPr="007745BF" w:rsidRDefault="007745BF" w:rsidP="00372E60">
            <w:pPr>
              <w:pStyle w:val="TableCopy"/>
              <w:rPr>
                <w:lang w:val="en-GB"/>
              </w:rPr>
            </w:pPr>
            <w:r w:rsidRPr="007745BF">
              <w:rPr>
                <w:lang w:val="en-GB"/>
              </w:rPr>
              <w:t>Cultural Heritage Management Plan – required for high-impact activity in an area of Aboriginal cultural heritage sensitivity, approved by the Registered Aboriginal Party (RAP) before work begins.</w:t>
            </w:r>
          </w:p>
        </w:tc>
      </w:tr>
      <w:tr w:rsidR="007745BF" w:rsidRPr="007745BF" w14:paraId="623CFAD2" w14:textId="77777777" w:rsidTr="00372E60">
        <w:trPr>
          <w:cantSplit/>
          <w:trHeight w:val="60"/>
        </w:trPr>
        <w:tc>
          <w:tcPr>
            <w:tcW w:w="2835" w:type="dxa"/>
          </w:tcPr>
          <w:p w14:paraId="3ED7AAA2" w14:textId="77777777" w:rsidR="007745BF" w:rsidRPr="00372E60" w:rsidRDefault="007745BF" w:rsidP="00372E60">
            <w:pPr>
              <w:pStyle w:val="TableCopy"/>
              <w:rPr>
                <w:b/>
                <w:bCs/>
                <w:lang w:val="en-GB"/>
              </w:rPr>
            </w:pPr>
            <w:r w:rsidRPr="00372E60">
              <w:rPr>
                <w:b/>
                <w:bCs/>
                <w:lang w:val="en-GB"/>
              </w:rPr>
              <w:t>Investment Front Door</w:t>
            </w:r>
          </w:p>
        </w:tc>
        <w:tc>
          <w:tcPr>
            <w:tcW w:w="6804" w:type="dxa"/>
          </w:tcPr>
          <w:p w14:paraId="72B9F01A" w14:textId="77777777" w:rsidR="007745BF" w:rsidRPr="007745BF" w:rsidRDefault="007745BF" w:rsidP="00372E60">
            <w:pPr>
              <w:pStyle w:val="TableCopy"/>
              <w:rPr>
                <w:lang w:val="en-GB"/>
              </w:rPr>
            </w:pPr>
            <w:r w:rsidRPr="007745BF">
              <w:rPr>
                <w:lang w:val="en-GB"/>
              </w:rPr>
              <w:t>The single Victorian Government entry point for major data centre investment proposals.</w:t>
            </w:r>
          </w:p>
        </w:tc>
      </w:tr>
      <w:tr w:rsidR="007745BF" w:rsidRPr="007745BF" w14:paraId="6BA89924" w14:textId="77777777" w:rsidTr="00372E60">
        <w:trPr>
          <w:cantSplit/>
          <w:trHeight w:val="60"/>
        </w:trPr>
        <w:tc>
          <w:tcPr>
            <w:tcW w:w="2835" w:type="dxa"/>
          </w:tcPr>
          <w:p w14:paraId="586F4159" w14:textId="77777777" w:rsidR="007745BF" w:rsidRPr="00372E60" w:rsidRDefault="007745BF" w:rsidP="00372E60">
            <w:pPr>
              <w:pStyle w:val="TableCopy"/>
              <w:rPr>
                <w:b/>
                <w:bCs/>
                <w:lang w:val="en-GB"/>
              </w:rPr>
            </w:pPr>
            <w:r w:rsidRPr="00372E60">
              <w:rPr>
                <w:b/>
                <w:bCs/>
                <w:lang w:val="en-GB"/>
              </w:rPr>
              <w:t>Investment Coordinator-General</w:t>
            </w:r>
          </w:p>
        </w:tc>
        <w:tc>
          <w:tcPr>
            <w:tcW w:w="6804" w:type="dxa"/>
          </w:tcPr>
          <w:p w14:paraId="3F2AE539" w14:textId="77777777" w:rsidR="007745BF" w:rsidRPr="007745BF" w:rsidRDefault="007745BF" w:rsidP="00372E60">
            <w:pPr>
              <w:pStyle w:val="TableCopy"/>
              <w:rPr>
                <w:lang w:val="en-GB"/>
              </w:rPr>
            </w:pPr>
            <w:r w:rsidRPr="007745BF">
              <w:rPr>
                <w:lang w:val="en-GB"/>
              </w:rPr>
              <w:t xml:space="preserve">The escalation </w:t>
            </w:r>
            <w:proofErr w:type="gramStart"/>
            <w:r w:rsidRPr="007745BF">
              <w:rPr>
                <w:lang w:val="en-GB"/>
              </w:rPr>
              <w:t>point</w:t>
            </w:r>
            <w:proofErr w:type="gramEnd"/>
            <w:r w:rsidRPr="007745BF">
              <w:rPr>
                <w:lang w:val="en-GB"/>
              </w:rPr>
              <w:t xml:space="preserve"> for resolving cross-agency delays on projects of state significance.</w:t>
            </w:r>
          </w:p>
        </w:tc>
      </w:tr>
      <w:tr w:rsidR="007745BF" w:rsidRPr="007745BF" w14:paraId="160650D0" w14:textId="77777777" w:rsidTr="00372E60">
        <w:trPr>
          <w:cantSplit/>
          <w:trHeight w:val="60"/>
        </w:trPr>
        <w:tc>
          <w:tcPr>
            <w:tcW w:w="2835" w:type="dxa"/>
          </w:tcPr>
          <w:p w14:paraId="3E07E753" w14:textId="77777777" w:rsidR="007745BF" w:rsidRPr="00372E60" w:rsidRDefault="007745BF" w:rsidP="00372E60">
            <w:pPr>
              <w:pStyle w:val="TableCopy"/>
              <w:rPr>
                <w:b/>
                <w:bCs/>
                <w:lang w:val="en-GB"/>
              </w:rPr>
            </w:pPr>
            <w:r w:rsidRPr="00372E60">
              <w:rPr>
                <w:b/>
                <w:bCs/>
                <w:lang w:val="en-GB"/>
              </w:rPr>
              <w:t>VicGrid</w:t>
            </w:r>
          </w:p>
        </w:tc>
        <w:tc>
          <w:tcPr>
            <w:tcW w:w="6804" w:type="dxa"/>
          </w:tcPr>
          <w:p w14:paraId="50422EB2" w14:textId="77777777" w:rsidR="007745BF" w:rsidRPr="007745BF" w:rsidRDefault="007745BF" w:rsidP="00372E60">
            <w:pPr>
              <w:pStyle w:val="TableCopy"/>
              <w:rPr>
                <w:lang w:val="en-GB"/>
              </w:rPr>
            </w:pPr>
            <w:r w:rsidRPr="007745BF">
              <w:rPr>
                <w:lang w:val="en-GB"/>
              </w:rPr>
              <w:t>Victorian body to become a statutory referral authority in the planning process for data centre applications, providing input on grid impact.</w:t>
            </w:r>
          </w:p>
        </w:tc>
      </w:tr>
      <w:tr w:rsidR="007745BF" w:rsidRPr="007745BF" w14:paraId="0BAD1913" w14:textId="77777777" w:rsidTr="00372E60">
        <w:trPr>
          <w:cantSplit/>
          <w:trHeight w:val="60"/>
        </w:trPr>
        <w:tc>
          <w:tcPr>
            <w:tcW w:w="2835" w:type="dxa"/>
          </w:tcPr>
          <w:p w14:paraId="0B56EF7E" w14:textId="77777777" w:rsidR="007745BF" w:rsidRPr="00372E60" w:rsidRDefault="007745BF" w:rsidP="00372E60">
            <w:pPr>
              <w:pStyle w:val="TableCopy"/>
              <w:rPr>
                <w:b/>
                <w:bCs/>
                <w:lang w:val="en-GB"/>
              </w:rPr>
            </w:pPr>
            <w:r w:rsidRPr="00372E60">
              <w:rPr>
                <w:b/>
                <w:bCs/>
                <w:lang w:val="en-GB"/>
              </w:rPr>
              <w:t>National Cabinet</w:t>
            </w:r>
          </w:p>
        </w:tc>
        <w:tc>
          <w:tcPr>
            <w:tcW w:w="6804" w:type="dxa"/>
          </w:tcPr>
          <w:p w14:paraId="212E6388" w14:textId="77777777" w:rsidR="007745BF" w:rsidRPr="007745BF" w:rsidRDefault="007745BF" w:rsidP="00372E60">
            <w:pPr>
              <w:pStyle w:val="TableCopy"/>
              <w:rPr>
                <w:lang w:val="en-GB"/>
              </w:rPr>
            </w:pPr>
            <w:r w:rsidRPr="007745BF">
              <w:rPr>
                <w:lang w:val="en-GB"/>
              </w:rPr>
              <w:t>Forum of the Prime Minister and state/territory leaders; agreed in August 2026 to develop consistent mandatory national standards for data centre energy, water and land use.</w:t>
            </w:r>
          </w:p>
        </w:tc>
      </w:tr>
      <w:tr w:rsidR="007745BF" w:rsidRPr="007745BF" w14:paraId="69942AB3" w14:textId="77777777" w:rsidTr="00372E60">
        <w:trPr>
          <w:cantSplit/>
          <w:trHeight w:val="60"/>
        </w:trPr>
        <w:tc>
          <w:tcPr>
            <w:tcW w:w="2835" w:type="dxa"/>
          </w:tcPr>
          <w:p w14:paraId="0AA79804" w14:textId="77777777" w:rsidR="007745BF" w:rsidRPr="00372E60" w:rsidRDefault="007745BF" w:rsidP="00372E60">
            <w:pPr>
              <w:pStyle w:val="TableCopy"/>
              <w:rPr>
                <w:b/>
                <w:bCs/>
                <w:lang w:val="en-GB"/>
              </w:rPr>
            </w:pPr>
            <w:r w:rsidRPr="00372E60">
              <w:rPr>
                <w:b/>
                <w:bCs/>
                <w:lang w:val="en-GB"/>
              </w:rPr>
              <w:t>PPA</w:t>
            </w:r>
          </w:p>
        </w:tc>
        <w:tc>
          <w:tcPr>
            <w:tcW w:w="6804" w:type="dxa"/>
          </w:tcPr>
          <w:p w14:paraId="5A7F8813" w14:textId="77777777" w:rsidR="007745BF" w:rsidRPr="007745BF" w:rsidRDefault="007745BF" w:rsidP="00372E60">
            <w:pPr>
              <w:pStyle w:val="TableCopy"/>
              <w:rPr>
                <w:lang w:val="en-GB"/>
              </w:rPr>
            </w:pPr>
            <w:r w:rsidRPr="007745BF">
              <w:rPr>
                <w:lang w:val="en-GB"/>
              </w:rPr>
              <w:t>Power Purchase Agreement – long-term contract for renewable energy supply, used to support financing of new generation and storage.</w:t>
            </w:r>
          </w:p>
        </w:tc>
      </w:tr>
    </w:tbl>
    <w:p w14:paraId="6BAF2B5A" w14:textId="77777777" w:rsidR="007745BF" w:rsidRPr="00E112D0" w:rsidRDefault="007745BF" w:rsidP="00372E60">
      <w:pPr>
        <w:rPr>
          <w:lang w:val="en-GB"/>
        </w:rPr>
      </w:pPr>
    </w:p>
    <w:sectPr w:rsidR="007745BF" w:rsidRPr="00E112D0" w:rsidSect="00EA0B1E">
      <w:headerReference w:type="even" r:id="rId15"/>
      <w:footerReference w:type="even" r:id="rId16"/>
      <w:headerReference w:type="first" r:id="rId17"/>
      <w:footerReference w:type="first" r:id="rId18"/>
      <w:pgSz w:w="11906" w:h="16838" w:code="9"/>
      <w:pgMar w:top="1134" w:right="1134" w:bottom="1134" w:left="1134" w:header="397" w:footer="39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41786A" w14:textId="77777777" w:rsidR="004D2EC0" w:rsidRDefault="004D2EC0" w:rsidP="00E56313">
      <w:r>
        <w:separator/>
      </w:r>
    </w:p>
    <w:p w14:paraId="01B53E8C" w14:textId="77777777" w:rsidR="004D2EC0" w:rsidRDefault="004D2EC0" w:rsidP="00E56313"/>
    <w:p w14:paraId="212D31A4" w14:textId="77777777" w:rsidR="004D2EC0" w:rsidRDefault="004D2EC0" w:rsidP="00E56313"/>
  </w:endnote>
  <w:endnote w:type="continuationSeparator" w:id="0">
    <w:p w14:paraId="7DAB889F" w14:textId="77777777" w:rsidR="004D2EC0" w:rsidRDefault="004D2EC0" w:rsidP="00E56313">
      <w:r>
        <w:continuationSeparator/>
      </w:r>
    </w:p>
    <w:p w14:paraId="38A535D2" w14:textId="77777777" w:rsidR="004D2EC0" w:rsidRDefault="004D2EC0" w:rsidP="00E56313"/>
    <w:p w14:paraId="350E8F15" w14:textId="77777777" w:rsidR="004D2EC0" w:rsidRDefault="004D2EC0" w:rsidP="00E56313"/>
  </w:endnote>
  <w:endnote w:type="continuationNotice" w:id="1">
    <w:p w14:paraId="68AA18B0" w14:textId="77777777" w:rsidR="004D2EC0" w:rsidRDefault="004D2E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20B0604020202020204"/>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D4FD5" w14:textId="77777777" w:rsidR="00843667" w:rsidRDefault="007A1463" w:rsidP="00E56313">
    <w:pPr>
      <w:pStyle w:val="Footer"/>
      <w:rPr>
        <w:rStyle w:val="PageNumber"/>
      </w:rPr>
    </w:pPr>
    <w:r>
      <w:rPr>
        <w:noProof/>
      </w:rPr>
      <mc:AlternateContent>
        <mc:Choice Requires="wps">
          <w:drawing>
            <wp:anchor distT="0" distB="0" distL="0" distR="0" simplePos="0" relativeHeight="251658243" behindDoc="0" locked="0" layoutInCell="1" allowOverlap="1" wp14:anchorId="6224CDBB" wp14:editId="38F5686F">
              <wp:simplePos x="635" y="635"/>
              <wp:positionH relativeFrom="page">
                <wp:align>center</wp:align>
              </wp:positionH>
              <wp:positionV relativeFrom="page">
                <wp:align>bottom</wp:align>
              </wp:positionV>
              <wp:extent cx="443865" cy="443865"/>
              <wp:effectExtent l="0" t="0" r="6985" b="0"/>
              <wp:wrapNone/>
              <wp:docPr id="8042820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1E5BF6" w14:textId="77777777" w:rsidR="007A1463" w:rsidRPr="007A1463" w:rsidRDefault="007A1463" w:rsidP="007A1463">
                          <w:pPr>
                            <w:spacing w:after="0"/>
                            <w:rPr>
                              <w:rFonts w:eastAsia="Arial"/>
                              <w:noProof/>
                              <w:color w:val="000000"/>
                            </w:rPr>
                          </w:pPr>
                          <w:r w:rsidRPr="007A1463">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24CDBB" id="_x0000_t202" coordsize="21600,21600" o:spt="202" path="m,l,21600r21600,l21600,xe">
              <v:stroke joinstyle="miter"/>
              <v:path gradientshapeok="t" o:connecttype="rect"/>
            </v:shapetype>
            <v:shape id="Text Box 5" o:spid="_x0000_s1027" type="#_x0000_t202" alt="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" filled="f" stroked="f">
              <v:textbox style="mso-fit-shape-to-text:t" inset="0,0,0,15pt">
                <w:txbxContent>
                  <w:p w14:paraId="1A1E5BF6" w14:textId="77777777" w:rsidR="007A1463" w:rsidRPr="007A1463" w:rsidRDefault="007A1463" w:rsidP="007A1463">
                    <w:pPr>
                      <w:spacing w:after="0"/>
                      <w:rPr>
                        <w:rFonts w:eastAsia="Arial"/>
                        <w:noProof/>
                        <w:color w:val="000000"/>
                      </w:rPr>
                    </w:pPr>
                    <w:r w:rsidRPr="007A1463">
                      <w:rPr>
                        <w:rFonts w:eastAsia="Arial"/>
                        <w:noProof/>
                        <w:color w:val="000000"/>
                      </w:rPr>
                      <w:t>OFFICIAL</w:t>
                    </w:r>
                  </w:p>
                </w:txbxContent>
              </v:textbox>
              <w10:wrap anchorx="page" anchory="page"/>
            </v:shape>
          </w:pict>
        </mc:Fallback>
      </mc:AlternateContent>
    </w:r>
    <w:r w:rsidR="00843667">
      <w:rPr>
        <w:rStyle w:val="PageNumber"/>
      </w:rPr>
      <w:fldChar w:fldCharType="begin"/>
    </w:r>
    <w:r w:rsidR="00843667">
      <w:rPr>
        <w:rStyle w:val="PageNumber"/>
      </w:rPr>
      <w:instrText xml:space="preserve">PAGE  </w:instrText>
    </w:r>
    <w:r w:rsidR="00843667">
      <w:rPr>
        <w:rStyle w:val="PageNumber"/>
      </w:rPr>
      <w:fldChar w:fldCharType="end"/>
    </w:r>
  </w:p>
  <w:p w14:paraId="31FC833C" w14:textId="77777777" w:rsidR="00843667" w:rsidRDefault="00843667" w:rsidP="00E56313">
    <w:pPr>
      <w:rPr>
        <w:rStyle w:val="PageNumber"/>
      </w:rPr>
    </w:pPr>
  </w:p>
  <w:p w14:paraId="3F435B28" w14:textId="77777777" w:rsidR="00843667" w:rsidRDefault="00843667" w:rsidP="00E56313"/>
  <w:p w14:paraId="160CD684" w14:textId="77777777" w:rsidR="00843667" w:rsidRDefault="00843667" w:rsidP="00E56313"/>
  <w:p w14:paraId="058E3649" w14:textId="77777777" w:rsidR="00843667" w:rsidRDefault="00843667" w:rsidP="00E563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E9480" w14:textId="77777777" w:rsidR="007A1463" w:rsidRDefault="007A1463">
    <w:pPr>
      <w:pStyle w:val="Footer"/>
    </w:pPr>
    <w:r>
      <w:rPr>
        <w:noProof/>
      </w:rPr>
      <mc:AlternateContent>
        <mc:Choice Requires="wps">
          <w:drawing>
            <wp:anchor distT="0" distB="0" distL="0" distR="0" simplePos="0" relativeHeight="251658242" behindDoc="0" locked="0" layoutInCell="1" allowOverlap="1" wp14:anchorId="7DC12BC1" wp14:editId="76B873DC">
              <wp:simplePos x="635" y="635"/>
              <wp:positionH relativeFrom="page">
                <wp:align>center</wp:align>
              </wp:positionH>
              <wp:positionV relativeFrom="page">
                <wp:align>bottom</wp:align>
              </wp:positionV>
              <wp:extent cx="443865" cy="443865"/>
              <wp:effectExtent l="0" t="0" r="6985" b="0"/>
              <wp:wrapNone/>
              <wp:docPr id="51793792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961529" w14:textId="77777777" w:rsidR="007A1463" w:rsidRPr="007A1463" w:rsidRDefault="007A1463" w:rsidP="007A1463">
                          <w:pPr>
                            <w:spacing w:after="0"/>
                            <w:rPr>
                              <w:rFonts w:eastAsia="Arial"/>
                              <w:noProof/>
                              <w:color w:val="000000"/>
                            </w:rPr>
                          </w:pPr>
                          <w:r w:rsidRPr="007A1463">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C12BC1" id="_x0000_t202" coordsize="21600,21600" o:spt="202" path="m,l,21600r21600,l21600,xe">
              <v:stroke joinstyle="miter"/>
              <v:path gradientshapeok="t" o:connecttype="rect"/>
            </v:shapetype>
            <v:shape id="Text Box 4" o:spid="_x0000_s1029"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" filled="f" stroked="f">
              <v:textbox style="mso-fit-shape-to-text:t" inset="0,0,0,15pt">
                <w:txbxContent>
                  <w:p w14:paraId="73961529" w14:textId="77777777" w:rsidR="007A1463" w:rsidRPr="007A1463" w:rsidRDefault="007A1463" w:rsidP="007A1463">
                    <w:pPr>
                      <w:spacing w:after="0"/>
                      <w:rPr>
                        <w:rFonts w:eastAsia="Arial"/>
                        <w:noProof/>
                        <w:color w:val="000000"/>
                      </w:rPr>
                    </w:pPr>
                    <w:r w:rsidRPr="007A1463">
                      <w:rPr>
                        <w:rFonts w:eastAsia="Arial"/>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805897" w14:textId="77777777" w:rsidR="004D2EC0" w:rsidRDefault="004D2EC0" w:rsidP="00E56313">
      <w:r>
        <w:separator/>
      </w:r>
    </w:p>
  </w:footnote>
  <w:footnote w:type="continuationSeparator" w:id="0">
    <w:p w14:paraId="0273A1E0" w14:textId="77777777" w:rsidR="004D2EC0" w:rsidRDefault="004D2EC0" w:rsidP="00E56313">
      <w:r>
        <w:continuationSeparator/>
      </w:r>
    </w:p>
    <w:p w14:paraId="2915B32B" w14:textId="77777777" w:rsidR="004D2EC0" w:rsidRDefault="004D2EC0" w:rsidP="00E56313"/>
    <w:p w14:paraId="40873338" w14:textId="77777777" w:rsidR="004D2EC0" w:rsidRDefault="004D2EC0" w:rsidP="00E56313"/>
  </w:footnote>
  <w:footnote w:type="continuationNotice" w:id="1">
    <w:p w14:paraId="1EBF656A" w14:textId="77777777" w:rsidR="004D2EC0" w:rsidRDefault="004D2EC0">
      <w:pPr>
        <w:spacing w:after="0" w:line="240" w:lineRule="auto"/>
      </w:pPr>
    </w:p>
  </w:footnote>
  <w:footnote w:id="2">
    <w:p w14:paraId="4C0EECA6" w14:textId="14DE751E" w:rsidR="007745BF" w:rsidRDefault="007745BF" w:rsidP="007745BF">
      <w:pPr>
        <w:pStyle w:val="FootnoteText"/>
      </w:pPr>
      <w:r>
        <w:rPr>
          <w:vertAlign w:val="superscript"/>
        </w:rPr>
        <w:footnoteRef/>
      </w:r>
      <w:r>
        <w:t>.</w:t>
      </w:r>
      <w:r>
        <w:t xml:space="preserve"> </w:t>
      </w:r>
      <w:r>
        <w:t>National Cabinet, Meeting Communiqué, August 2026.</w:t>
      </w:r>
    </w:p>
  </w:footnote>
  <w:footnote w:id="3">
    <w:p w14:paraId="63E59DA0" w14:textId="6935AB82" w:rsidR="007745BF" w:rsidRDefault="007745BF" w:rsidP="007745BF">
      <w:pPr>
        <w:pStyle w:val="FootnoteText"/>
      </w:pPr>
      <w:r>
        <w:rPr>
          <w:vertAlign w:val="superscript"/>
        </w:rPr>
        <w:footnoteRef/>
      </w:r>
      <w:r>
        <w:t>.</w:t>
      </w:r>
      <w:r>
        <w:t xml:space="preserve"> </w:t>
      </w:r>
      <w:r>
        <w:t>Australian Government Department of Industry, Science and Resources, Expectations of Data Centres and AI Infrastructure Developers, March 2026.</w:t>
      </w:r>
    </w:p>
  </w:footnote>
  <w:footnote w:id="4">
    <w:p w14:paraId="08F5A04C" w14:textId="604C46C9" w:rsidR="007745BF" w:rsidRDefault="007745BF" w:rsidP="007745BF">
      <w:pPr>
        <w:pStyle w:val="FootnoteText"/>
      </w:pPr>
      <w:r>
        <w:rPr>
          <w:vertAlign w:val="superscript"/>
        </w:rPr>
        <w:footnoteRef/>
      </w:r>
      <w:r>
        <w:t>.</w:t>
      </w:r>
      <w:r>
        <w:t xml:space="preserve"> </w:t>
      </w:r>
      <w:r>
        <w:t>AEMO, 2026 Electricity Statement of Opportunities, August 2026.</w:t>
      </w:r>
    </w:p>
  </w:footnote>
  <w:footnote w:id="5">
    <w:p w14:paraId="49097813" w14:textId="0294DBCB" w:rsidR="007745BF" w:rsidRPr="007745BF" w:rsidRDefault="007745BF" w:rsidP="007745BF">
      <w:pPr>
        <w:pStyle w:val="FootnoteText"/>
        <w:rPr>
          <w:spacing w:val="-1"/>
        </w:rPr>
      </w:pPr>
      <w:r>
        <w:rPr>
          <w:vertAlign w:val="superscript"/>
        </w:rPr>
        <w:footnoteRef/>
      </w:r>
      <w:r>
        <w:rPr>
          <w:spacing w:val="-1"/>
        </w:rPr>
        <w:t>.</w:t>
      </w:r>
      <w:r>
        <w:rPr>
          <w:spacing w:val="-1"/>
        </w:rPr>
        <w:t xml:space="preserve"> </w:t>
      </w:r>
      <w:r>
        <w:rPr>
          <w:spacing w:val="-1"/>
        </w:rPr>
        <w:t xml:space="preserve">AEMO, ‘Digital demand surge: Preparing Australia’s power systems for the rise of data centres’, </w:t>
      </w:r>
      <w:hyperlink r:id="rId1" w:history="1">
        <w:r>
          <w:rPr>
            <w:spacing w:val="-1"/>
          </w:rPr>
          <w:t>aemo.com.au</w:t>
        </w:r>
      </w:hyperlink>
      <w:r>
        <w:rPr>
          <w:spacing w:val="-1"/>
        </w:rPr>
        <w:t>, January 2026.</w:t>
      </w:r>
    </w:p>
  </w:footnote>
  <w:footnote w:id="6">
    <w:p w14:paraId="21D77221" w14:textId="314A797F" w:rsidR="007745BF" w:rsidRDefault="007745BF" w:rsidP="007745BF">
      <w:pPr>
        <w:pStyle w:val="FootnoteText"/>
      </w:pPr>
      <w:r>
        <w:rPr>
          <w:vertAlign w:val="superscript"/>
        </w:rPr>
        <w:footnoteRef/>
      </w:r>
      <w:r>
        <w:t>.</w:t>
      </w:r>
      <w:r>
        <w:t xml:space="preserve"> </w:t>
      </w:r>
      <w:proofErr w:type="gramStart"/>
      <w:r>
        <w:t>w.media</w:t>
      </w:r>
      <w:proofErr w:type="gramEnd"/>
      <w:r>
        <w:t>, ‘AEMO: Australia’s data centres to use 34TWh by 2035-36’, 2026 (NSW 66% and Victoria 30% of NEM data centre consumption).</w:t>
      </w:r>
    </w:p>
  </w:footnote>
  <w:footnote w:id="7">
    <w:p w14:paraId="4137F8CC" w14:textId="241567DC" w:rsidR="007745BF" w:rsidRDefault="007745BF" w:rsidP="007745BF">
      <w:pPr>
        <w:pStyle w:val="FootnoteText"/>
      </w:pPr>
      <w:r>
        <w:rPr>
          <w:vertAlign w:val="superscript"/>
        </w:rPr>
        <w:footnoteRef/>
      </w:r>
      <w:r>
        <w:t>.</w:t>
      </w:r>
      <w:r>
        <w:t xml:space="preserve"> </w:t>
      </w:r>
      <w:r>
        <w:t>Tech Insider, ‘Australia’s Data Centre Boom Risks a 26% Power Bill’, 2026, citing Climate Council modelling (Victorian data centre electricity demand nearly doubled in the twelve months to mid-2026).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132027" w14:textId="77777777" w:rsidR="007A1463" w:rsidRDefault="007A1463">
    <w:pPr>
      <w:pStyle w:val="Header"/>
    </w:pPr>
    <w:r>
      <w:rPr>
        <w:noProof/>
      </w:rPr>
      <mc:AlternateContent>
        <mc:Choice Requires="wps">
          <w:drawing>
            <wp:anchor distT="0" distB="0" distL="0" distR="0" simplePos="0" relativeHeight="251658241" behindDoc="0" locked="0" layoutInCell="1" allowOverlap="1" wp14:anchorId="70CF7513" wp14:editId="61CB4785">
              <wp:simplePos x="635" y="635"/>
              <wp:positionH relativeFrom="page">
                <wp:align>center</wp:align>
              </wp:positionH>
              <wp:positionV relativeFrom="page">
                <wp:align>top</wp:align>
              </wp:positionV>
              <wp:extent cx="443865" cy="443865"/>
              <wp:effectExtent l="0" t="0" r="6985" b="2540"/>
              <wp:wrapNone/>
              <wp:docPr id="1524634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41BCBB" w14:textId="77777777" w:rsidR="007A1463" w:rsidRPr="007A1463" w:rsidRDefault="007A1463" w:rsidP="007A1463">
                          <w:pPr>
                            <w:spacing w:after="0"/>
                            <w:rPr>
                              <w:rFonts w:eastAsia="Arial"/>
                              <w:noProof/>
                              <w:color w:val="000000"/>
                            </w:rPr>
                          </w:pPr>
                          <w:r w:rsidRPr="007A1463">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CF7513"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" filled="f" stroked="f">
              <v:textbox style="mso-fit-shape-to-text:t" inset="0,15pt,0,0">
                <w:txbxContent>
                  <w:p w14:paraId="1D41BCBB" w14:textId="77777777" w:rsidR="007A1463" w:rsidRPr="007A1463" w:rsidRDefault="007A1463" w:rsidP="007A1463">
                    <w:pPr>
                      <w:spacing w:after="0"/>
                      <w:rPr>
                        <w:rFonts w:eastAsia="Arial"/>
                        <w:noProof/>
                        <w:color w:val="000000"/>
                      </w:rPr>
                    </w:pPr>
                    <w:r w:rsidRPr="007A1463">
                      <w:rPr>
                        <w:rFonts w:eastAsia="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91E02" w14:textId="77777777" w:rsidR="007A1463" w:rsidRDefault="007A1463">
    <w:pPr>
      <w:pStyle w:val="Header"/>
    </w:pPr>
    <w:r>
      <w:rPr>
        <w:noProof/>
      </w:rPr>
      <mc:AlternateContent>
        <mc:Choice Requires="wps">
          <w:drawing>
            <wp:anchor distT="0" distB="0" distL="0" distR="0" simplePos="0" relativeHeight="251658240" behindDoc="0" locked="0" layoutInCell="1" allowOverlap="1" wp14:anchorId="44D221D8" wp14:editId="4C694677">
              <wp:simplePos x="635" y="635"/>
              <wp:positionH relativeFrom="page">
                <wp:align>center</wp:align>
              </wp:positionH>
              <wp:positionV relativeFrom="page">
                <wp:align>top</wp:align>
              </wp:positionV>
              <wp:extent cx="443865" cy="443865"/>
              <wp:effectExtent l="0" t="0" r="6985" b="2540"/>
              <wp:wrapNone/>
              <wp:docPr id="160631697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0670C1" w14:textId="77777777" w:rsidR="007A1463" w:rsidRPr="007A1463" w:rsidRDefault="007A1463" w:rsidP="007A1463">
                          <w:pPr>
                            <w:spacing w:after="0"/>
                            <w:rPr>
                              <w:rFonts w:eastAsia="Arial"/>
                              <w:noProof/>
                              <w:color w:val="000000"/>
                            </w:rPr>
                          </w:pPr>
                          <w:r w:rsidRPr="007A1463">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D221D8"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" filled="f" stroked="f">
              <v:textbox style="mso-fit-shape-to-text:t" inset="0,15pt,0,0">
                <w:txbxContent>
                  <w:p w14:paraId="700670C1" w14:textId="77777777" w:rsidR="007A1463" w:rsidRPr="007A1463" w:rsidRDefault="007A1463" w:rsidP="007A1463">
                    <w:pPr>
                      <w:spacing w:after="0"/>
                      <w:rPr>
                        <w:rFonts w:eastAsia="Arial"/>
                        <w:noProof/>
                        <w:color w:val="000000"/>
                      </w:rPr>
                    </w:pPr>
                    <w:r w:rsidRPr="007A1463">
                      <w:rPr>
                        <w:rFonts w:eastAsia="Arial"/>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C0EBF"/>
    <w:multiLevelType w:val="multilevel"/>
    <w:tmpl w:val="C304E712"/>
    <w:styleLink w:val="CurrentList24"/>
    <w:lvl w:ilvl="0">
      <w:start w:val="1"/>
      <w:numFmt w:val="decimal"/>
      <w:suff w:val="nothing"/>
      <w:lvlText w:val="%1."/>
      <w:lvlJc w:val="left"/>
      <w:pPr>
        <w:ind w:left="360" w:hanging="360"/>
      </w:pPr>
      <w:rPr>
        <w:rFonts w:hint="default"/>
        <w:vanish/>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4B7EBE"/>
    <w:multiLevelType w:val="multilevel"/>
    <w:tmpl w:val="240058BA"/>
    <w:styleLink w:val="CurrentList18"/>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E3E0E63"/>
    <w:multiLevelType w:val="multilevel"/>
    <w:tmpl w:val="8DAA2D30"/>
    <w:styleLink w:val="CurrentList15"/>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108205E0"/>
    <w:multiLevelType w:val="multilevel"/>
    <w:tmpl w:val="396C3EA2"/>
    <w:styleLink w:val="CurrentList2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9755EC"/>
    <w:multiLevelType w:val="multilevel"/>
    <w:tmpl w:val="08090025"/>
    <w:styleLink w:val="CurrentList1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BE277B"/>
    <w:multiLevelType w:val="hybridMultilevel"/>
    <w:tmpl w:val="7D2A40B6"/>
    <w:lvl w:ilvl="0" w:tplc="5CBAACD4">
      <w:start w:val="1"/>
      <w:numFmt w:val="bullet"/>
      <w:pStyle w:val="TableBullet"/>
      <w:lvlText w:val=""/>
      <w:lvlJc w:val="left"/>
      <w:pPr>
        <w:ind w:left="284" w:hanging="284"/>
      </w:pPr>
      <w:rPr>
        <w:rFonts w:ascii="Symbol" w:hAnsi="Symbol" w:hint="default"/>
      </w:rPr>
    </w:lvl>
    <w:lvl w:ilvl="1" w:tplc="811A5516">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8462C2"/>
    <w:multiLevelType w:val="multilevel"/>
    <w:tmpl w:val="0809001D"/>
    <w:styleLink w:val="CurrentList2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8476D6C"/>
    <w:multiLevelType w:val="multilevel"/>
    <w:tmpl w:val="43324F72"/>
    <w:styleLink w:val="CurrentList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D665A1"/>
    <w:multiLevelType w:val="multilevel"/>
    <w:tmpl w:val="75AE12AA"/>
    <w:styleLink w:val="CurrentList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2273E7"/>
    <w:multiLevelType w:val="multilevel"/>
    <w:tmpl w:val="33D8544E"/>
    <w:styleLink w:val="CurrentList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F1C47E0"/>
    <w:multiLevelType w:val="multilevel"/>
    <w:tmpl w:val="CBAC16F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D6D249F"/>
    <w:multiLevelType w:val="multilevel"/>
    <w:tmpl w:val="F6EC5230"/>
    <w:lvl w:ilvl="0">
      <w:start w:val="1"/>
      <w:numFmt w:val="decimal"/>
      <w:lvlText w:val="%1"/>
      <w:lvlJc w:val="left"/>
      <w:pPr>
        <w:ind w:left="1850"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4D7E17E1"/>
    <w:multiLevelType w:val="multilevel"/>
    <w:tmpl w:val="CBAC16FC"/>
    <w:styleLink w:val="CurrentList2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DC42A07"/>
    <w:multiLevelType w:val="hybridMultilevel"/>
    <w:tmpl w:val="A8C2C1A2"/>
    <w:lvl w:ilvl="0" w:tplc="5EF43A4A">
      <w:start w:val="1"/>
      <w:numFmt w:val="bullet"/>
      <w:pStyle w:val="Bullet2"/>
      <w:lvlText w:val=""/>
      <w:lvlJc w:val="left"/>
      <w:pPr>
        <w:ind w:left="567" w:hanging="283"/>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5129C9"/>
    <w:multiLevelType w:val="multilevel"/>
    <w:tmpl w:val="F6EC5230"/>
    <w:styleLink w:val="CurrentList3"/>
    <w:lvl w:ilvl="0">
      <w:start w:val="1"/>
      <w:numFmt w:val="decimal"/>
      <w:lvlText w:val="%1"/>
      <w:lvlJc w:val="left"/>
      <w:pPr>
        <w:ind w:left="1850"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0870565"/>
    <w:multiLevelType w:val="multilevel"/>
    <w:tmpl w:val="0809001F"/>
    <w:styleLink w:val="CurrentList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29E3151"/>
    <w:multiLevelType w:val="multilevel"/>
    <w:tmpl w:val="D66EB5B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7" w15:restartNumberingAfterBreak="0">
    <w:nsid w:val="56F94B0D"/>
    <w:multiLevelType w:val="multilevel"/>
    <w:tmpl w:val="E28A5448"/>
    <w:styleLink w:val="CurrentLi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70A5223"/>
    <w:multiLevelType w:val="multilevel"/>
    <w:tmpl w:val="1B40DCA4"/>
    <w:styleLink w:val="CurrentList12"/>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9" w15:restartNumberingAfterBreak="0">
    <w:nsid w:val="57727018"/>
    <w:multiLevelType w:val="hybridMultilevel"/>
    <w:tmpl w:val="D7B26DC8"/>
    <w:lvl w:ilvl="0" w:tplc="EC22861E">
      <w:start w:val="1"/>
      <w:numFmt w:val="bullet"/>
      <w:pStyle w:val="Bullet"/>
      <w:lvlText w:val=""/>
      <w:lvlJc w:val="left"/>
      <w:pPr>
        <w:ind w:left="284" w:hanging="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BD0F86"/>
    <w:multiLevelType w:val="multilevel"/>
    <w:tmpl w:val="240058BA"/>
    <w:styleLink w:val="CurrentList14"/>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1" w15:restartNumberingAfterBreak="0">
    <w:nsid w:val="600737A8"/>
    <w:multiLevelType w:val="multilevel"/>
    <w:tmpl w:val="AE52F996"/>
    <w:styleLink w:val="CurrentList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41B3466"/>
    <w:multiLevelType w:val="multilevel"/>
    <w:tmpl w:val="0809001F"/>
    <w:styleLink w:val="CurrentList17"/>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3" w15:restartNumberingAfterBreak="0">
    <w:nsid w:val="6F7F28D1"/>
    <w:multiLevelType w:val="multilevel"/>
    <w:tmpl w:val="F6EC5230"/>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49C4E39"/>
    <w:multiLevelType w:val="multilevel"/>
    <w:tmpl w:val="F6EC5230"/>
    <w:styleLink w:val="CurrentList2"/>
    <w:lvl w:ilvl="0">
      <w:start w:val="1"/>
      <w:numFmt w:val="decimal"/>
      <w:lvlText w:val="%1"/>
      <w:lvlJc w:val="left"/>
      <w:pPr>
        <w:ind w:left="1850"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76AF6CC3"/>
    <w:multiLevelType w:val="multilevel"/>
    <w:tmpl w:val="43324F72"/>
    <w:styleLink w:val="CurrentList19"/>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3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6" w15:restartNumberingAfterBreak="0">
    <w:nsid w:val="771F2606"/>
    <w:multiLevelType w:val="multilevel"/>
    <w:tmpl w:val="43324F72"/>
    <w:styleLink w:val="CurrentList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BB5D8A"/>
    <w:multiLevelType w:val="multilevel"/>
    <w:tmpl w:val="08090025"/>
    <w:styleLink w:val="CurrentList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7A9D1EEA"/>
    <w:multiLevelType w:val="multilevel"/>
    <w:tmpl w:val="1B40DCA4"/>
    <w:styleLink w:val="CurrentList13"/>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9" w15:restartNumberingAfterBreak="0">
    <w:nsid w:val="7DFD16DA"/>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9141DA"/>
    <w:multiLevelType w:val="multilevel"/>
    <w:tmpl w:val="A978D86C"/>
    <w:styleLink w:val="CurrentList20"/>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16cid:durableId="1229877849">
    <w:abstractNumId w:val="10"/>
  </w:num>
  <w:num w:numId="2" w16cid:durableId="1631087210">
    <w:abstractNumId w:val="11"/>
  </w:num>
  <w:num w:numId="3" w16cid:durableId="1768959837">
    <w:abstractNumId w:val="23"/>
  </w:num>
  <w:num w:numId="4" w16cid:durableId="610671864">
    <w:abstractNumId w:val="24"/>
  </w:num>
  <w:num w:numId="5" w16cid:durableId="326980838">
    <w:abstractNumId w:val="14"/>
  </w:num>
  <w:num w:numId="6" w16cid:durableId="167255002">
    <w:abstractNumId w:val="29"/>
  </w:num>
  <w:num w:numId="7" w16cid:durableId="260725096">
    <w:abstractNumId w:val="13"/>
  </w:num>
  <w:num w:numId="8" w16cid:durableId="958535155">
    <w:abstractNumId w:val="19"/>
  </w:num>
  <w:num w:numId="9" w16cid:durableId="986397343">
    <w:abstractNumId w:val="5"/>
  </w:num>
  <w:num w:numId="10" w16cid:durableId="148450025">
    <w:abstractNumId w:val="17"/>
  </w:num>
  <w:num w:numId="11" w16cid:durableId="614289925">
    <w:abstractNumId w:val="15"/>
  </w:num>
  <w:num w:numId="12" w16cid:durableId="820075586">
    <w:abstractNumId w:val="9"/>
  </w:num>
  <w:num w:numId="13" w16cid:durableId="1006252980">
    <w:abstractNumId w:val="27"/>
  </w:num>
  <w:num w:numId="14" w16cid:durableId="534274376">
    <w:abstractNumId w:val="7"/>
  </w:num>
  <w:num w:numId="15" w16cid:durableId="377897301">
    <w:abstractNumId w:val="8"/>
  </w:num>
  <w:num w:numId="16" w16cid:durableId="1631856191">
    <w:abstractNumId w:val="26"/>
  </w:num>
  <w:num w:numId="17" w16cid:durableId="1067338616">
    <w:abstractNumId w:val="18"/>
  </w:num>
  <w:num w:numId="18" w16cid:durableId="493683900">
    <w:abstractNumId w:val="28"/>
  </w:num>
  <w:num w:numId="19" w16cid:durableId="1075472240">
    <w:abstractNumId w:val="20"/>
  </w:num>
  <w:num w:numId="20" w16cid:durableId="499201142">
    <w:abstractNumId w:val="2"/>
  </w:num>
  <w:num w:numId="21" w16cid:durableId="73018623">
    <w:abstractNumId w:val="4"/>
  </w:num>
  <w:num w:numId="22" w16cid:durableId="1886986792">
    <w:abstractNumId w:val="22"/>
  </w:num>
  <w:num w:numId="23" w16cid:durableId="129173390">
    <w:abstractNumId w:val="1"/>
  </w:num>
  <w:num w:numId="24" w16cid:durableId="1409034623">
    <w:abstractNumId w:val="25"/>
  </w:num>
  <w:num w:numId="25" w16cid:durableId="2055350916">
    <w:abstractNumId w:val="30"/>
  </w:num>
  <w:num w:numId="26" w16cid:durableId="242422780">
    <w:abstractNumId w:val="3"/>
  </w:num>
  <w:num w:numId="27" w16cid:durableId="1883470132">
    <w:abstractNumId w:val="21"/>
  </w:num>
  <w:num w:numId="28" w16cid:durableId="959148433">
    <w:abstractNumId w:val="12"/>
  </w:num>
  <w:num w:numId="29" w16cid:durableId="1553811175">
    <w:abstractNumId w:val="0"/>
  </w:num>
  <w:num w:numId="30" w16cid:durableId="1242956356">
    <w:abstractNumId w:val="6"/>
  </w:num>
  <w:num w:numId="31" w16cid:durableId="1275751217">
    <w:abstractNumId w:val="16"/>
  </w:num>
  <w:numIdMacAtCleanup w:val="3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activeWritingStyle w:appName="MSWord" w:lang="en-AU"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FF3"/>
    <w:rsid w:val="00002A39"/>
    <w:rsid w:val="000036CE"/>
    <w:rsid w:val="00013889"/>
    <w:rsid w:val="000148DB"/>
    <w:rsid w:val="000151AB"/>
    <w:rsid w:val="00017775"/>
    <w:rsid w:val="00027EBB"/>
    <w:rsid w:val="00030496"/>
    <w:rsid w:val="000357B3"/>
    <w:rsid w:val="00035D95"/>
    <w:rsid w:val="00036808"/>
    <w:rsid w:val="000419C6"/>
    <w:rsid w:val="00041A55"/>
    <w:rsid w:val="00042939"/>
    <w:rsid w:val="00053101"/>
    <w:rsid w:val="000536A2"/>
    <w:rsid w:val="000575F7"/>
    <w:rsid w:val="00061854"/>
    <w:rsid w:val="0007491F"/>
    <w:rsid w:val="00087128"/>
    <w:rsid w:val="00090FCD"/>
    <w:rsid w:val="00091D77"/>
    <w:rsid w:val="0009513B"/>
    <w:rsid w:val="00095A8B"/>
    <w:rsid w:val="000A1313"/>
    <w:rsid w:val="000A1660"/>
    <w:rsid w:val="000A3BB4"/>
    <w:rsid w:val="000A4D29"/>
    <w:rsid w:val="000B2AA4"/>
    <w:rsid w:val="000B3D0A"/>
    <w:rsid w:val="000B41BF"/>
    <w:rsid w:val="000B47BF"/>
    <w:rsid w:val="000B5844"/>
    <w:rsid w:val="000B5F85"/>
    <w:rsid w:val="000C72E5"/>
    <w:rsid w:val="000C7586"/>
    <w:rsid w:val="000D3BA3"/>
    <w:rsid w:val="000D4FD1"/>
    <w:rsid w:val="000E3BF9"/>
    <w:rsid w:val="00100DAC"/>
    <w:rsid w:val="00101199"/>
    <w:rsid w:val="001035FD"/>
    <w:rsid w:val="00106B9B"/>
    <w:rsid w:val="001110D7"/>
    <w:rsid w:val="00122F0E"/>
    <w:rsid w:val="00126DDA"/>
    <w:rsid w:val="0013448B"/>
    <w:rsid w:val="001348AF"/>
    <w:rsid w:val="001420A9"/>
    <w:rsid w:val="00155883"/>
    <w:rsid w:val="00156AA8"/>
    <w:rsid w:val="00166728"/>
    <w:rsid w:val="001745B8"/>
    <w:rsid w:val="001748EF"/>
    <w:rsid w:val="00175743"/>
    <w:rsid w:val="00175D5E"/>
    <w:rsid w:val="00177273"/>
    <w:rsid w:val="001843D9"/>
    <w:rsid w:val="001939DB"/>
    <w:rsid w:val="00194343"/>
    <w:rsid w:val="00194682"/>
    <w:rsid w:val="001A41A9"/>
    <w:rsid w:val="001C05FF"/>
    <w:rsid w:val="001C600B"/>
    <w:rsid w:val="001D0F72"/>
    <w:rsid w:val="001D37F7"/>
    <w:rsid w:val="001D7F15"/>
    <w:rsid w:val="001E6B2C"/>
    <w:rsid w:val="001F3456"/>
    <w:rsid w:val="001F70F5"/>
    <w:rsid w:val="00202432"/>
    <w:rsid w:val="00203883"/>
    <w:rsid w:val="00205347"/>
    <w:rsid w:val="00207121"/>
    <w:rsid w:val="0020754F"/>
    <w:rsid w:val="00210DDC"/>
    <w:rsid w:val="002117EB"/>
    <w:rsid w:val="00215B58"/>
    <w:rsid w:val="00216821"/>
    <w:rsid w:val="00221D4A"/>
    <w:rsid w:val="00223990"/>
    <w:rsid w:val="002275CB"/>
    <w:rsid w:val="0023100B"/>
    <w:rsid w:val="00231A8B"/>
    <w:rsid w:val="00234860"/>
    <w:rsid w:val="00240121"/>
    <w:rsid w:val="00242FF0"/>
    <w:rsid w:val="002433CA"/>
    <w:rsid w:val="002463C2"/>
    <w:rsid w:val="002465B1"/>
    <w:rsid w:val="0024682A"/>
    <w:rsid w:val="00247529"/>
    <w:rsid w:val="00251D1D"/>
    <w:rsid w:val="002612AC"/>
    <w:rsid w:val="00263812"/>
    <w:rsid w:val="00265AC5"/>
    <w:rsid w:val="00270F04"/>
    <w:rsid w:val="00271290"/>
    <w:rsid w:val="00274DF3"/>
    <w:rsid w:val="002771A8"/>
    <w:rsid w:val="00280C1E"/>
    <w:rsid w:val="00284955"/>
    <w:rsid w:val="002851D4"/>
    <w:rsid w:val="00290BF9"/>
    <w:rsid w:val="00294AA3"/>
    <w:rsid w:val="00294DC3"/>
    <w:rsid w:val="00295017"/>
    <w:rsid w:val="002962D1"/>
    <w:rsid w:val="002A6DB1"/>
    <w:rsid w:val="002B21B4"/>
    <w:rsid w:val="002B6E14"/>
    <w:rsid w:val="002B7736"/>
    <w:rsid w:val="002B7DAA"/>
    <w:rsid w:val="002D1B3A"/>
    <w:rsid w:val="002D2EC0"/>
    <w:rsid w:val="002E4CA9"/>
    <w:rsid w:val="002F01A7"/>
    <w:rsid w:val="002F269E"/>
    <w:rsid w:val="003023CF"/>
    <w:rsid w:val="003046E4"/>
    <w:rsid w:val="00307DF2"/>
    <w:rsid w:val="0031065A"/>
    <w:rsid w:val="00312355"/>
    <w:rsid w:val="0031379C"/>
    <w:rsid w:val="00313F22"/>
    <w:rsid w:val="00324BAD"/>
    <w:rsid w:val="0033258F"/>
    <w:rsid w:val="0034186D"/>
    <w:rsid w:val="00343AFC"/>
    <w:rsid w:val="00344BA6"/>
    <w:rsid w:val="00347D69"/>
    <w:rsid w:val="00347FC3"/>
    <w:rsid w:val="0035735A"/>
    <w:rsid w:val="00362FBA"/>
    <w:rsid w:val="00367DF7"/>
    <w:rsid w:val="00370146"/>
    <w:rsid w:val="0037064F"/>
    <w:rsid w:val="00372CDC"/>
    <w:rsid w:val="00372E60"/>
    <w:rsid w:val="0037421F"/>
    <w:rsid w:val="00374F95"/>
    <w:rsid w:val="003834A3"/>
    <w:rsid w:val="00385B49"/>
    <w:rsid w:val="00395308"/>
    <w:rsid w:val="003A1138"/>
    <w:rsid w:val="003A7E27"/>
    <w:rsid w:val="003B1A1A"/>
    <w:rsid w:val="003B1C61"/>
    <w:rsid w:val="003B1D79"/>
    <w:rsid w:val="003B37F6"/>
    <w:rsid w:val="003C5BAC"/>
    <w:rsid w:val="003D7499"/>
    <w:rsid w:val="003D77D9"/>
    <w:rsid w:val="003E5FEE"/>
    <w:rsid w:val="003E7F9F"/>
    <w:rsid w:val="003F25C3"/>
    <w:rsid w:val="003F4C53"/>
    <w:rsid w:val="00400A70"/>
    <w:rsid w:val="004034FE"/>
    <w:rsid w:val="00406D6B"/>
    <w:rsid w:val="00407936"/>
    <w:rsid w:val="0041018D"/>
    <w:rsid w:val="00424007"/>
    <w:rsid w:val="0042767C"/>
    <w:rsid w:val="00450460"/>
    <w:rsid w:val="00450ADE"/>
    <w:rsid w:val="00451405"/>
    <w:rsid w:val="004529ED"/>
    <w:rsid w:val="00454787"/>
    <w:rsid w:val="004570ED"/>
    <w:rsid w:val="00464890"/>
    <w:rsid w:val="00473AB1"/>
    <w:rsid w:val="00481F2B"/>
    <w:rsid w:val="00482A2E"/>
    <w:rsid w:val="00484E81"/>
    <w:rsid w:val="00485C20"/>
    <w:rsid w:val="00493ECD"/>
    <w:rsid w:val="004956BC"/>
    <w:rsid w:val="004A15DF"/>
    <w:rsid w:val="004A2336"/>
    <w:rsid w:val="004A7315"/>
    <w:rsid w:val="004B3E60"/>
    <w:rsid w:val="004C0CDC"/>
    <w:rsid w:val="004D0B04"/>
    <w:rsid w:val="004D273C"/>
    <w:rsid w:val="004D2EC0"/>
    <w:rsid w:val="004D393F"/>
    <w:rsid w:val="004D470D"/>
    <w:rsid w:val="004D56B1"/>
    <w:rsid w:val="004D7E13"/>
    <w:rsid w:val="004E2B35"/>
    <w:rsid w:val="004E5004"/>
    <w:rsid w:val="004E50F7"/>
    <w:rsid w:val="004F339F"/>
    <w:rsid w:val="004F44C7"/>
    <w:rsid w:val="00503C09"/>
    <w:rsid w:val="00506C69"/>
    <w:rsid w:val="0051085B"/>
    <w:rsid w:val="0051277C"/>
    <w:rsid w:val="00516487"/>
    <w:rsid w:val="00517406"/>
    <w:rsid w:val="00520701"/>
    <w:rsid w:val="005304D7"/>
    <w:rsid w:val="00530F3B"/>
    <w:rsid w:val="0054039C"/>
    <w:rsid w:val="0054063A"/>
    <w:rsid w:val="0054435D"/>
    <w:rsid w:val="00554D9F"/>
    <w:rsid w:val="00561580"/>
    <w:rsid w:val="005637EB"/>
    <w:rsid w:val="0057279C"/>
    <w:rsid w:val="005727EC"/>
    <w:rsid w:val="00575777"/>
    <w:rsid w:val="00577152"/>
    <w:rsid w:val="005837DA"/>
    <w:rsid w:val="0058543D"/>
    <w:rsid w:val="005863E4"/>
    <w:rsid w:val="00591667"/>
    <w:rsid w:val="0059378A"/>
    <w:rsid w:val="005B088E"/>
    <w:rsid w:val="005B6B1F"/>
    <w:rsid w:val="005C63EA"/>
    <w:rsid w:val="005D19AB"/>
    <w:rsid w:val="005D2159"/>
    <w:rsid w:val="005D4D7C"/>
    <w:rsid w:val="005E2D4C"/>
    <w:rsid w:val="005E40DF"/>
    <w:rsid w:val="005E6B7C"/>
    <w:rsid w:val="005F044B"/>
    <w:rsid w:val="005F45D2"/>
    <w:rsid w:val="005F4847"/>
    <w:rsid w:val="005F5D26"/>
    <w:rsid w:val="005F7B00"/>
    <w:rsid w:val="0060210B"/>
    <w:rsid w:val="006037BA"/>
    <w:rsid w:val="00604702"/>
    <w:rsid w:val="00610470"/>
    <w:rsid w:val="0061599A"/>
    <w:rsid w:val="006176CA"/>
    <w:rsid w:val="00624B3C"/>
    <w:rsid w:val="0063431F"/>
    <w:rsid w:val="00634742"/>
    <w:rsid w:val="00635700"/>
    <w:rsid w:val="006358A3"/>
    <w:rsid w:val="00641C6A"/>
    <w:rsid w:val="00642312"/>
    <w:rsid w:val="006449CB"/>
    <w:rsid w:val="00651DFF"/>
    <w:rsid w:val="00652D6B"/>
    <w:rsid w:val="0065327B"/>
    <w:rsid w:val="0066012B"/>
    <w:rsid w:val="00660A85"/>
    <w:rsid w:val="006612A1"/>
    <w:rsid w:val="00661385"/>
    <w:rsid w:val="006642B1"/>
    <w:rsid w:val="00665417"/>
    <w:rsid w:val="00671B15"/>
    <w:rsid w:val="006739F6"/>
    <w:rsid w:val="00675C72"/>
    <w:rsid w:val="00676A89"/>
    <w:rsid w:val="00681D94"/>
    <w:rsid w:val="00683388"/>
    <w:rsid w:val="00683D29"/>
    <w:rsid w:val="0068711D"/>
    <w:rsid w:val="00690D6A"/>
    <w:rsid w:val="00695574"/>
    <w:rsid w:val="00697076"/>
    <w:rsid w:val="00697916"/>
    <w:rsid w:val="006B34CD"/>
    <w:rsid w:val="006B61E2"/>
    <w:rsid w:val="006B673D"/>
    <w:rsid w:val="006D575C"/>
    <w:rsid w:val="006D5CCB"/>
    <w:rsid w:val="006D67C1"/>
    <w:rsid w:val="006E02BE"/>
    <w:rsid w:val="006F037E"/>
    <w:rsid w:val="006F39F5"/>
    <w:rsid w:val="006F432D"/>
    <w:rsid w:val="006F595D"/>
    <w:rsid w:val="00701AC3"/>
    <w:rsid w:val="00707545"/>
    <w:rsid w:val="00710957"/>
    <w:rsid w:val="0071165C"/>
    <w:rsid w:val="007155FE"/>
    <w:rsid w:val="00726156"/>
    <w:rsid w:val="00727A33"/>
    <w:rsid w:val="0073019A"/>
    <w:rsid w:val="00737769"/>
    <w:rsid w:val="007419DC"/>
    <w:rsid w:val="007421EA"/>
    <w:rsid w:val="00763A9B"/>
    <w:rsid w:val="00764A6C"/>
    <w:rsid w:val="007711DF"/>
    <w:rsid w:val="0077179A"/>
    <w:rsid w:val="007745BF"/>
    <w:rsid w:val="007832F1"/>
    <w:rsid w:val="00783316"/>
    <w:rsid w:val="00784B1E"/>
    <w:rsid w:val="00797CAE"/>
    <w:rsid w:val="007A1463"/>
    <w:rsid w:val="007B4ABC"/>
    <w:rsid w:val="007C02A2"/>
    <w:rsid w:val="007D0491"/>
    <w:rsid w:val="007E0646"/>
    <w:rsid w:val="007E11D1"/>
    <w:rsid w:val="007E1475"/>
    <w:rsid w:val="007E1B64"/>
    <w:rsid w:val="007E29EE"/>
    <w:rsid w:val="007E6660"/>
    <w:rsid w:val="007E7C96"/>
    <w:rsid w:val="007F66CB"/>
    <w:rsid w:val="00800403"/>
    <w:rsid w:val="008017B4"/>
    <w:rsid w:val="008021FF"/>
    <w:rsid w:val="0080238A"/>
    <w:rsid w:val="00802B91"/>
    <w:rsid w:val="00804FD5"/>
    <w:rsid w:val="008060EE"/>
    <w:rsid w:val="00806445"/>
    <w:rsid w:val="00806DB9"/>
    <w:rsid w:val="0080790E"/>
    <w:rsid w:val="00810287"/>
    <w:rsid w:val="00812314"/>
    <w:rsid w:val="00820820"/>
    <w:rsid w:val="008219D0"/>
    <w:rsid w:val="00822CC2"/>
    <w:rsid w:val="0082424F"/>
    <w:rsid w:val="00824A94"/>
    <w:rsid w:val="00825F6E"/>
    <w:rsid w:val="0082630D"/>
    <w:rsid w:val="00827665"/>
    <w:rsid w:val="00842CB7"/>
    <w:rsid w:val="00843667"/>
    <w:rsid w:val="008457D8"/>
    <w:rsid w:val="00845E5D"/>
    <w:rsid w:val="0084644A"/>
    <w:rsid w:val="00854A8E"/>
    <w:rsid w:val="008617F3"/>
    <w:rsid w:val="0086274D"/>
    <w:rsid w:val="008634DA"/>
    <w:rsid w:val="00864A81"/>
    <w:rsid w:val="00867B2E"/>
    <w:rsid w:val="00870866"/>
    <w:rsid w:val="00871506"/>
    <w:rsid w:val="00871F5D"/>
    <w:rsid w:val="00875B88"/>
    <w:rsid w:val="0087723B"/>
    <w:rsid w:val="0088032E"/>
    <w:rsid w:val="00880839"/>
    <w:rsid w:val="00880EBC"/>
    <w:rsid w:val="00883B48"/>
    <w:rsid w:val="00884B44"/>
    <w:rsid w:val="00891BCA"/>
    <w:rsid w:val="00896EE7"/>
    <w:rsid w:val="00897C7D"/>
    <w:rsid w:val="008B1D0B"/>
    <w:rsid w:val="008B489D"/>
    <w:rsid w:val="008B7685"/>
    <w:rsid w:val="008B7E08"/>
    <w:rsid w:val="008C0D20"/>
    <w:rsid w:val="008C7567"/>
    <w:rsid w:val="008D2C7E"/>
    <w:rsid w:val="008D4664"/>
    <w:rsid w:val="008D63F5"/>
    <w:rsid w:val="008D6616"/>
    <w:rsid w:val="008E1BD0"/>
    <w:rsid w:val="008E1DBB"/>
    <w:rsid w:val="008E1E2C"/>
    <w:rsid w:val="008E37CC"/>
    <w:rsid w:val="008E72F9"/>
    <w:rsid w:val="008F480E"/>
    <w:rsid w:val="008F734E"/>
    <w:rsid w:val="0090427B"/>
    <w:rsid w:val="009055F0"/>
    <w:rsid w:val="00910221"/>
    <w:rsid w:val="00913846"/>
    <w:rsid w:val="00916CAD"/>
    <w:rsid w:val="00923D37"/>
    <w:rsid w:val="00926E29"/>
    <w:rsid w:val="009324DF"/>
    <w:rsid w:val="00933767"/>
    <w:rsid w:val="0094709C"/>
    <w:rsid w:val="00947441"/>
    <w:rsid w:val="00953ED1"/>
    <w:rsid w:val="00961340"/>
    <w:rsid w:val="009644BA"/>
    <w:rsid w:val="0096623B"/>
    <w:rsid w:val="00966D76"/>
    <w:rsid w:val="00983D55"/>
    <w:rsid w:val="009840A4"/>
    <w:rsid w:val="0098653D"/>
    <w:rsid w:val="00991982"/>
    <w:rsid w:val="00996FC8"/>
    <w:rsid w:val="00997770"/>
    <w:rsid w:val="009A06D2"/>
    <w:rsid w:val="009A0EF0"/>
    <w:rsid w:val="009A4B3D"/>
    <w:rsid w:val="009B1F91"/>
    <w:rsid w:val="009B221C"/>
    <w:rsid w:val="009B3468"/>
    <w:rsid w:val="009B4997"/>
    <w:rsid w:val="009D3AEF"/>
    <w:rsid w:val="009D5C0B"/>
    <w:rsid w:val="009D7457"/>
    <w:rsid w:val="009D76C8"/>
    <w:rsid w:val="009E1F8A"/>
    <w:rsid w:val="009E2779"/>
    <w:rsid w:val="009E2F39"/>
    <w:rsid w:val="009F2DF0"/>
    <w:rsid w:val="009F58A0"/>
    <w:rsid w:val="009F5969"/>
    <w:rsid w:val="009F6174"/>
    <w:rsid w:val="009F70C1"/>
    <w:rsid w:val="00A0004C"/>
    <w:rsid w:val="00A00131"/>
    <w:rsid w:val="00A05623"/>
    <w:rsid w:val="00A05DF5"/>
    <w:rsid w:val="00A133AF"/>
    <w:rsid w:val="00A2008A"/>
    <w:rsid w:val="00A20C95"/>
    <w:rsid w:val="00A27738"/>
    <w:rsid w:val="00A3250B"/>
    <w:rsid w:val="00A3378E"/>
    <w:rsid w:val="00A3630C"/>
    <w:rsid w:val="00A36BA3"/>
    <w:rsid w:val="00A36D2F"/>
    <w:rsid w:val="00A37580"/>
    <w:rsid w:val="00A43AEA"/>
    <w:rsid w:val="00A54F0F"/>
    <w:rsid w:val="00A567F7"/>
    <w:rsid w:val="00A56D7C"/>
    <w:rsid w:val="00A71C62"/>
    <w:rsid w:val="00A71FD4"/>
    <w:rsid w:val="00A81F47"/>
    <w:rsid w:val="00A822BD"/>
    <w:rsid w:val="00A84713"/>
    <w:rsid w:val="00A84ACB"/>
    <w:rsid w:val="00A84DBD"/>
    <w:rsid w:val="00A86CF1"/>
    <w:rsid w:val="00A87A0D"/>
    <w:rsid w:val="00A92EEE"/>
    <w:rsid w:val="00A963BF"/>
    <w:rsid w:val="00AA0EE8"/>
    <w:rsid w:val="00AA6C50"/>
    <w:rsid w:val="00AA73C5"/>
    <w:rsid w:val="00AA780F"/>
    <w:rsid w:val="00AA7ACE"/>
    <w:rsid w:val="00AB2405"/>
    <w:rsid w:val="00AC4E82"/>
    <w:rsid w:val="00AC50BA"/>
    <w:rsid w:val="00AD001A"/>
    <w:rsid w:val="00AD5D30"/>
    <w:rsid w:val="00AD5F60"/>
    <w:rsid w:val="00AE04CE"/>
    <w:rsid w:val="00AE735F"/>
    <w:rsid w:val="00AE761E"/>
    <w:rsid w:val="00AF221B"/>
    <w:rsid w:val="00AF334F"/>
    <w:rsid w:val="00AF6421"/>
    <w:rsid w:val="00AF7F5C"/>
    <w:rsid w:val="00B00F74"/>
    <w:rsid w:val="00B075DD"/>
    <w:rsid w:val="00B13B46"/>
    <w:rsid w:val="00B13EDC"/>
    <w:rsid w:val="00B20244"/>
    <w:rsid w:val="00B20C01"/>
    <w:rsid w:val="00B2145F"/>
    <w:rsid w:val="00B244B8"/>
    <w:rsid w:val="00B24959"/>
    <w:rsid w:val="00B336E7"/>
    <w:rsid w:val="00B418DB"/>
    <w:rsid w:val="00B46E0D"/>
    <w:rsid w:val="00B53331"/>
    <w:rsid w:val="00B53DE5"/>
    <w:rsid w:val="00B610B7"/>
    <w:rsid w:val="00B65B0E"/>
    <w:rsid w:val="00B722AF"/>
    <w:rsid w:val="00B767D8"/>
    <w:rsid w:val="00B77B23"/>
    <w:rsid w:val="00B83570"/>
    <w:rsid w:val="00B92E0E"/>
    <w:rsid w:val="00B96B06"/>
    <w:rsid w:val="00BA2D59"/>
    <w:rsid w:val="00BA4C64"/>
    <w:rsid w:val="00BA5C75"/>
    <w:rsid w:val="00BA6C69"/>
    <w:rsid w:val="00BB20A0"/>
    <w:rsid w:val="00BB376F"/>
    <w:rsid w:val="00BB7A08"/>
    <w:rsid w:val="00BC245E"/>
    <w:rsid w:val="00BC7431"/>
    <w:rsid w:val="00BD4737"/>
    <w:rsid w:val="00BD70D8"/>
    <w:rsid w:val="00BE5EBD"/>
    <w:rsid w:val="00BE7A51"/>
    <w:rsid w:val="00BF2C1C"/>
    <w:rsid w:val="00BF324B"/>
    <w:rsid w:val="00BF3B72"/>
    <w:rsid w:val="00BF51BF"/>
    <w:rsid w:val="00C06465"/>
    <w:rsid w:val="00C1235C"/>
    <w:rsid w:val="00C142F0"/>
    <w:rsid w:val="00C14CC7"/>
    <w:rsid w:val="00C164F7"/>
    <w:rsid w:val="00C218FD"/>
    <w:rsid w:val="00C27B8C"/>
    <w:rsid w:val="00C36E68"/>
    <w:rsid w:val="00C37927"/>
    <w:rsid w:val="00C4248F"/>
    <w:rsid w:val="00C42546"/>
    <w:rsid w:val="00C43612"/>
    <w:rsid w:val="00C50A27"/>
    <w:rsid w:val="00C5529D"/>
    <w:rsid w:val="00C56103"/>
    <w:rsid w:val="00C67E0E"/>
    <w:rsid w:val="00C70667"/>
    <w:rsid w:val="00C74117"/>
    <w:rsid w:val="00C7452B"/>
    <w:rsid w:val="00C7490F"/>
    <w:rsid w:val="00C80991"/>
    <w:rsid w:val="00C8353A"/>
    <w:rsid w:val="00C83DD2"/>
    <w:rsid w:val="00C86C09"/>
    <w:rsid w:val="00C95D79"/>
    <w:rsid w:val="00C96AFF"/>
    <w:rsid w:val="00CA7CCD"/>
    <w:rsid w:val="00CB1EF3"/>
    <w:rsid w:val="00CB37AD"/>
    <w:rsid w:val="00CB4769"/>
    <w:rsid w:val="00CB6899"/>
    <w:rsid w:val="00CC087C"/>
    <w:rsid w:val="00CC13B6"/>
    <w:rsid w:val="00CC1F61"/>
    <w:rsid w:val="00CC3286"/>
    <w:rsid w:val="00CC46E4"/>
    <w:rsid w:val="00CC627D"/>
    <w:rsid w:val="00CC663F"/>
    <w:rsid w:val="00CD2606"/>
    <w:rsid w:val="00CD4CF5"/>
    <w:rsid w:val="00CE08E4"/>
    <w:rsid w:val="00CE5AA8"/>
    <w:rsid w:val="00CE5BEE"/>
    <w:rsid w:val="00D036E4"/>
    <w:rsid w:val="00D22BD4"/>
    <w:rsid w:val="00D2429A"/>
    <w:rsid w:val="00D3096E"/>
    <w:rsid w:val="00D334D3"/>
    <w:rsid w:val="00D36083"/>
    <w:rsid w:val="00D406AA"/>
    <w:rsid w:val="00D465A0"/>
    <w:rsid w:val="00D53B13"/>
    <w:rsid w:val="00D53BB5"/>
    <w:rsid w:val="00D64DB3"/>
    <w:rsid w:val="00D709EC"/>
    <w:rsid w:val="00D739ED"/>
    <w:rsid w:val="00D73B80"/>
    <w:rsid w:val="00D80C9C"/>
    <w:rsid w:val="00D81EEB"/>
    <w:rsid w:val="00D83345"/>
    <w:rsid w:val="00D9059C"/>
    <w:rsid w:val="00D90745"/>
    <w:rsid w:val="00D921A8"/>
    <w:rsid w:val="00D93A0B"/>
    <w:rsid w:val="00D94A1A"/>
    <w:rsid w:val="00D96D68"/>
    <w:rsid w:val="00D97949"/>
    <w:rsid w:val="00DA3896"/>
    <w:rsid w:val="00DA3909"/>
    <w:rsid w:val="00DA50E7"/>
    <w:rsid w:val="00DB0AC1"/>
    <w:rsid w:val="00DB1CDC"/>
    <w:rsid w:val="00DC21FF"/>
    <w:rsid w:val="00DC2F22"/>
    <w:rsid w:val="00DC4910"/>
    <w:rsid w:val="00DC7DB8"/>
    <w:rsid w:val="00DD1AEF"/>
    <w:rsid w:val="00DD435A"/>
    <w:rsid w:val="00DD5E27"/>
    <w:rsid w:val="00DD77E3"/>
    <w:rsid w:val="00DE055F"/>
    <w:rsid w:val="00DE1937"/>
    <w:rsid w:val="00DE5488"/>
    <w:rsid w:val="00DF1E54"/>
    <w:rsid w:val="00DF3068"/>
    <w:rsid w:val="00DF3FC0"/>
    <w:rsid w:val="00DF43E2"/>
    <w:rsid w:val="00DF52DD"/>
    <w:rsid w:val="00E00237"/>
    <w:rsid w:val="00E0749C"/>
    <w:rsid w:val="00E112D0"/>
    <w:rsid w:val="00E14FF3"/>
    <w:rsid w:val="00E2206B"/>
    <w:rsid w:val="00E276B3"/>
    <w:rsid w:val="00E27B71"/>
    <w:rsid w:val="00E315FA"/>
    <w:rsid w:val="00E377E3"/>
    <w:rsid w:val="00E41658"/>
    <w:rsid w:val="00E47681"/>
    <w:rsid w:val="00E5019A"/>
    <w:rsid w:val="00E547D5"/>
    <w:rsid w:val="00E55125"/>
    <w:rsid w:val="00E55C5B"/>
    <w:rsid w:val="00E56313"/>
    <w:rsid w:val="00E66117"/>
    <w:rsid w:val="00E67B6B"/>
    <w:rsid w:val="00E71F91"/>
    <w:rsid w:val="00E720F4"/>
    <w:rsid w:val="00E800F0"/>
    <w:rsid w:val="00E80A10"/>
    <w:rsid w:val="00E83C59"/>
    <w:rsid w:val="00EA0B1E"/>
    <w:rsid w:val="00EA23BE"/>
    <w:rsid w:val="00EA52AE"/>
    <w:rsid w:val="00EB53FF"/>
    <w:rsid w:val="00EC70C0"/>
    <w:rsid w:val="00EC7FF6"/>
    <w:rsid w:val="00ED2D9A"/>
    <w:rsid w:val="00ED41AE"/>
    <w:rsid w:val="00EE138C"/>
    <w:rsid w:val="00EE4164"/>
    <w:rsid w:val="00EE64A9"/>
    <w:rsid w:val="00EF0135"/>
    <w:rsid w:val="00EF1E2A"/>
    <w:rsid w:val="00EF5DC7"/>
    <w:rsid w:val="00F0328C"/>
    <w:rsid w:val="00F06168"/>
    <w:rsid w:val="00F066BF"/>
    <w:rsid w:val="00F2473D"/>
    <w:rsid w:val="00F32A21"/>
    <w:rsid w:val="00F33A7C"/>
    <w:rsid w:val="00F45551"/>
    <w:rsid w:val="00F51D6E"/>
    <w:rsid w:val="00F757E8"/>
    <w:rsid w:val="00F775A4"/>
    <w:rsid w:val="00F8396A"/>
    <w:rsid w:val="00F919CF"/>
    <w:rsid w:val="00F92BF2"/>
    <w:rsid w:val="00F95978"/>
    <w:rsid w:val="00F96D44"/>
    <w:rsid w:val="00FA30B8"/>
    <w:rsid w:val="00FB1F0F"/>
    <w:rsid w:val="00FB26A4"/>
    <w:rsid w:val="00FB348A"/>
    <w:rsid w:val="00FB557B"/>
    <w:rsid w:val="00FB7B61"/>
    <w:rsid w:val="00FC03A7"/>
    <w:rsid w:val="00FC1D6D"/>
    <w:rsid w:val="00FC5BB3"/>
    <w:rsid w:val="00FD2AD8"/>
    <w:rsid w:val="00FD3A53"/>
    <w:rsid w:val="00FE13BB"/>
    <w:rsid w:val="00FF0712"/>
    <w:rsid w:val="00FF145D"/>
    <w:rsid w:val="00FF6E3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71EF20"/>
  <w15:chartTrackingRefBased/>
  <w15:docId w15:val="{0BC8B8FE-A22D-D142-985D-03E8749C2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90FCD"/>
    <w:pPr>
      <w:suppressAutoHyphens/>
      <w:spacing w:after="280" w:line="276" w:lineRule="auto"/>
    </w:pPr>
    <w:rPr>
      <w:rFonts w:ascii="Arial" w:hAnsi="Arial" w:cs="Arial"/>
      <w:sz w:val="24"/>
      <w:szCs w:val="32"/>
      <w:lang w:val="en-AU" w:eastAsia="en-US"/>
    </w:rPr>
  </w:style>
  <w:style w:type="paragraph" w:styleId="Heading1">
    <w:name w:val="heading 1"/>
    <w:basedOn w:val="Normal"/>
    <w:next w:val="Normal"/>
    <w:link w:val="Heading1Char"/>
    <w:uiPriority w:val="9"/>
    <w:qFormat/>
    <w:rsid w:val="00822CC2"/>
    <w:pPr>
      <w:keepNext/>
      <w:keepLines/>
      <w:pageBreakBefore/>
      <w:spacing w:before="480"/>
      <w:outlineLvl w:val="0"/>
    </w:pPr>
    <w:rPr>
      <w:rFonts w:eastAsia="MS Gothic" w:cs="Times New Roman"/>
      <w:b/>
      <w:bCs/>
      <w:sz w:val="36"/>
    </w:rPr>
  </w:style>
  <w:style w:type="paragraph" w:styleId="Heading2">
    <w:name w:val="heading 2"/>
    <w:basedOn w:val="Normal"/>
    <w:next w:val="Normal"/>
    <w:link w:val="Heading2Char"/>
    <w:uiPriority w:val="9"/>
    <w:unhideWhenUsed/>
    <w:qFormat/>
    <w:rsid w:val="005727EC"/>
    <w:pPr>
      <w:keepNext/>
      <w:keepLines/>
      <w:spacing w:before="360"/>
      <w:outlineLvl w:val="1"/>
    </w:pPr>
    <w:rPr>
      <w:rFonts w:eastAsia="MS Gothic" w:cs="Times New Roman"/>
      <w:b/>
      <w:bCs/>
      <w:sz w:val="32"/>
      <w:szCs w:val="26"/>
    </w:rPr>
  </w:style>
  <w:style w:type="paragraph" w:styleId="Heading3">
    <w:name w:val="heading 3"/>
    <w:basedOn w:val="Normal"/>
    <w:next w:val="Normal"/>
    <w:link w:val="Heading3Char"/>
    <w:uiPriority w:val="9"/>
    <w:unhideWhenUsed/>
    <w:qFormat/>
    <w:rsid w:val="005727EC"/>
    <w:pPr>
      <w:keepNext/>
      <w:keepLines/>
      <w:spacing w:before="200"/>
      <w:outlineLvl w:val="2"/>
    </w:pPr>
    <w:rPr>
      <w:rFonts w:eastAsia="MS Gothic"/>
      <w:b/>
      <w:bCs/>
      <w:sz w:val="28"/>
    </w:rPr>
  </w:style>
  <w:style w:type="paragraph" w:styleId="Heading4">
    <w:name w:val="heading 4"/>
    <w:basedOn w:val="Normal"/>
    <w:next w:val="Normal"/>
    <w:link w:val="Heading4Char"/>
    <w:uiPriority w:val="9"/>
    <w:unhideWhenUsed/>
    <w:qFormat/>
    <w:rsid w:val="008B7685"/>
    <w:pPr>
      <w:keepNext/>
      <w:keepLines/>
      <w:spacing w:before="200"/>
      <w:outlineLvl w:val="3"/>
    </w:pPr>
    <w:rPr>
      <w:rFonts w:eastAsia="MS Gothic"/>
      <w:b/>
      <w:bCs/>
      <w:iCs/>
    </w:rPr>
  </w:style>
  <w:style w:type="paragraph" w:styleId="Heading5">
    <w:name w:val="heading 5"/>
    <w:basedOn w:val="Normal"/>
    <w:next w:val="Normal"/>
    <w:link w:val="Heading5Char"/>
    <w:uiPriority w:val="9"/>
    <w:unhideWhenUsed/>
    <w:qFormat/>
    <w:rsid w:val="00E56313"/>
    <w:pPr>
      <w:numPr>
        <w:ilvl w:val="4"/>
        <w:numId w:val="2"/>
      </w:numPr>
      <w:spacing w:before="240" w:after="60"/>
      <w:outlineLvl w:val="4"/>
    </w:pPr>
    <w:rPr>
      <w:rFonts w:cs="Times New Roman"/>
      <w:b/>
      <w:bCs/>
      <w:iCs/>
      <w:sz w:val="22"/>
      <w:szCs w:val="26"/>
    </w:rPr>
  </w:style>
  <w:style w:type="paragraph" w:styleId="Heading6">
    <w:name w:val="heading 6"/>
    <w:basedOn w:val="Normal"/>
    <w:next w:val="Normal"/>
    <w:link w:val="Heading6Char"/>
    <w:uiPriority w:val="9"/>
    <w:semiHidden/>
    <w:unhideWhenUsed/>
    <w:qFormat/>
    <w:rsid w:val="00E56313"/>
    <w:pPr>
      <w:numPr>
        <w:ilvl w:val="5"/>
        <w:numId w:val="2"/>
      </w:numPr>
      <w:spacing w:before="240" w:after="60"/>
      <w:outlineLvl w:val="5"/>
    </w:pPr>
    <w:rPr>
      <w:rFonts w:eastAsia="Times New Roman" w:cs="Times New Roman"/>
      <w:b/>
      <w:bCs/>
      <w:sz w:val="18"/>
      <w:szCs w:val="22"/>
    </w:rPr>
  </w:style>
  <w:style w:type="paragraph" w:styleId="Heading7">
    <w:name w:val="heading 7"/>
    <w:basedOn w:val="Normal"/>
    <w:next w:val="Normal"/>
    <w:link w:val="Heading7Char"/>
    <w:uiPriority w:val="9"/>
    <w:semiHidden/>
    <w:unhideWhenUsed/>
    <w:qFormat/>
    <w:rsid w:val="00577152"/>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7715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7715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36BA3"/>
    <w:rPr>
      <w:rFonts w:ascii="Arial" w:eastAsia="MS Gothic" w:hAnsi="Arial"/>
      <w:b/>
      <w:bCs/>
      <w:sz w:val="36"/>
      <w:szCs w:val="32"/>
      <w:lang w:val="en-AU" w:eastAsia="en-US"/>
    </w:rPr>
  </w:style>
  <w:style w:type="character" w:customStyle="1" w:styleId="Heading2Char">
    <w:name w:val="Heading 2 Char"/>
    <w:link w:val="Heading2"/>
    <w:uiPriority w:val="9"/>
    <w:rsid w:val="00A36BA3"/>
    <w:rPr>
      <w:rFonts w:ascii="Arial" w:eastAsia="MS Gothic" w:hAnsi="Arial"/>
      <w:b/>
      <w:bCs/>
      <w:sz w:val="32"/>
      <w:szCs w:val="26"/>
      <w:lang w:val="en-AU" w:eastAsia="en-US"/>
    </w:rPr>
  </w:style>
  <w:style w:type="character" w:customStyle="1" w:styleId="Heading3Char">
    <w:name w:val="Heading 3 Char"/>
    <w:link w:val="Heading3"/>
    <w:uiPriority w:val="9"/>
    <w:rsid w:val="00AE761E"/>
    <w:rPr>
      <w:rFonts w:ascii="Arial" w:eastAsia="MS Gothic" w:hAnsi="Arial" w:cs="Arial"/>
      <w:b/>
      <w:bCs/>
      <w:sz w:val="28"/>
      <w:szCs w:val="32"/>
      <w:lang w:val="en-AU" w:eastAsia="en-US"/>
    </w:rPr>
  </w:style>
  <w:style w:type="character" w:customStyle="1" w:styleId="Heading4Char">
    <w:name w:val="Heading 4 Char"/>
    <w:link w:val="Heading4"/>
    <w:uiPriority w:val="9"/>
    <w:rsid w:val="008B7685"/>
    <w:rPr>
      <w:rFonts w:ascii="Arial" w:eastAsia="MS Gothic" w:hAnsi="Arial" w:cs="Arial"/>
      <w:b/>
      <w:bCs/>
      <w:iCs/>
      <w:sz w:val="24"/>
      <w:szCs w:val="32"/>
      <w:lang w:val="en-AU" w:eastAsia="en-US"/>
    </w:rPr>
  </w:style>
  <w:style w:type="character" w:customStyle="1" w:styleId="Heading5Char">
    <w:name w:val="Heading 5 Char"/>
    <w:link w:val="Heading5"/>
    <w:uiPriority w:val="9"/>
    <w:rsid w:val="00E56313"/>
    <w:rPr>
      <w:rFonts w:ascii="Arial" w:hAnsi="Arial"/>
      <w:b/>
      <w:bCs/>
      <w:iCs/>
      <w:sz w:val="22"/>
      <w:szCs w:val="26"/>
      <w:lang w:val="en-AU" w:eastAsia="en-US"/>
    </w:rPr>
  </w:style>
  <w:style w:type="paragraph" w:styleId="Title">
    <w:name w:val="Title"/>
    <w:basedOn w:val="Normal"/>
    <w:next w:val="Normal"/>
    <w:link w:val="TitleChar"/>
    <w:uiPriority w:val="99"/>
    <w:qFormat/>
    <w:rsid w:val="008B7685"/>
    <w:pPr>
      <w:spacing w:after="240" w:line="240" w:lineRule="auto"/>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8B7685"/>
    <w:rPr>
      <w:rFonts w:asciiTheme="majorHAnsi" w:eastAsiaTheme="majorEastAsia" w:hAnsiTheme="majorHAnsi" w:cstheme="majorBidi"/>
      <w:spacing w:val="-10"/>
      <w:kern w:val="28"/>
      <w:sz w:val="56"/>
      <w:szCs w:val="56"/>
      <w:lang w:val="en-US" w:eastAsia="en-US"/>
    </w:rPr>
  </w:style>
  <w:style w:type="character" w:styleId="FollowedHyperlink">
    <w:name w:val="FollowedHyperlink"/>
    <w:uiPriority w:val="99"/>
    <w:semiHidden/>
    <w:unhideWhenUsed/>
    <w:rsid w:val="0082630D"/>
    <w:rPr>
      <w:color w:val="800080"/>
      <w:u w:val="single"/>
    </w:rPr>
  </w:style>
  <w:style w:type="paragraph" w:customStyle="1" w:styleId="Bullet">
    <w:name w:val="Bullet"/>
    <w:basedOn w:val="Normal"/>
    <w:qFormat/>
    <w:rsid w:val="008B7685"/>
    <w:pPr>
      <w:numPr>
        <w:numId w:val="8"/>
      </w:numPr>
      <w:spacing w:after="140"/>
    </w:pPr>
  </w:style>
  <w:style w:type="table" w:styleId="TableGrid">
    <w:name w:val="Table Grid"/>
    <w:basedOn w:val="TableNormal"/>
    <w:uiPriority w:val="59"/>
    <w:rsid w:val="008B76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customStyle="1" w:styleId="TableCopy">
    <w:name w:val="Table Copy"/>
    <w:basedOn w:val="Normal"/>
    <w:qFormat/>
    <w:rsid w:val="008B7685"/>
    <w:pPr>
      <w:spacing w:after="140"/>
    </w:pPr>
  </w:style>
  <w:style w:type="paragraph" w:customStyle="1" w:styleId="TableHeading">
    <w:name w:val="Table Heading"/>
    <w:basedOn w:val="Normal"/>
    <w:qFormat/>
    <w:rsid w:val="008B7685"/>
    <w:pPr>
      <w:keepNext/>
      <w:spacing w:after="60"/>
    </w:pPr>
    <w:rPr>
      <w:b/>
      <w:lang w:eastAsia="en-GB"/>
    </w:rPr>
  </w:style>
  <w:style w:type="paragraph" w:styleId="BalloonText">
    <w:name w:val="Balloon Text"/>
    <w:basedOn w:val="Normal"/>
    <w:link w:val="BalloonTextChar"/>
    <w:uiPriority w:val="99"/>
    <w:semiHidden/>
    <w:unhideWhenUsed/>
    <w:rsid w:val="00E47681"/>
    <w:rPr>
      <w:rFonts w:ascii="Lucida Grande" w:hAnsi="Lucida Grande" w:cs="Lucida Grande"/>
      <w:sz w:val="18"/>
      <w:szCs w:val="18"/>
    </w:rPr>
  </w:style>
  <w:style w:type="character" w:customStyle="1" w:styleId="BalloonTextChar">
    <w:name w:val="Balloon Text Char"/>
    <w:link w:val="BalloonText"/>
    <w:uiPriority w:val="99"/>
    <w:semiHidden/>
    <w:rsid w:val="00E47681"/>
    <w:rPr>
      <w:rFonts w:ascii="Lucida Grande" w:hAnsi="Lucida Grande" w:cs="Lucida Grande"/>
      <w:sz w:val="18"/>
      <w:szCs w:val="18"/>
      <w:lang w:val="en-US"/>
    </w:rPr>
  </w:style>
  <w:style w:type="character" w:styleId="Hyperlink">
    <w:name w:val="Hyperlink"/>
    <w:uiPriority w:val="99"/>
    <w:unhideWhenUsed/>
    <w:rsid w:val="008B7685"/>
    <w:rPr>
      <w:rFonts w:ascii="Arial" w:hAnsi="Arial"/>
      <w:color w:val="0000FF"/>
      <w:u w:val="single"/>
    </w:rPr>
  </w:style>
  <w:style w:type="paragraph" w:styleId="FootnoteText">
    <w:name w:val="footnote text"/>
    <w:basedOn w:val="Normal"/>
    <w:link w:val="FootnoteTextChar"/>
    <w:uiPriority w:val="99"/>
    <w:unhideWhenUsed/>
    <w:rsid w:val="008B7685"/>
    <w:pPr>
      <w:spacing w:after="60"/>
    </w:pPr>
    <w:rPr>
      <w:sz w:val="20"/>
    </w:rPr>
  </w:style>
  <w:style w:type="character" w:customStyle="1" w:styleId="FootnoteTextChar">
    <w:name w:val="Footnote Text Char"/>
    <w:link w:val="FootnoteText"/>
    <w:uiPriority w:val="99"/>
    <w:rsid w:val="008B7685"/>
    <w:rPr>
      <w:rFonts w:ascii="Arial" w:hAnsi="Arial" w:cs="Arial"/>
      <w:szCs w:val="32"/>
      <w:lang w:val="en-AU" w:eastAsia="en-US"/>
    </w:rPr>
  </w:style>
  <w:style w:type="paragraph" w:customStyle="1" w:styleId="TableBullet">
    <w:name w:val="Table Bullet"/>
    <w:basedOn w:val="TableCopy"/>
    <w:qFormat/>
    <w:rsid w:val="008B7685"/>
    <w:pPr>
      <w:numPr>
        <w:numId w:val="9"/>
      </w:numPr>
      <w:spacing w:before="60" w:after="60"/>
    </w:pPr>
    <w:rPr>
      <w:szCs w:val="22"/>
    </w:rPr>
  </w:style>
  <w:style w:type="character" w:styleId="PageNumber">
    <w:name w:val="page number"/>
    <w:uiPriority w:val="99"/>
    <w:semiHidden/>
    <w:unhideWhenUsed/>
    <w:rsid w:val="0065327B"/>
  </w:style>
  <w:style w:type="paragraph" w:styleId="TOC1">
    <w:name w:val="toc 1"/>
    <w:basedOn w:val="Normal"/>
    <w:next w:val="Normal"/>
    <w:autoRedefine/>
    <w:uiPriority w:val="39"/>
    <w:unhideWhenUsed/>
    <w:rsid w:val="008B7685"/>
    <w:pPr>
      <w:spacing w:before="120" w:after="0"/>
    </w:pPr>
    <w:rPr>
      <w:b/>
    </w:rPr>
  </w:style>
  <w:style w:type="paragraph" w:styleId="TOC2">
    <w:name w:val="toc 2"/>
    <w:basedOn w:val="Normal"/>
    <w:next w:val="Normal"/>
    <w:autoRedefine/>
    <w:uiPriority w:val="39"/>
    <w:unhideWhenUsed/>
    <w:rsid w:val="008B7685"/>
    <w:pPr>
      <w:spacing w:after="0"/>
      <w:ind w:left="200"/>
    </w:pPr>
    <w:rPr>
      <w:szCs w:val="22"/>
    </w:rPr>
  </w:style>
  <w:style w:type="paragraph" w:styleId="TOC4">
    <w:name w:val="toc 4"/>
    <w:basedOn w:val="Normal"/>
    <w:next w:val="Normal"/>
    <w:autoRedefine/>
    <w:uiPriority w:val="39"/>
    <w:semiHidden/>
    <w:unhideWhenUsed/>
    <w:rsid w:val="0065327B"/>
    <w:pPr>
      <w:spacing w:after="0"/>
      <w:ind w:left="600"/>
    </w:pPr>
    <w:rPr>
      <w:rFonts w:cstheme="minorHAnsi"/>
      <w:szCs w:val="20"/>
    </w:rPr>
  </w:style>
  <w:style w:type="paragraph" w:styleId="TOC5">
    <w:name w:val="toc 5"/>
    <w:basedOn w:val="Normal"/>
    <w:next w:val="Normal"/>
    <w:autoRedefine/>
    <w:uiPriority w:val="39"/>
    <w:semiHidden/>
    <w:unhideWhenUsed/>
    <w:rsid w:val="0065327B"/>
    <w:pPr>
      <w:spacing w:after="0"/>
      <w:ind w:left="800"/>
    </w:pPr>
    <w:rPr>
      <w:rFonts w:cstheme="minorHAnsi"/>
      <w:szCs w:val="20"/>
    </w:rPr>
  </w:style>
  <w:style w:type="paragraph" w:styleId="TOC6">
    <w:name w:val="toc 6"/>
    <w:basedOn w:val="Normal"/>
    <w:next w:val="Normal"/>
    <w:autoRedefine/>
    <w:uiPriority w:val="39"/>
    <w:semiHidden/>
    <w:unhideWhenUsed/>
    <w:rsid w:val="0065327B"/>
    <w:pPr>
      <w:spacing w:after="0"/>
      <w:ind w:left="1000"/>
    </w:pPr>
    <w:rPr>
      <w:rFonts w:cstheme="minorHAnsi"/>
      <w:szCs w:val="20"/>
    </w:rPr>
  </w:style>
  <w:style w:type="paragraph" w:styleId="TOC7">
    <w:name w:val="toc 7"/>
    <w:basedOn w:val="Normal"/>
    <w:next w:val="Normal"/>
    <w:autoRedefine/>
    <w:uiPriority w:val="39"/>
    <w:semiHidden/>
    <w:unhideWhenUsed/>
    <w:rsid w:val="0065327B"/>
    <w:pPr>
      <w:spacing w:after="0"/>
      <w:ind w:left="1200"/>
    </w:pPr>
    <w:rPr>
      <w:rFonts w:cstheme="minorHAnsi"/>
      <w:szCs w:val="20"/>
    </w:rPr>
  </w:style>
  <w:style w:type="paragraph" w:styleId="TOC8">
    <w:name w:val="toc 8"/>
    <w:basedOn w:val="Normal"/>
    <w:next w:val="Normal"/>
    <w:autoRedefine/>
    <w:uiPriority w:val="39"/>
    <w:semiHidden/>
    <w:unhideWhenUsed/>
    <w:rsid w:val="0065327B"/>
    <w:pPr>
      <w:spacing w:after="0"/>
      <w:ind w:left="1400"/>
    </w:pPr>
    <w:rPr>
      <w:rFonts w:cstheme="minorHAnsi"/>
      <w:szCs w:val="20"/>
    </w:rPr>
  </w:style>
  <w:style w:type="paragraph" w:styleId="TOC9">
    <w:name w:val="toc 9"/>
    <w:basedOn w:val="Normal"/>
    <w:next w:val="Normal"/>
    <w:autoRedefine/>
    <w:uiPriority w:val="39"/>
    <w:semiHidden/>
    <w:unhideWhenUsed/>
    <w:rsid w:val="0065327B"/>
    <w:pPr>
      <w:spacing w:after="0"/>
      <w:ind w:left="1600"/>
    </w:pPr>
    <w:rPr>
      <w:rFonts w:cstheme="minorHAnsi"/>
      <w:szCs w:val="20"/>
    </w:rPr>
  </w:style>
  <w:style w:type="paragraph" w:styleId="Header">
    <w:name w:val="header"/>
    <w:basedOn w:val="Normal"/>
    <w:link w:val="HeaderChar"/>
    <w:uiPriority w:val="99"/>
    <w:unhideWhenUsed/>
    <w:rsid w:val="007D0491"/>
    <w:pPr>
      <w:tabs>
        <w:tab w:val="center" w:pos="4320"/>
        <w:tab w:val="right" w:pos="8640"/>
      </w:tabs>
    </w:pPr>
  </w:style>
  <w:style w:type="character" w:customStyle="1" w:styleId="HeaderChar">
    <w:name w:val="Header Char"/>
    <w:link w:val="Header"/>
    <w:uiPriority w:val="99"/>
    <w:rsid w:val="007D0491"/>
    <w:rPr>
      <w:rFonts w:ascii="Arial" w:hAnsi="Arial"/>
      <w:szCs w:val="24"/>
      <w:lang w:val="en-US"/>
    </w:rPr>
  </w:style>
  <w:style w:type="paragraph" w:styleId="Footer">
    <w:name w:val="footer"/>
    <w:basedOn w:val="Normal"/>
    <w:link w:val="FooterChar"/>
    <w:uiPriority w:val="99"/>
    <w:unhideWhenUsed/>
    <w:rsid w:val="00BB7A08"/>
    <w:pPr>
      <w:tabs>
        <w:tab w:val="center" w:pos="4320"/>
        <w:tab w:val="right" w:pos="8640"/>
      </w:tabs>
    </w:pPr>
    <w:rPr>
      <w:sz w:val="16"/>
    </w:rPr>
  </w:style>
  <w:style w:type="character" w:customStyle="1" w:styleId="FooterChar">
    <w:name w:val="Footer Char"/>
    <w:link w:val="Footer"/>
    <w:uiPriority w:val="99"/>
    <w:rsid w:val="00BB7A08"/>
    <w:rPr>
      <w:rFonts w:ascii="Arial" w:hAnsi="Arial"/>
      <w:sz w:val="16"/>
      <w:szCs w:val="24"/>
    </w:rPr>
  </w:style>
  <w:style w:type="paragraph" w:styleId="BodyTextIndent">
    <w:name w:val="Body Text Indent"/>
    <w:basedOn w:val="Normal"/>
    <w:link w:val="BodyTextIndentChar"/>
    <w:uiPriority w:val="99"/>
    <w:semiHidden/>
    <w:unhideWhenUsed/>
    <w:rsid w:val="009B221C"/>
    <w:pPr>
      <w:spacing w:after="120"/>
      <w:ind w:left="283"/>
    </w:pPr>
  </w:style>
  <w:style w:type="character" w:customStyle="1" w:styleId="BodyTextIndentChar">
    <w:name w:val="Body Text Indent Char"/>
    <w:link w:val="BodyTextIndent"/>
    <w:uiPriority w:val="99"/>
    <w:semiHidden/>
    <w:rsid w:val="009B221C"/>
    <w:rPr>
      <w:rFonts w:ascii="Arial" w:hAnsi="Arial"/>
      <w:szCs w:val="24"/>
    </w:rPr>
  </w:style>
  <w:style w:type="paragraph" w:styleId="BodyText">
    <w:name w:val="Body Text"/>
    <w:basedOn w:val="Normal"/>
    <w:link w:val="BodyTextChar"/>
    <w:uiPriority w:val="99"/>
    <w:semiHidden/>
    <w:unhideWhenUsed/>
    <w:rsid w:val="0061599A"/>
    <w:pPr>
      <w:spacing w:after="120"/>
    </w:pPr>
  </w:style>
  <w:style w:type="character" w:customStyle="1" w:styleId="BodyTextChar">
    <w:name w:val="Body Text Char"/>
    <w:link w:val="BodyText"/>
    <w:uiPriority w:val="99"/>
    <w:semiHidden/>
    <w:rsid w:val="0061599A"/>
    <w:rPr>
      <w:rFonts w:ascii="Tahoma" w:hAnsi="Tahoma"/>
      <w:szCs w:val="24"/>
      <w:lang w:val="en-US"/>
    </w:rPr>
  </w:style>
  <w:style w:type="character" w:styleId="FootnoteReference">
    <w:name w:val="footnote reference"/>
    <w:uiPriority w:val="99"/>
    <w:unhideWhenUsed/>
    <w:rsid w:val="008B7685"/>
    <w:rPr>
      <w:rFonts w:ascii="Arial" w:hAnsi="Arial"/>
      <w:vertAlign w:val="superscript"/>
    </w:rPr>
  </w:style>
  <w:style w:type="character" w:styleId="CommentReference">
    <w:name w:val="annotation reference"/>
    <w:basedOn w:val="DefaultParagraphFont"/>
    <w:uiPriority w:val="99"/>
    <w:semiHidden/>
    <w:unhideWhenUsed/>
    <w:rsid w:val="00884B44"/>
    <w:rPr>
      <w:sz w:val="16"/>
      <w:szCs w:val="16"/>
    </w:rPr>
  </w:style>
  <w:style w:type="paragraph" w:styleId="Subtitle">
    <w:name w:val="Subtitle"/>
    <w:basedOn w:val="Normal"/>
    <w:next w:val="Normal"/>
    <w:link w:val="SubtitleChar"/>
    <w:uiPriority w:val="99"/>
    <w:qFormat/>
    <w:rsid w:val="008B7685"/>
    <w:pPr>
      <w:spacing w:after="240"/>
      <w:outlineLvl w:val="1"/>
    </w:pPr>
    <w:rPr>
      <w:rFonts w:eastAsia="Times New Roman" w:cs="Times New Roman"/>
      <w:sz w:val="28"/>
      <w:szCs w:val="36"/>
    </w:rPr>
  </w:style>
  <w:style w:type="character" w:customStyle="1" w:styleId="SubtitleChar">
    <w:name w:val="Subtitle Char"/>
    <w:link w:val="Subtitle"/>
    <w:uiPriority w:val="11"/>
    <w:rsid w:val="008B7685"/>
    <w:rPr>
      <w:rFonts w:ascii="Arial" w:eastAsia="Times New Roman" w:hAnsi="Arial"/>
      <w:sz w:val="28"/>
      <w:szCs w:val="36"/>
      <w:lang w:val="en-AU" w:eastAsia="en-US"/>
    </w:rPr>
  </w:style>
  <w:style w:type="paragraph" w:styleId="CommentText">
    <w:name w:val="annotation text"/>
    <w:basedOn w:val="Normal"/>
    <w:link w:val="CommentTextChar"/>
    <w:uiPriority w:val="99"/>
    <w:semiHidden/>
    <w:unhideWhenUsed/>
    <w:rsid w:val="00884B44"/>
    <w:pPr>
      <w:spacing w:line="240" w:lineRule="auto"/>
    </w:pPr>
    <w:rPr>
      <w:sz w:val="20"/>
      <w:szCs w:val="20"/>
    </w:rPr>
  </w:style>
  <w:style w:type="character" w:customStyle="1" w:styleId="CommentTextChar">
    <w:name w:val="Comment Text Char"/>
    <w:basedOn w:val="DefaultParagraphFont"/>
    <w:link w:val="CommentText"/>
    <w:uiPriority w:val="99"/>
    <w:semiHidden/>
    <w:rsid w:val="00884B44"/>
    <w:rPr>
      <w:rFonts w:ascii="Arial" w:hAnsi="Arial" w:cs="Arial"/>
      <w:lang w:val="en-AU" w:eastAsia="en-US"/>
    </w:rPr>
  </w:style>
  <w:style w:type="paragraph" w:styleId="CommentSubject">
    <w:name w:val="annotation subject"/>
    <w:basedOn w:val="CommentText"/>
    <w:next w:val="CommentText"/>
    <w:link w:val="CommentSubjectChar"/>
    <w:uiPriority w:val="99"/>
    <w:semiHidden/>
    <w:unhideWhenUsed/>
    <w:rsid w:val="00884B44"/>
    <w:rPr>
      <w:b/>
      <w:bCs/>
    </w:rPr>
  </w:style>
  <w:style w:type="character" w:customStyle="1" w:styleId="CommentSubjectChar">
    <w:name w:val="Comment Subject Char"/>
    <w:basedOn w:val="CommentTextChar"/>
    <w:link w:val="CommentSubject"/>
    <w:uiPriority w:val="99"/>
    <w:semiHidden/>
    <w:rsid w:val="00884B44"/>
    <w:rPr>
      <w:rFonts w:ascii="Arial" w:hAnsi="Arial" w:cs="Arial"/>
      <w:b/>
      <w:bCs/>
      <w:lang w:val="en-AU" w:eastAsia="en-US"/>
    </w:rPr>
  </w:style>
  <w:style w:type="character" w:customStyle="1" w:styleId="Heading6Char">
    <w:name w:val="Heading 6 Char"/>
    <w:link w:val="Heading6"/>
    <w:uiPriority w:val="9"/>
    <w:semiHidden/>
    <w:rsid w:val="00E56313"/>
    <w:rPr>
      <w:rFonts w:ascii="Arial" w:eastAsia="Times New Roman" w:hAnsi="Arial"/>
      <w:b/>
      <w:bCs/>
      <w:sz w:val="18"/>
      <w:szCs w:val="22"/>
      <w:lang w:val="en-AU" w:eastAsia="en-US"/>
    </w:rPr>
  </w:style>
  <w:style w:type="numbering" w:styleId="111111">
    <w:name w:val="Outline List 2"/>
    <w:basedOn w:val="NoList"/>
    <w:uiPriority w:val="99"/>
    <w:semiHidden/>
    <w:unhideWhenUsed/>
    <w:rsid w:val="00AF7F5C"/>
    <w:pPr>
      <w:numPr>
        <w:numId w:val="1"/>
      </w:numPr>
    </w:pPr>
  </w:style>
  <w:style w:type="paragraph" w:styleId="TOCHeading">
    <w:name w:val="TOC Heading"/>
    <w:basedOn w:val="Heading1"/>
    <w:next w:val="Normal"/>
    <w:uiPriority w:val="39"/>
    <w:unhideWhenUsed/>
    <w:qFormat/>
    <w:rsid w:val="008B7685"/>
    <w:pPr>
      <w:pageBreakBefore w:val="0"/>
      <w:spacing w:line="360" w:lineRule="auto"/>
      <w:outlineLvl w:val="9"/>
    </w:pPr>
    <w:rPr>
      <w:sz w:val="32"/>
      <w:szCs w:val="28"/>
    </w:rPr>
  </w:style>
  <w:style w:type="paragraph" w:styleId="TOC3">
    <w:name w:val="toc 3"/>
    <w:basedOn w:val="Normal"/>
    <w:next w:val="Normal"/>
    <w:autoRedefine/>
    <w:uiPriority w:val="39"/>
    <w:unhideWhenUsed/>
    <w:rsid w:val="00CE08E4"/>
    <w:pPr>
      <w:spacing w:after="0"/>
      <w:ind w:left="400"/>
    </w:pPr>
    <w:rPr>
      <w:rFonts w:cstheme="minorHAnsi"/>
      <w:szCs w:val="20"/>
    </w:rPr>
  </w:style>
  <w:style w:type="character" w:customStyle="1" w:styleId="Heading7Char">
    <w:name w:val="Heading 7 Char"/>
    <w:basedOn w:val="DefaultParagraphFont"/>
    <w:link w:val="Heading7"/>
    <w:uiPriority w:val="9"/>
    <w:semiHidden/>
    <w:rsid w:val="00577152"/>
    <w:rPr>
      <w:rFonts w:asciiTheme="majorHAnsi" w:eastAsiaTheme="majorEastAsia" w:hAnsiTheme="majorHAnsi" w:cstheme="majorBidi"/>
      <w:i/>
      <w:iCs/>
      <w:color w:val="1F3763" w:themeColor="accent1" w:themeShade="7F"/>
      <w:sz w:val="24"/>
      <w:szCs w:val="32"/>
      <w:lang w:val="en-AU" w:eastAsia="en-US"/>
    </w:rPr>
  </w:style>
  <w:style w:type="character" w:customStyle="1" w:styleId="Heading8Char">
    <w:name w:val="Heading 8 Char"/>
    <w:basedOn w:val="DefaultParagraphFont"/>
    <w:link w:val="Heading8"/>
    <w:uiPriority w:val="9"/>
    <w:semiHidden/>
    <w:rsid w:val="00577152"/>
    <w:rPr>
      <w:rFonts w:asciiTheme="majorHAnsi" w:eastAsiaTheme="majorEastAsia" w:hAnsiTheme="majorHAnsi" w:cstheme="majorBidi"/>
      <w:color w:val="272727" w:themeColor="text1" w:themeTint="D8"/>
      <w:sz w:val="21"/>
      <w:szCs w:val="21"/>
      <w:lang w:val="en-AU" w:eastAsia="en-US"/>
    </w:rPr>
  </w:style>
  <w:style w:type="character" w:customStyle="1" w:styleId="Heading9Char">
    <w:name w:val="Heading 9 Char"/>
    <w:basedOn w:val="DefaultParagraphFont"/>
    <w:link w:val="Heading9"/>
    <w:uiPriority w:val="9"/>
    <w:semiHidden/>
    <w:rsid w:val="00577152"/>
    <w:rPr>
      <w:rFonts w:asciiTheme="majorHAnsi" w:eastAsiaTheme="majorEastAsia" w:hAnsiTheme="majorHAnsi" w:cstheme="majorBidi"/>
      <w:i/>
      <w:iCs/>
      <w:color w:val="272727" w:themeColor="text1" w:themeTint="D8"/>
      <w:sz w:val="21"/>
      <w:szCs w:val="21"/>
      <w:lang w:val="en-AU" w:eastAsia="en-US"/>
    </w:rPr>
  </w:style>
  <w:style w:type="paragraph" w:customStyle="1" w:styleId="NoParagraphStyle">
    <w:name w:val="[No Paragraph Style]"/>
    <w:rsid w:val="000575F7"/>
    <w:pPr>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paragraph" w:customStyle="1" w:styleId="BasicParagraph">
    <w:name w:val="[Basic Paragraph]"/>
    <w:basedOn w:val="NoParagraphStyle"/>
    <w:uiPriority w:val="99"/>
    <w:rsid w:val="000575F7"/>
  </w:style>
  <w:style w:type="numbering" w:customStyle="1" w:styleId="CurrentList1">
    <w:name w:val="Current List1"/>
    <w:uiPriority w:val="99"/>
    <w:rsid w:val="002117EB"/>
    <w:pPr>
      <w:numPr>
        <w:numId w:val="3"/>
      </w:numPr>
    </w:pPr>
  </w:style>
  <w:style w:type="character" w:styleId="UnresolvedMention">
    <w:name w:val="Unresolved Mention"/>
    <w:basedOn w:val="DefaultParagraphFont"/>
    <w:uiPriority w:val="99"/>
    <w:rsid w:val="00106B9B"/>
    <w:rPr>
      <w:color w:val="605E5C"/>
      <w:shd w:val="clear" w:color="auto" w:fill="E1DFDD"/>
    </w:rPr>
  </w:style>
  <w:style w:type="numbering" w:customStyle="1" w:styleId="CurrentList2">
    <w:name w:val="Current List2"/>
    <w:uiPriority w:val="99"/>
    <w:rsid w:val="005863E4"/>
    <w:pPr>
      <w:numPr>
        <w:numId w:val="4"/>
      </w:numPr>
    </w:pPr>
  </w:style>
  <w:style w:type="numbering" w:customStyle="1" w:styleId="CurrentList3">
    <w:name w:val="Current List3"/>
    <w:uiPriority w:val="99"/>
    <w:rsid w:val="005863E4"/>
    <w:pPr>
      <w:numPr>
        <w:numId w:val="5"/>
      </w:numPr>
    </w:pPr>
  </w:style>
  <w:style w:type="numbering" w:customStyle="1" w:styleId="CurrentList4">
    <w:name w:val="Current List4"/>
    <w:uiPriority w:val="99"/>
    <w:rsid w:val="00C8353A"/>
    <w:pPr>
      <w:numPr>
        <w:numId w:val="6"/>
      </w:numPr>
    </w:pPr>
  </w:style>
  <w:style w:type="paragraph" w:customStyle="1" w:styleId="Bullet2">
    <w:name w:val="Bullet 2"/>
    <w:basedOn w:val="Bullet"/>
    <w:qFormat/>
    <w:rsid w:val="008B7685"/>
    <w:pPr>
      <w:numPr>
        <w:numId w:val="7"/>
      </w:numPr>
    </w:pPr>
  </w:style>
  <w:style w:type="paragraph" w:customStyle="1" w:styleId="Bulletlast">
    <w:name w:val="Bullet last"/>
    <w:basedOn w:val="Bullet"/>
    <w:qFormat/>
    <w:rsid w:val="008B7685"/>
    <w:pPr>
      <w:spacing w:after="280"/>
    </w:pPr>
  </w:style>
  <w:style w:type="paragraph" w:customStyle="1" w:styleId="Normalbeforebullets">
    <w:name w:val="Normal before bullets"/>
    <w:basedOn w:val="Normal"/>
    <w:qFormat/>
    <w:rsid w:val="008B7685"/>
    <w:pPr>
      <w:keepNext/>
      <w:spacing w:after="140"/>
    </w:pPr>
  </w:style>
  <w:style w:type="paragraph" w:customStyle="1" w:styleId="TableColumnHeading">
    <w:name w:val="Table Column Heading"/>
    <w:basedOn w:val="TableHeading"/>
    <w:qFormat/>
    <w:rsid w:val="008B7685"/>
    <w:pPr>
      <w:spacing w:before="80" w:after="80"/>
    </w:pPr>
    <w:rPr>
      <w:szCs w:val="36"/>
      <w:lang w:val="en-GB"/>
    </w:rPr>
  </w:style>
  <w:style w:type="character" w:styleId="Strong">
    <w:name w:val="Strong"/>
    <w:basedOn w:val="DefaultParagraphFont"/>
    <w:uiPriority w:val="22"/>
    <w:qFormat/>
    <w:rsid w:val="00E315FA"/>
    <w:rPr>
      <w:b/>
      <w:bCs/>
    </w:rPr>
  </w:style>
  <w:style w:type="numbering" w:customStyle="1" w:styleId="CurrentList12">
    <w:name w:val="Current List12"/>
    <w:uiPriority w:val="99"/>
    <w:rsid w:val="00A36BA3"/>
    <w:pPr>
      <w:numPr>
        <w:numId w:val="17"/>
      </w:numPr>
    </w:pPr>
  </w:style>
  <w:style w:type="numbering" w:customStyle="1" w:styleId="CurrentList5">
    <w:name w:val="Current List5"/>
    <w:uiPriority w:val="99"/>
    <w:rsid w:val="00347FC3"/>
    <w:pPr>
      <w:numPr>
        <w:numId w:val="10"/>
      </w:numPr>
    </w:pPr>
  </w:style>
  <w:style w:type="numbering" w:customStyle="1" w:styleId="CurrentList13">
    <w:name w:val="Current List13"/>
    <w:uiPriority w:val="99"/>
    <w:rsid w:val="00A36BA3"/>
    <w:pPr>
      <w:numPr>
        <w:numId w:val="18"/>
      </w:numPr>
    </w:pPr>
  </w:style>
  <w:style w:type="numbering" w:customStyle="1" w:styleId="CurrentList6">
    <w:name w:val="Current List6"/>
    <w:uiPriority w:val="99"/>
    <w:rsid w:val="0057279C"/>
    <w:pPr>
      <w:numPr>
        <w:numId w:val="11"/>
      </w:numPr>
    </w:pPr>
  </w:style>
  <w:style w:type="numbering" w:customStyle="1" w:styleId="CurrentList14">
    <w:name w:val="Current List14"/>
    <w:uiPriority w:val="99"/>
    <w:rsid w:val="00A36BA3"/>
    <w:pPr>
      <w:numPr>
        <w:numId w:val="19"/>
      </w:numPr>
    </w:pPr>
  </w:style>
  <w:style w:type="numbering" w:customStyle="1" w:styleId="CurrentList7">
    <w:name w:val="Current List7"/>
    <w:uiPriority w:val="99"/>
    <w:rsid w:val="00EE4164"/>
    <w:pPr>
      <w:numPr>
        <w:numId w:val="12"/>
      </w:numPr>
    </w:pPr>
  </w:style>
  <w:style w:type="numbering" w:customStyle="1" w:styleId="CurrentList8">
    <w:name w:val="Current List8"/>
    <w:uiPriority w:val="99"/>
    <w:rsid w:val="00EE4164"/>
    <w:pPr>
      <w:numPr>
        <w:numId w:val="13"/>
      </w:numPr>
    </w:pPr>
  </w:style>
  <w:style w:type="numbering" w:customStyle="1" w:styleId="CurrentList9">
    <w:name w:val="Current List9"/>
    <w:uiPriority w:val="99"/>
    <w:rsid w:val="008E1E2C"/>
    <w:pPr>
      <w:numPr>
        <w:numId w:val="14"/>
      </w:numPr>
    </w:pPr>
  </w:style>
  <w:style w:type="numbering" w:customStyle="1" w:styleId="CurrentList10">
    <w:name w:val="Current List10"/>
    <w:uiPriority w:val="99"/>
    <w:rsid w:val="008E1E2C"/>
    <w:pPr>
      <w:numPr>
        <w:numId w:val="15"/>
      </w:numPr>
    </w:pPr>
  </w:style>
  <w:style w:type="numbering" w:customStyle="1" w:styleId="CurrentList11">
    <w:name w:val="Current List11"/>
    <w:uiPriority w:val="99"/>
    <w:rsid w:val="00A567F7"/>
    <w:pPr>
      <w:numPr>
        <w:numId w:val="16"/>
      </w:numPr>
    </w:pPr>
  </w:style>
  <w:style w:type="numbering" w:customStyle="1" w:styleId="CurrentList15">
    <w:name w:val="Current List15"/>
    <w:uiPriority w:val="99"/>
    <w:rsid w:val="00A36BA3"/>
    <w:pPr>
      <w:numPr>
        <w:numId w:val="20"/>
      </w:numPr>
    </w:pPr>
  </w:style>
  <w:style w:type="numbering" w:customStyle="1" w:styleId="CurrentList16">
    <w:name w:val="Current List16"/>
    <w:uiPriority w:val="99"/>
    <w:rsid w:val="00A36BA3"/>
    <w:pPr>
      <w:numPr>
        <w:numId w:val="21"/>
      </w:numPr>
    </w:pPr>
  </w:style>
  <w:style w:type="numbering" w:customStyle="1" w:styleId="CurrentList17">
    <w:name w:val="Current List17"/>
    <w:uiPriority w:val="99"/>
    <w:rsid w:val="00A36BA3"/>
    <w:pPr>
      <w:numPr>
        <w:numId w:val="22"/>
      </w:numPr>
    </w:pPr>
  </w:style>
  <w:style w:type="numbering" w:customStyle="1" w:styleId="CurrentList18">
    <w:name w:val="Current List18"/>
    <w:uiPriority w:val="99"/>
    <w:rsid w:val="00A36BA3"/>
    <w:pPr>
      <w:numPr>
        <w:numId w:val="23"/>
      </w:numPr>
    </w:pPr>
  </w:style>
  <w:style w:type="numbering" w:customStyle="1" w:styleId="CurrentList19">
    <w:name w:val="Current List19"/>
    <w:uiPriority w:val="99"/>
    <w:rsid w:val="00A36BA3"/>
    <w:pPr>
      <w:numPr>
        <w:numId w:val="24"/>
      </w:numPr>
    </w:pPr>
  </w:style>
  <w:style w:type="numbering" w:customStyle="1" w:styleId="CurrentList20">
    <w:name w:val="Current List20"/>
    <w:uiPriority w:val="99"/>
    <w:rsid w:val="00A36BA3"/>
    <w:pPr>
      <w:numPr>
        <w:numId w:val="25"/>
      </w:numPr>
    </w:pPr>
  </w:style>
  <w:style w:type="numbering" w:customStyle="1" w:styleId="CurrentList21">
    <w:name w:val="Current List21"/>
    <w:uiPriority w:val="99"/>
    <w:rsid w:val="00AE761E"/>
    <w:pPr>
      <w:numPr>
        <w:numId w:val="26"/>
      </w:numPr>
    </w:pPr>
  </w:style>
  <w:style w:type="numbering" w:customStyle="1" w:styleId="CurrentList22">
    <w:name w:val="Current List22"/>
    <w:uiPriority w:val="99"/>
    <w:rsid w:val="00AE761E"/>
    <w:pPr>
      <w:numPr>
        <w:numId w:val="27"/>
      </w:numPr>
    </w:pPr>
  </w:style>
  <w:style w:type="paragraph" w:styleId="Quote">
    <w:name w:val="Quote"/>
    <w:basedOn w:val="Normal"/>
    <w:next w:val="Normal"/>
    <w:link w:val="QuoteChar"/>
    <w:uiPriority w:val="29"/>
    <w:qFormat/>
    <w:rsid w:val="00822CC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2CC2"/>
    <w:rPr>
      <w:rFonts w:ascii="Arial" w:hAnsi="Arial" w:cs="Arial"/>
      <w:i/>
      <w:iCs/>
      <w:color w:val="404040" w:themeColor="text1" w:themeTint="BF"/>
      <w:sz w:val="24"/>
      <w:szCs w:val="32"/>
      <w:lang w:val="en-AU" w:eastAsia="en-US"/>
    </w:rPr>
  </w:style>
  <w:style w:type="numbering" w:customStyle="1" w:styleId="CurrentList23">
    <w:name w:val="Current List23"/>
    <w:uiPriority w:val="99"/>
    <w:rsid w:val="00891BCA"/>
    <w:pPr>
      <w:numPr>
        <w:numId w:val="28"/>
      </w:numPr>
    </w:pPr>
  </w:style>
  <w:style w:type="numbering" w:customStyle="1" w:styleId="CurrentList24">
    <w:name w:val="Current List24"/>
    <w:uiPriority w:val="99"/>
    <w:rsid w:val="005727EC"/>
    <w:pPr>
      <w:numPr>
        <w:numId w:val="29"/>
      </w:numPr>
    </w:pPr>
  </w:style>
  <w:style w:type="numbering" w:customStyle="1" w:styleId="CurrentList25">
    <w:name w:val="Current List25"/>
    <w:uiPriority w:val="99"/>
    <w:rsid w:val="005727EC"/>
    <w:pPr>
      <w:numPr>
        <w:numId w:val="30"/>
      </w:numPr>
    </w:pPr>
  </w:style>
  <w:style w:type="paragraph" w:styleId="IntenseQuote">
    <w:name w:val="Intense Quote"/>
    <w:basedOn w:val="Normal"/>
    <w:next w:val="Normal"/>
    <w:link w:val="IntenseQuoteChar"/>
    <w:uiPriority w:val="30"/>
    <w:qFormat/>
    <w:rsid w:val="006739F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739F6"/>
    <w:rPr>
      <w:rFonts w:ascii="Arial" w:hAnsi="Arial" w:cs="Arial"/>
      <w:i/>
      <w:iCs/>
      <w:color w:val="4472C4" w:themeColor="accent1"/>
      <w:sz w:val="24"/>
      <w:szCs w:val="3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367405">
      <w:bodyDiv w:val="1"/>
      <w:marLeft w:val="0"/>
      <w:marRight w:val="0"/>
      <w:marTop w:val="0"/>
      <w:marBottom w:val="0"/>
      <w:divBdr>
        <w:top w:val="none" w:sz="0" w:space="0" w:color="auto"/>
        <w:left w:val="none" w:sz="0" w:space="0" w:color="auto"/>
        <w:bottom w:val="none" w:sz="0" w:space="0" w:color="auto"/>
        <w:right w:val="none" w:sz="0" w:space="0" w:color="auto"/>
      </w:divBdr>
    </w:div>
    <w:div w:id="521482170">
      <w:bodyDiv w:val="1"/>
      <w:marLeft w:val="0"/>
      <w:marRight w:val="0"/>
      <w:marTop w:val="0"/>
      <w:marBottom w:val="0"/>
      <w:divBdr>
        <w:top w:val="none" w:sz="0" w:space="0" w:color="auto"/>
        <w:left w:val="none" w:sz="0" w:space="0" w:color="auto"/>
        <w:bottom w:val="none" w:sz="0" w:space="0" w:color="auto"/>
        <w:right w:val="none" w:sz="0" w:space="0" w:color="auto"/>
      </w:divBdr>
      <w:divsChild>
        <w:div w:id="77021845">
          <w:marLeft w:val="547"/>
          <w:marRight w:val="0"/>
          <w:marTop w:val="120"/>
          <w:marBottom w:val="0"/>
          <w:divBdr>
            <w:top w:val="none" w:sz="0" w:space="0" w:color="auto"/>
            <w:left w:val="none" w:sz="0" w:space="0" w:color="auto"/>
            <w:bottom w:val="none" w:sz="0" w:space="0" w:color="auto"/>
            <w:right w:val="none" w:sz="0" w:space="0" w:color="auto"/>
          </w:divBdr>
        </w:div>
        <w:div w:id="196042767">
          <w:marLeft w:val="1166"/>
          <w:marRight w:val="0"/>
          <w:marTop w:val="252"/>
          <w:marBottom w:val="0"/>
          <w:divBdr>
            <w:top w:val="none" w:sz="0" w:space="0" w:color="auto"/>
            <w:left w:val="none" w:sz="0" w:space="0" w:color="auto"/>
            <w:bottom w:val="none" w:sz="0" w:space="0" w:color="auto"/>
            <w:right w:val="none" w:sz="0" w:space="0" w:color="auto"/>
          </w:divBdr>
        </w:div>
        <w:div w:id="203835603">
          <w:marLeft w:val="547"/>
          <w:marRight w:val="0"/>
          <w:marTop w:val="134"/>
          <w:marBottom w:val="0"/>
          <w:divBdr>
            <w:top w:val="none" w:sz="0" w:space="0" w:color="auto"/>
            <w:left w:val="none" w:sz="0" w:space="0" w:color="auto"/>
            <w:bottom w:val="none" w:sz="0" w:space="0" w:color="auto"/>
            <w:right w:val="none" w:sz="0" w:space="0" w:color="auto"/>
          </w:divBdr>
        </w:div>
        <w:div w:id="206993194">
          <w:marLeft w:val="547"/>
          <w:marRight w:val="0"/>
          <w:marTop w:val="300"/>
          <w:marBottom w:val="0"/>
          <w:divBdr>
            <w:top w:val="none" w:sz="0" w:space="0" w:color="auto"/>
            <w:left w:val="none" w:sz="0" w:space="0" w:color="auto"/>
            <w:bottom w:val="none" w:sz="0" w:space="0" w:color="auto"/>
            <w:right w:val="none" w:sz="0" w:space="0" w:color="auto"/>
          </w:divBdr>
        </w:div>
        <w:div w:id="409084634">
          <w:marLeft w:val="547"/>
          <w:marRight w:val="0"/>
          <w:marTop w:val="120"/>
          <w:marBottom w:val="0"/>
          <w:divBdr>
            <w:top w:val="none" w:sz="0" w:space="0" w:color="auto"/>
            <w:left w:val="none" w:sz="0" w:space="0" w:color="auto"/>
            <w:bottom w:val="none" w:sz="0" w:space="0" w:color="auto"/>
            <w:right w:val="none" w:sz="0" w:space="0" w:color="auto"/>
          </w:divBdr>
        </w:div>
        <w:div w:id="561913708">
          <w:marLeft w:val="547"/>
          <w:marRight w:val="0"/>
          <w:marTop w:val="300"/>
          <w:marBottom w:val="0"/>
          <w:divBdr>
            <w:top w:val="none" w:sz="0" w:space="0" w:color="auto"/>
            <w:left w:val="none" w:sz="0" w:space="0" w:color="auto"/>
            <w:bottom w:val="none" w:sz="0" w:space="0" w:color="auto"/>
            <w:right w:val="none" w:sz="0" w:space="0" w:color="auto"/>
          </w:divBdr>
        </w:div>
        <w:div w:id="628977356">
          <w:marLeft w:val="547"/>
          <w:marRight w:val="0"/>
          <w:marTop w:val="300"/>
          <w:marBottom w:val="0"/>
          <w:divBdr>
            <w:top w:val="none" w:sz="0" w:space="0" w:color="auto"/>
            <w:left w:val="none" w:sz="0" w:space="0" w:color="auto"/>
            <w:bottom w:val="none" w:sz="0" w:space="0" w:color="auto"/>
            <w:right w:val="none" w:sz="0" w:space="0" w:color="auto"/>
          </w:divBdr>
        </w:div>
        <w:div w:id="647708009">
          <w:marLeft w:val="547"/>
          <w:marRight w:val="0"/>
          <w:marTop w:val="300"/>
          <w:marBottom w:val="0"/>
          <w:divBdr>
            <w:top w:val="none" w:sz="0" w:space="0" w:color="auto"/>
            <w:left w:val="none" w:sz="0" w:space="0" w:color="auto"/>
            <w:bottom w:val="none" w:sz="0" w:space="0" w:color="auto"/>
            <w:right w:val="none" w:sz="0" w:space="0" w:color="auto"/>
          </w:divBdr>
        </w:div>
        <w:div w:id="698509658">
          <w:marLeft w:val="547"/>
          <w:marRight w:val="0"/>
          <w:marTop w:val="300"/>
          <w:marBottom w:val="0"/>
          <w:divBdr>
            <w:top w:val="none" w:sz="0" w:space="0" w:color="auto"/>
            <w:left w:val="none" w:sz="0" w:space="0" w:color="auto"/>
            <w:bottom w:val="none" w:sz="0" w:space="0" w:color="auto"/>
            <w:right w:val="none" w:sz="0" w:space="0" w:color="auto"/>
          </w:divBdr>
        </w:div>
        <w:div w:id="718362254">
          <w:marLeft w:val="547"/>
          <w:marRight w:val="0"/>
          <w:marTop w:val="120"/>
          <w:marBottom w:val="0"/>
          <w:divBdr>
            <w:top w:val="none" w:sz="0" w:space="0" w:color="auto"/>
            <w:left w:val="none" w:sz="0" w:space="0" w:color="auto"/>
            <w:bottom w:val="none" w:sz="0" w:space="0" w:color="auto"/>
            <w:right w:val="none" w:sz="0" w:space="0" w:color="auto"/>
          </w:divBdr>
        </w:div>
        <w:div w:id="724524322">
          <w:marLeft w:val="547"/>
          <w:marRight w:val="0"/>
          <w:marTop w:val="300"/>
          <w:marBottom w:val="0"/>
          <w:divBdr>
            <w:top w:val="none" w:sz="0" w:space="0" w:color="auto"/>
            <w:left w:val="none" w:sz="0" w:space="0" w:color="auto"/>
            <w:bottom w:val="none" w:sz="0" w:space="0" w:color="auto"/>
            <w:right w:val="none" w:sz="0" w:space="0" w:color="auto"/>
          </w:divBdr>
        </w:div>
        <w:div w:id="860052576">
          <w:marLeft w:val="1166"/>
          <w:marRight w:val="0"/>
          <w:marTop w:val="252"/>
          <w:marBottom w:val="0"/>
          <w:divBdr>
            <w:top w:val="none" w:sz="0" w:space="0" w:color="auto"/>
            <w:left w:val="none" w:sz="0" w:space="0" w:color="auto"/>
            <w:bottom w:val="none" w:sz="0" w:space="0" w:color="auto"/>
            <w:right w:val="none" w:sz="0" w:space="0" w:color="auto"/>
          </w:divBdr>
        </w:div>
        <w:div w:id="869148766">
          <w:marLeft w:val="547"/>
          <w:marRight w:val="0"/>
          <w:marTop w:val="300"/>
          <w:marBottom w:val="0"/>
          <w:divBdr>
            <w:top w:val="none" w:sz="0" w:space="0" w:color="auto"/>
            <w:left w:val="none" w:sz="0" w:space="0" w:color="auto"/>
            <w:bottom w:val="none" w:sz="0" w:space="0" w:color="auto"/>
            <w:right w:val="none" w:sz="0" w:space="0" w:color="auto"/>
          </w:divBdr>
        </w:div>
        <w:div w:id="899706260">
          <w:marLeft w:val="547"/>
          <w:marRight w:val="0"/>
          <w:marTop w:val="300"/>
          <w:marBottom w:val="0"/>
          <w:divBdr>
            <w:top w:val="none" w:sz="0" w:space="0" w:color="auto"/>
            <w:left w:val="none" w:sz="0" w:space="0" w:color="auto"/>
            <w:bottom w:val="none" w:sz="0" w:space="0" w:color="auto"/>
            <w:right w:val="none" w:sz="0" w:space="0" w:color="auto"/>
          </w:divBdr>
        </w:div>
        <w:div w:id="926382462">
          <w:marLeft w:val="1166"/>
          <w:marRight w:val="0"/>
          <w:marTop w:val="252"/>
          <w:marBottom w:val="0"/>
          <w:divBdr>
            <w:top w:val="none" w:sz="0" w:space="0" w:color="auto"/>
            <w:left w:val="none" w:sz="0" w:space="0" w:color="auto"/>
            <w:bottom w:val="none" w:sz="0" w:space="0" w:color="auto"/>
            <w:right w:val="none" w:sz="0" w:space="0" w:color="auto"/>
          </w:divBdr>
        </w:div>
        <w:div w:id="958874305">
          <w:marLeft w:val="547"/>
          <w:marRight w:val="0"/>
          <w:marTop w:val="300"/>
          <w:marBottom w:val="0"/>
          <w:divBdr>
            <w:top w:val="none" w:sz="0" w:space="0" w:color="auto"/>
            <w:left w:val="none" w:sz="0" w:space="0" w:color="auto"/>
            <w:bottom w:val="none" w:sz="0" w:space="0" w:color="auto"/>
            <w:right w:val="none" w:sz="0" w:space="0" w:color="auto"/>
          </w:divBdr>
        </w:div>
        <w:div w:id="1001547530">
          <w:marLeft w:val="547"/>
          <w:marRight w:val="0"/>
          <w:marTop w:val="134"/>
          <w:marBottom w:val="0"/>
          <w:divBdr>
            <w:top w:val="none" w:sz="0" w:space="0" w:color="auto"/>
            <w:left w:val="none" w:sz="0" w:space="0" w:color="auto"/>
            <w:bottom w:val="none" w:sz="0" w:space="0" w:color="auto"/>
            <w:right w:val="none" w:sz="0" w:space="0" w:color="auto"/>
          </w:divBdr>
        </w:div>
        <w:div w:id="1044401519">
          <w:marLeft w:val="547"/>
          <w:marRight w:val="0"/>
          <w:marTop w:val="300"/>
          <w:marBottom w:val="0"/>
          <w:divBdr>
            <w:top w:val="none" w:sz="0" w:space="0" w:color="auto"/>
            <w:left w:val="none" w:sz="0" w:space="0" w:color="auto"/>
            <w:bottom w:val="none" w:sz="0" w:space="0" w:color="auto"/>
            <w:right w:val="none" w:sz="0" w:space="0" w:color="auto"/>
          </w:divBdr>
        </w:div>
        <w:div w:id="1046174849">
          <w:marLeft w:val="547"/>
          <w:marRight w:val="0"/>
          <w:marTop w:val="300"/>
          <w:marBottom w:val="0"/>
          <w:divBdr>
            <w:top w:val="none" w:sz="0" w:space="0" w:color="auto"/>
            <w:left w:val="none" w:sz="0" w:space="0" w:color="auto"/>
            <w:bottom w:val="none" w:sz="0" w:space="0" w:color="auto"/>
            <w:right w:val="none" w:sz="0" w:space="0" w:color="auto"/>
          </w:divBdr>
        </w:div>
        <w:div w:id="1052073694">
          <w:marLeft w:val="547"/>
          <w:marRight w:val="0"/>
          <w:marTop w:val="120"/>
          <w:marBottom w:val="0"/>
          <w:divBdr>
            <w:top w:val="none" w:sz="0" w:space="0" w:color="auto"/>
            <w:left w:val="none" w:sz="0" w:space="0" w:color="auto"/>
            <w:bottom w:val="none" w:sz="0" w:space="0" w:color="auto"/>
            <w:right w:val="none" w:sz="0" w:space="0" w:color="auto"/>
          </w:divBdr>
        </w:div>
        <w:div w:id="1055664410">
          <w:marLeft w:val="1166"/>
          <w:marRight w:val="0"/>
          <w:marTop w:val="252"/>
          <w:marBottom w:val="0"/>
          <w:divBdr>
            <w:top w:val="none" w:sz="0" w:space="0" w:color="auto"/>
            <w:left w:val="none" w:sz="0" w:space="0" w:color="auto"/>
            <w:bottom w:val="none" w:sz="0" w:space="0" w:color="auto"/>
            <w:right w:val="none" w:sz="0" w:space="0" w:color="auto"/>
          </w:divBdr>
        </w:div>
        <w:div w:id="1072195618">
          <w:marLeft w:val="547"/>
          <w:marRight w:val="0"/>
          <w:marTop w:val="115"/>
          <w:marBottom w:val="0"/>
          <w:divBdr>
            <w:top w:val="none" w:sz="0" w:space="0" w:color="auto"/>
            <w:left w:val="none" w:sz="0" w:space="0" w:color="auto"/>
            <w:bottom w:val="none" w:sz="0" w:space="0" w:color="auto"/>
            <w:right w:val="none" w:sz="0" w:space="0" w:color="auto"/>
          </w:divBdr>
        </w:div>
        <w:div w:id="1116485639">
          <w:marLeft w:val="547"/>
          <w:marRight w:val="0"/>
          <w:marTop w:val="300"/>
          <w:marBottom w:val="0"/>
          <w:divBdr>
            <w:top w:val="none" w:sz="0" w:space="0" w:color="auto"/>
            <w:left w:val="none" w:sz="0" w:space="0" w:color="auto"/>
            <w:bottom w:val="none" w:sz="0" w:space="0" w:color="auto"/>
            <w:right w:val="none" w:sz="0" w:space="0" w:color="auto"/>
          </w:divBdr>
        </w:div>
        <w:div w:id="1132789958">
          <w:marLeft w:val="547"/>
          <w:marRight w:val="0"/>
          <w:marTop w:val="300"/>
          <w:marBottom w:val="0"/>
          <w:divBdr>
            <w:top w:val="none" w:sz="0" w:space="0" w:color="auto"/>
            <w:left w:val="none" w:sz="0" w:space="0" w:color="auto"/>
            <w:bottom w:val="none" w:sz="0" w:space="0" w:color="auto"/>
            <w:right w:val="none" w:sz="0" w:space="0" w:color="auto"/>
          </w:divBdr>
        </w:div>
        <w:div w:id="1143234612">
          <w:marLeft w:val="547"/>
          <w:marRight w:val="0"/>
          <w:marTop w:val="115"/>
          <w:marBottom w:val="0"/>
          <w:divBdr>
            <w:top w:val="none" w:sz="0" w:space="0" w:color="auto"/>
            <w:left w:val="none" w:sz="0" w:space="0" w:color="auto"/>
            <w:bottom w:val="none" w:sz="0" w:space="0" w:color="auto"/>
            <w:right w:val="none" w:sz="0" w:space="0" w:color="auto"/>
          </w:divBdr>
        </w:div>
        <w:div w:id="1159542083">
          <w:marLeft w:val="547"/>
          <w:marRight w:val="0"/>
          <w:marTop w:val="300"/>
          <w:marBottom w:val="0"/>
          <w:divBdr>
            <w:top w:val="none" w:sz="0" w:space="0" w:color="auto"/>
            <w:left w:val="none" w:sz="0" w:space="0" w:color="auto"/>
            <w:bottom w:val="none" w:sz="0" w:space="0" w:color="auto"/>
            <w:right w:val="none" w:sz="0" w:space="0" w:color="auto"/>
          </w:divBdr>
        </w:div>
        <w:div w:id="1207183852">
          <w:marLeft w:val="547"/>
          <w:marRight w:val="0"/>
          <w:marTop w:val="134"/>
          <w:marBottom w:val="0"/>
          <w:divBdr>
            <w:top w:val="none" w:sz="0" w:space="0" w:color="auto"/>
            <w:left w:val="none" w:sz="0" w:space="0" w:color="auto"/>
            <w:bottom w:val="none" w:sz="0" w:space="0" w:color="auto"/>
            <w:right w:val="none" w:sz="0" w:space="0" w:color="auto"/>
          </w:divBdr>
        </w:div>
        <w:div w:id="1245606069">
          <w:marLeft w:val="547"/>
          <w:marRight w:val="0"/>
          <w:marTop w:val="134"/>
          <w:marBottom w:val="0"/>
          <w:divBdr>
            <w:top w:val="none" w:sz="0" w:space="0" w:color="auto"/>
            <w:left w:val="none" w:sz="0" w:space="0" w:color="auto"/>
            <w:bottom w:val="none" w:sz="0" w:space="0" w:color="auto"/>
            <w:right w:val="none" w:sz="0" w:space="0" w:color="auto"/>
          </w:divBdr>
        </w:div>
        <w:div w:id="1380665637">
          <w:marLeft w:val="547"/>
          <w:marRight w:val="0"/>
          <w:marTop w:val="134"/>
          <w:marBottom w:val="0"/>
          <w:divBdr>
            <w:top w:val="none" w:sz="0" w:space="0" w:color="auto"/>
            <w:left w:val="none" w:sz="0" w:space="0" w:color="auto"/>
            <w:bottom w:val="none" w:sz="0" w:space="0" w:color="auto"/>
            <w:right w:val="none" w:sz="0" w:space="0" w:color="auto"/>
          </w:divBdr>
        </w:div>
        <w:div w:id="1393768107">
          <w:marLeft w:val="547"/>
          <w:marRight w:val="0"/>
          <w:marTop w:val="300"/>
          <w:marBottom w:val="0"/>
          <w:divBdr>
            <w:top w:val="none" w:sz="0" w:space="0" w:color="auto"/>
            <w:left w:val="none" w:sz="0" w:space="0" w:color="auto"/>
            <w:bottom w:val="none" w:sz="0" w:space="0" w:color="auto"/>
            <w:right w:val="none" w:sz="0" w:space="0" w:color="auto"/>
          </w:divBdr>
        </w:div>
        <w:div w:id="1415280509">
          <w:marLeft w:val="547"/>
          <w:marRight w:val="0"/>
          <w:marTop w:val="300"/>
          <w:marBottom w:val="0"/>
          <w:divBdr>
            <w:top w:val="none" w:sz="0" w:space="0" w:color="auto"/>
            <w:left w:val="none" w:sz="0" w:space="0" w:color="auto"/>
            <w:bottom w:val="none" w:sz="0" w:space="0" w:color="auto"/>
            <w:right w:val="none" w:sz="0" w:space="0" w:color="auto"/>
          </w:divBdr>
        </w:div>
        <w:div w:id="1479028600">
          <w:marLeft w:val="547"/>
          <w:marRight w:val="0"/>
          <w:marTop w:val="300"/>
          <w:marBottom w:val="0"/>
          <w:divBdr>
            <w:top w:val="none" w:sz="0" w:space="0" w:color="auto"/>
            <w:left w:val="none" w:sz="0" w:space="0" w:color="auto"/>
            <w:bottom w:val="none" w:sz="0" w:space="0" w:color="auto"/>
            <w:right w:val="none" w:sz="0" w:space="0" w:color="auto"/>
          </w:divBdr>
        </w:div>
        <w:div w:id="1489401298">
          <w:marLeft w:val="547"/>
          <w:marRight w:val="0"/>
          <w:marTop w:val="300"/>
          <w:marBottom w:val="0"/>
          <w:divBdr>
            <w:top w:val="none" w:sz="0" w:space="0" w:color="auto"/>
            <w:left w:val="none" w:sz="0" w:space="0" w:color="auto"/>
            <w:bottom w:val="none" w:sz="0" w:space="0" w:color="auto"/>
            <w:right w:val="none" w:sz="0" w:space="0" w:color="auto"/>
          </w:divBdr>
        </w:div>
        <w:div w:id="1538424791">
          <w:marLeft w:val="547"/>
          <w:marRight w:val="0"/>
          <w:marTop w:val="300"/>
          <w:marBottom w:val="0"/>
          <w:divBdr>
            <w:top w:val="none" w:sz="0" w:space="0" w:color="auto"/>
            <w:left w:val="none" w:sz="0" w:space="0" w:color="auto"/>
            <w:bottom w:val="none" w:sz="0" w:space="0" w:color="auto"/>
            <w:right w:val="none" w:sz="0" w:space="0" w:color="auto"/>
          </w:divBdr>
        </w:div>
        <w:div w:id="1605385522">
          <w:marLeft w:val="1166"/>
          <w:marRight w:val="0"/>
          <w:marTop w:val="252"/>
          <w:marBottom w:val="0"/>
          <w:divBdr>
            <w:top w:val="none" w:sz="0" w:space="0" w:color="auto"/>
            <w:left w:val="none" w:sz="0" w:space="0" w:color="auto"/>
            <w:bottom w:val="none" w:sz="0" w:space="0" w:color="auto"/>
            <w:right w:val="none" w:sz="0" w:space="0" w:color="auto"/>
          </w:divBdr>
        </w:div>
        <w:div w:id="1636643699">
          <w:marLeft w:val="547"/>
          <w:marRight w:val="0"/>
          <w:marTop w:val="134"/>
          <w:marBottom w:val="0"/>
          <w:divBdr>
            <w:top w:val="none" w:sz="0" w:space="0" w:color="auto"/>
            <w:left w:val="none" w:sz="0" w:space="0" w:color="auto"/>
            <w:bottom w:val="none" w:sz="0" w:space="0" w:color="auto"/>
            <w:right w:val="none" w:sz="0" w:space="0" w:color="auto"/>
          </w:divBdr>
        </w:div>
        <w:div w:id="1662928682">
          <w:marLeft w:val="1166"/>
          <w:marRight w:val="0"/>
          <w:marTop w:val="252"/>
          <w:marBottom w:val="0"/>
          <w:divBdr>
            <w:top w:val="none" w:sz="0" w:space="0" w:color="auto"/>
            <w:left w:val="none" w:sz="0" w:space="0" w:color="auto"/>
            <w:bottom w:val="none" w:sz="0" w:space="0" w:color="auto"/>
            <w:right w:val="none" w:sz="0" w:space="0" w:color="auto"/>
          </w:divBdr>
        </w:div>
        <w:div w:id="1691032006">
          <w:marLeft w:val="547"/>
          <w:marRight w:val="0"/>
          <w:marTop w:val="300"/>
          <w:marBottom w:val="0"/>
          <w:divBdr>
            <w:top w:val="none" w:sz="0" w:space="0" w:color="auto"/>
            <w:left w:val="none" w:sz="0" w:space="0" w:color="auto"/>
            <w:bottom w:val="none" w:sz="0" w:space="0" w:color="auto"/>
            <w:right w:val="none" w:sz="0" w:space="0" w:color="auto"/>
          </w:divBdr>
        </w:div>
        <w:div w:id="1743747942">
          <w:marLeft w:val="547"/>
          <w:marRight w:val="0"/>
          <w:marTop w:val="300"/>
          <w:marBottom w:val="0"/>
          <w:divBdr>
            <w:top w:val="none" w:sz="0" w:space="0" w:color="auto"/>
            <w:left w:val="none" w:sz="0" w:space="0" w:color="auto"/>
            <w:bottom w:val="none" w:sz="0" w:space="0" w:color="auto"/>
            <w:right w:val="none" w:sz="0" w:space="0" w:color="auto"/>
          </w:divBdr>
        </w:div>
        <w:div w:id="1793163010">
          <w:marLeft w:val="1166"/>
          <w:marRight w:val="0"/>
          <w:marTop w:val="252"/>
          <w:marBottom w:val="0"/>
          <w:divBdr>
            <w:top w:val="none" w:sz="0" w:space="0" w:color="auto"/>
            <w:left w:val="none" w:sz="0" w:space="0" w:color="auto"/>
            <w:bottom w:val="none" w:sz="0" w:space="0" w:color="auto"/>
            <w:right w:val="none" w:sz="0" w:space="0" w:color="auto"/>
          </w:divBdr>
        </w:div>
        <w:div w:id="1823346981">
          <w:marLeft w:val="547"/>
          <w:marRight w:val="0"/>
          <w:marTop w:val="300"/>
          <w:marBottom w:val="0"/>
          <w:divBdr>
            <w:top w:val="none" w:sz="0" w:space="0" w:color="auto"/>
            <w:left w:val="none" w:sz="0" w:space="0" w:color="auto"/>
            <w:bottom w:val="none" w:sz="0" w:space="0" w:color="auto"/>
            <w:right w:val="none" w:sz="0" w:space="0" w:color="auto"/>
          </w:divBdr>
        </w:div>
        <w:div w:id="1879003285">
          <w:marLeft w:val="547"/>
          <w:marRight w:val="0"/>
          <w:marTop w:val="134"/>
          <w:marBottom w:val="0"/>
          <w:divBdr>
            <w:top w:val="none" w:sz="0" w:space="0" w:color="auto"/>
            <w:left w:val="none" w:sz="0" w:space="0" w:color="auto"/>
            <w:bottom w:val="none" w:sz="0" w:space="0" w:color="auto"/>
            <w:right w:val="none" w:sz="0" w:space="0" w:color="auto"/>
          </w:divBdr>
        </w:div>
        <w:div w:id="1882207572">
          <w:marLeft w:val="547"/>
          <w:marRight w:val="0"/>
          <w:marTop w:val="115"/>
          <w:marBottom w:val="0"/>
          <w:divBdr>
            <w:top w:val="none" w:sz="0" w:space="0" w:color="auto"/>
            <w:left w:val="none" w:sz="0" w:space="0" w:color="auto"/>
            <w:bottom w:val="none" w:sz="0" w:space="0" w:color="auto"/>
            <w:right w:val="none" w:sz="0" w:space="0" w:color="auto"/>
          </w:divBdr>
        </w:div>
        <w:div w:id="2044480475">
          <w:marLeft w:val="1166"/>
          <w:marRight w:val="0"/>
          <w:marTop w:val="252"/>
          <w:marBottom w:val="0"/>
          <w:divBdr>
            <w:top w:val="none" w:sz="0" w:space="0" w:color="auto"/>
            <w:left w:val="none" w:sz="0" w:space="0" w:color="auto"/>
            <w:bottom w:val="none" w:sz="0" w:space="0" w:color="auto"/>
            <w:right w:val="none" w:sz="0" w:space="0" w:color="auto"/>
          </w:divBdr>
        </w:div>
        <w:div w:id="2048211833">
          <w:marLeft w:val="1166"/>
          <w:marRight w:val="0"/>
          <w:marTop w:val="252"/>
          <w:marBottom w:val="0"/>
          <w:divBdr>
            <w:top w:val="none" w:sz="0" w:space="0" w:color="auto"/>
            <w:left w:val="none" w:sz="0" w:space="0" w:color="auto"/>
            <w:bottom w:val="none" w:sz="0" w:space="0" w:color="auto"/>
            <w:right w:val="none" w:sz="0" w:space="0" w:color="auto"/>
          </w:divBdr>
        </w:div>
        <w:div w:id="2065450558">
          <w:marLeft w:val="547"/>
          <w:marRight w:val="0"/>
          <w:marTop w:val="300"/>
          <w:marBottom w:val="0"/>
          <w:divBdr>
            <w:top w:val="none" w:sz="0" w:space="0" w:color="auto"/>
            <w:left w:val="none" w:sz="0" w:space="0" w:color="auto"/>
            <w:bottom w:val="none" w:sz="0" w:space="0" w:color="auto"/>
            <w:right w:val="none" w:sz="0" w:space="0" w:color="auto"/>
          </w:divBdr>
        </w:div>
        <w:div w:id="2103450725">
          <w:marLeft w:val="1166"/>
          <w:marRight w:val="0"/>
          <w:marTop w:val="252"/>
          <w:marBottom w:val="0"/>
          <w:divBdr>
            <w:top w:val="none" w:sz="0" w:space="0" w:color="auto"/>
            <w:left w:val="none" w:sz="0" w:space="0" w:color="auto"/>
            <w:bottom w:val="none" w:sz="0" w:space="0" w:color="auto"/>
            <w:right w:val="none" w:sz="0" w:space="0" w:color="auto"/>
          </w:divBdr>
        </w:div>
      </w:divsChild>
    </w:div>
    <w:div w:id="1426997670">
      <w:bodyDiv w:val="1"/>
      <w:marLeft w:val="0"/>
      <w:marRight w:val="0"/>
      <w:marTop w:val="0"/>
      <w:marBottom w:val="0"/>
      <w:divBdr>
        <w:top w:val="none" w:sz="0" w:space="0" w:color="auto"/>
        <w:left w:val="none" w:sz="0" w:space="0" w:color="auto"/>
        <w:bottom w:val="none" w:sz="0" w:space="0" w:color="auto"/>
        <w:right w:val="none" w:sz="0" w:space="0" w:color="auto"/>
      </w:divBdr>
    </w:div>
    <w:div w:id="1456825694">
      <w:bodyDiv w:val="1"/>
      <w:marLeft w:val="0"/>
      <w:marRight w:val="0"/>
      <w:marTop w:val="0"/>
      <w:marBottom w:val="0"/>
      <w:divBdr>
        <w:top w:val="none" w:sz="0" w:space="0" w:color="auto"/>
        <w:left w:val="none" w:sz="0" w:space="0" w:color="auto"/>
        <w:bottom w:val="none" w:sz="0" w:space="0" w:color="auto"/>
        <w:right w:val="none" w:sz="0" w:space="0" w:color="auto"/>
      </w:divBdr>
    </w:div>
    <w:div w:id="18339809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ustomer.contact@ecodev.vic.gov.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reativecommons.org/licenses/by/3.0/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jsir.vic.gov.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aemo.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cae176ec3a54dbeadeeec1b38baec58 xmlns="1970f3ff-c7c3-4b73-8f0c-0bc260d159f3">
      <Terms xmlns="http://schemas.microsoft.com/office/infopath/2007/PartnerControls"/>
    </hcae176ec3a54dbeadeeec1b38baec58>
    <TaxCatchAll xmlns="3b4993c4-1e12-480f-8829-7529dfd7c42d" xsi:nil="true"/>
    <p31afe295eb448f092f13ab8c2af2c33 xmlns="1970f3ff-c7c3-4b73-8f0c-0bc260d159f3">
      <Terms xmlns="http://schemas.microsoft.com/office/infopath/2007/PartnerControls"/>
    </p31afe295eb448f092f13ab8c2af2c33>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lcf76f155ced4ddcb4097134ff3c332f xmlns="4ae6eb50-8777-409e-ac69-0f23188bec30">
      <Terms xmlns="http://schemas.microsoft.com/office/infopath/2007/PartnerControls"/>
    </lcf76f155ced4ddcb4097134ff3c332f>
    <MediaLengthInSeconds xmlns="4ae6eb50-8777-409e-ac69-0f23188bec30" xsi:nil="true"/>
    <SharedWithUsers xmlns="3b4993c4-1e12-480f-8829-7529dfd7c42d">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B24395FE84AB9F4BA3F2DB8C0682F15A" ma:contentTypeVersion="31" ma:contentTypeDescription="DEDJTR Document" ma:contentTypeScope="" ma:versionID="b582619019161773083bc5f04f8cdc37">
  <xsd:schema xmlns:xsd="http://www.w3.org/2001/XMLSchema" xmlns:xs="http://www.w3.org/2001/XMLSchema" xmlns:p="http://schemas.microsoft.com/office/2006/metadata/properties" xmlns:ns2="1970f3ff-c7c3-4b73-8f0c-0bc260d159f3" xmlns:ns3="3b4993c4-1e12-480f-8829-7529dfd7c42d" xmlns:ns4="4ae6eb50-8777-409e-ac69-0f23188bec30" targetNamespace="http://schemas.microsoft.com/office/2006/metadata/properties" ma:root="true" ma:fieldsID="36b014f571a75a39ab925387f3c0ac1b" ns2:_="" ns3:_="" ns4:_="">
    <xsd:import namespace="1970f3ff-c7c3-4b73-8f0c-0bc260d159f3"/>
    <xsd:import namespace="3b4993c4-1e12-480f-8829-7529dfd7c42d"/>
    <xsd:import namespace="4ae6eb50-8777-409e-ac69-0f23188bec30"/>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3:SharedWithUsers" minOccurs="0"/>
                <xsd:element ref="ns3:SharedWithDetails"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4993c4-1e12-480f-8829-7529dfd7c42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1bd90f15-730d-4257-a8c4-3195608d5de6}" ma:internalName="TaxCatchAll" ma:showField="CatchAllData"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bd90f15-730d-4257-a8c4-3195608d5de6}" ma:internalName="TaxCatchAllLabel" ma:readOnly="true" ma:showField="CatchAllDataLabel"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e6eb50-8777-409e-ac69-0f23188bec3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Location" ma:index="31" nillable="true" ma:displayName="Location" ma:internalName="MediaServiceLocation" ma:readOnly="true">
      <xsd:simpleType>
        <xsd:restriction base="dms:Text"/>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4EF350-EDF6-4A69-A0EA-AB8B7DA8A2FD}">
  <ds:schemaRefs>
    <ds:schemaRef ds:uri="http://schemas.microsoft.com/office/2006/metadata/properties"/>
    <ds:schemaRef ds:uri="http://schemas.microsoft.com/office/infopath/2007/PartnerControls"/>
    <ds:schemaRef ds:uri="1970f3ff-c7c3-4b73-8f0c-0bc260d159f3"/>
    <ds:schemaRef ds:uri="3b4993c4-1e12-480f-8829-7529dfd7c42d"/>
    <ds:schemaRef ds:uri="4ae6eb50-8777-409e-ac69-0f23188bec30"/>
  </ds:schemaRefs>
</ds:datastoreItem>
</file>

<file path=customXml/itemProps2.xml><?xml version="1.0" encoding="utf-8"?>
<ds:datastoreItem xmlns:ds="http://schemas.openxmlformats.org/officeDocument/2006/customXml" ds:itemID="{EBF829AA-29A5-4494-99A1-D6D15664A5D0}">
  <ds:schemaRefs>
    <ds:schemaRef ds:uri="http://schemas.microsoft.com/sharepoint/v3/contenttype/forms"/>
  </ds:schemaRefs>
</ds:datastoreItem>
</file>

<file path=customXml/itemProps3.xml><?xml version="1.0" encoding="utf-8"?>
<ds:datastoreItem xmlns:ds="http://schemas.openxmlformats.org/officeDocument/2006/customXml" ds:itemID="{719E2C3D-0448-4246-9631-61ED67AC8291}">
  <ds:schemaRefs>
    <ds:schemaRef ds:uri="http://schemas.openxmlformats.org/officeDocument/2006/bibliography"/>
  </ds:schemaRefs>
</ds:datastoreItem>
</file>

<file path=customXml/itemProps4.xml><?xml version="1.0" encoding="utf-8"?>
<ds:datastoreItem xmlns:ds="http://schemas.openxmlformats.org/officeDocument/2006/customXml" ds:itemID="{7A96B0E5-6889-4896-BEF2-65776D120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3b4993c4-1e12-480f-8829-7529dfd7c42d"/>
    <ds:schemaRef ds:uri="4ae6eb50-8777-409e-ac69-0f23188be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24</Pages>
  <Words>4843</Words>
  <Characters>30754</Characters>
  <Application>Microsoft Office Word</Application>
  <DocSecurity>0</DocSecurity>
  <Lines>961</Lines>
  <Paragraphs>444</Paragraphs>
  <ScaleCrop>false</ScaleCrop>
  <HeadingPairs>
    <vt:vector size="2" baseType="variant">
      <vt:variant>
        <vt:lpstr>Title</vt:lpstr>
      </vt:variant>
      <vt:variant>
        <vt:i4>1</vt:i4>
      </vt:variant>
    </vt:vector>
  </HeadingPairs>
  <TitlesOfParts>
    <vt:vector size="1" baseType="lpstr">
      <vt:lpstr>The Sustainable Data Centre Action Plan</vt:lpstr>
    </vt:vector>
  </TitlesOfParts>
  <Manager/>
  <Company>Victoria State Government Australia</Company>
  <LinksUpToDate>false</LinksUpToDate>
  <CharactersWithSpaces>35153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Sustainable Data Centre Action Plan</dc:title>
  <dc:subject>Sustainable Data Centres</dc:subject>
  <dc:creator>Victoria State Government Australia</dc:creator>
  <cp:keywords>The Sustainable Data Centre Action Plan Providing certainty for business and community Victoria State Government Australia message from the Minister Overview and Approach Investment Operation and Resource Use Clear Requirements and Transparent Assistance </cp:keywords>
  <dc:description/>
  <cp:lastModifiedBy>Lee Hardman (DJSIR)</cp:lastModifiedBy>
  <cp:revision>11</cp:revision>
  <dcterms:created xsi:type="dcterms:W3CDTF">2026-09-29T00:03:00Z</dcterms:created>
  <dcterms:modified xsi:type="dcterms:W3CDTF">2026-09-29T00:40:00Z</dcterms:modified>
  <cp:category>Action Plan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0x010100611F6414DFB111E7BA88F9DF1743E31700B24395FE84AB9F4BA3F2DB8C0682F15A</vt:lpwstr>
  </property>
  <property fmtid="{D5CDD505-2E9C-101B-9397-08002B2CF9AE}" pid="3" name="ClassificationContentMarkingHeaderShapeIds">
    <vt:lpwstr>5fbe73af,5ae0148f,57785acf</vt:lpwstr>
  </property>
  <property fmtid="{D5CDD505-2E9C-101B-9397-08002B2CF9AE}" pid="4" name="ClassificationContentMarkingHeaderFontProps">
    <vt:lpwstr>#000000,12,Arial</vt:lpwstr>
  </property>
  <property fmtid="{D5CDD505-2E9C-101B-9397-08002B2CF9AE}" pid="5" name="ClassificationContentMarkingHeaderText">
    <vt:lpwstr>OFFICIAL</vt:lpwstr>
  </property>
  <property fmtid="{D5CDD505-2E9C-101B-9397-08002B2CF9AE}" pid="6" name="ClassificationContentMarkingFooterShapeIds">
    <vt:lpwstr>1edf1b05,2ff05ed2,7ad7cd58</vt:lpwstr>
  </property>
  <property fmtid="{D5CDD505-2E9C-101B-9397-08002B2CF9AE}" pid="7" name="ClassificationContentMarkingFooterFontProps">
    <vt:lpwstr>#000000,12,Arial</vt:lpwstr>
  </property>
  <property fmtid="{D5CDD505-2E9C-101B-9397-08002B2CF9AE}" pid="8" name="ClassificationContentMarkingFooterText">
    <vt:lpwstr>OFFICIAL</vt:lpwstr>
  </property>
  <property fmtid="{D5CDD505-2E9C-101B-9397-08002B2CF9AE}" pid="9" name="MSIP_Label_d00a4df9-c942-4b09-b23a-6c1023f6de27_Enabled">
    <vt:lpwstr>true</vt:lpwstr>
  </property>
  <property fmtid="{D5CDD505-2E9C-101B-9397-08002B2CF9AE}" pid="10" name="MSIP_Label_d00a4df9-c942-4b09-b23a-6c1023f6de27_SetDate">
    <vt:lpwstr>2023-07-27T02:30:59Z</vt:lpwstr>
  </property>
  <property fmtid="{D5CDD505-2E9C-101B-9397-08002B2CF9AE}" pid="11" name="MSIP_Label_d00a4df9-c942-4b09-b23a-6c1023f6de27_Method">
    <vt:lpwstr>Privileged</vt:lpwstr>
  </property>
  <property fmtid="{D5CDD505-2E9C-101B-9397-08002B2CF9AE}" pid="12" name="MSIP_Label_d00a4df9-c942-4b09-b23a-6c1023f6de27_Name">
    <vt:lpwstr>Official (DJPR)</vt:lpwstr>
  </property>
  <property fmtid="{D5CDD505-2E9C-101B-9397-08002B2CF9AE}" pid="13" name="MSIP_Label_d00a4df9-c942-4b09-b23a-6c1023f6de27_SiteId">
    <vt:lpwstr>722ea0be-3e1c-4b11-ad6f-9401d6856e24</vt:lpwstr>
  </property>
  <property fmtid="{D5CDD505-2E9C-101B-9397-08002B2CF9AE}" pid="14" name="MSIP_Label_d00a4df9-c942-4b09-b23a-6c1023f6de27_ActionId">
    <vt:lpwstr>f1992581-19ec-4db5-8d87-15364df930db</vt:lpwstr>
  </property>
  <property fmtid="{D5CDD505-2E9C-101B-9397-08002B2CF9AE}" pid="15" name="MSIP_Label_d00a4df9-c942-4b09-b23a-6c1023f6de27_ContentBits">
    <vt:lpwstr>3</vt:lpwstr>
  </property>
  <property fmtid="{D5CDD505-2E9C-101B-9397-08002B2CF9AE}" pid="16" name="DEDJTRSection">
    <vt:lpwstr/>
  </property>
  <property fmtid="{D5CDD505-2E9C-101B-9397-08002B2CF9AE}" pid="17" name="DEDJTRGroup">
    <vt:lpwstr/>
  </property>
  <property fmtid="{D5CDD505-2E9C-101B-9397-08002B2CF9AE}" pid="18" name="DEDJTRSecurityClassification">
    <vt:lpwstr/>
  </property>
  <property fmtid="{D5CDD505-2E9C-101B-9397-08002B2CF9AE}" pid="19" name="DEDJTRDivision">
    <vt:lpwstr/>
  </property>
  <property fmtid="{D5CDD505-2E9C-101B-9397-08002B2CF9AE}" pid="20" name="DEDJTRBranch">
    <vt:lpwstr/>
  </property>
  <property fmtid="{D5CDD505-2E9C-101B-9397-08002B2CF9AE}" pid="21" name="MediaServiceImageTags">
    <vt:lpwstr/>
  </property>
  <property fmtid="{D5CDD505-2E9C-101B-9397-08002B2CF9AE}" pid="22" name="xd_ProgID">
    <vt:lpwstr/>
  </property>
  <property fmtid="{D5CDD505-2E9C-101B-9397-08002B2CF9AE}" pid="23" name="_SourceUrl">
    <vt:lpwstr/>
  </property>
  <property fmtid="{D5CDD505-2E9C-101B-9397-08002B2CF9AE}" pid="24" name="_SharedFileIndex">
    <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xd_Signature">
    <vt:bool>false</vt:bool>
  </property>
  <property fmtid="{D5CDD505-2E9C-101B-9397-08002B2CF9AE}" pid="29" name="TriggerFlowInfo">
    <vt:lpwstr/>
  </property>
</Properties>
</file>