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6ECAF" w14:textId="31D5A1C9" w:rsidR="00BC14BE" w:rsidRDefault="00BC14BE" w:rsidP="005602CC">
      <w:pPr>
        <w:pStyle w:val="Heading1"/>
      </w:pPr>
      <w:bookmarkStart w:id="0" w:name="_Toc148100319"/>
      <w:bookmarkStart w:id="1" w:name="_Toc125040336"/>
      <w:bookmarkStart w:id="2" w:name="_Toc128744742"/>
      <w:bookmarkStart w:id="3" w:name="_Toc128899561"/>
      <w:bookmarkStart w:id="4" w:name="_Toc129184282"/>
      <w:bookmarkStart w:id="5" w:name="_Toc129264113"/>
      <w:r w:rsidRPr="00102B7A">
        <w:t>TAFE</w:t>
      </w:r>
      <w:r w:rsidRPr="00A71DDE">
        <w:t xml:space="preserve"> NETWORK STATEMENT OF PRIORITIES FOR </w:t>
      </w:r>
      <w:r>
        <w:t>2024</w:t>
      </w:r>
    </w:p>
    <w:p w14:paraId="6812CDEA" w14:textId="77777777" w:rsidR="00BC14BE" w:rsidRPr="00102B7A" w:rsidRDefault="00BC14BE" w:rsidP="005602CC">
      <w:pPr>
        <w:pStyle w:val="Heading1"/>
      </w:pPr>
      <w:r w:rsidRPr="00102B7A">
        <w:t>Accessible version</w:t>
      </w:r>
    </w:p>
    <w:p w14:paraId="347269C4" w14:textId="77777777" w:rsidR="00BC14BE" w:rsidRDefault="00BC14BE" w:rsidP="005602CC">
      <w:pPr>
        <w:pStyle w:val="Heading1"/>
      </w:pPr>
    </w:p>
    <w:p w14:paraId="2450634A" w14:textId="77777777" w:rsidR="00BC14BE" w:rsidRDefault="00BC14BE" w:rsidP="005602CC">
      <w:pPr>
        <w:pStyle w:val="Heading1"/>
        <w:rPr>
          <w:sz w:val="24"/>
          <w:szCs w:val="24"/>
        </w:rPr>
      </w:pPr>
      <w:r>
        <w:rPr>
          <w:noProof/>
        </w:rPr>
        <w:drawing>
          <wp:inline distT="0" distB="0" distL="0" distR="0" wp14:anchorId="36D276DC" wp14:editId="01B81265">
            <wp:extent cx="1335405" cy="401955"/>
            <wp:effectExtent l="0" t="0" r="0" b="0"/>
            <wp:docPr id="1721504075" name="Picture 1"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10;Jobs, Skills, Industry and Regions logo"/>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5405" cy="401955"/>
                    </a:xfrm>
                    <a:prstGeom prst="rect">
                      <a:avLst/>
                    </a:prstGeom>
                  </pic:spPr>
                </pic:pic>
              </a:graphicData>
            </a:graphic>
          </wp:inline>
        </w:drawing>
      </w:r>
    </w:p>
    <w:p w14:paraId="1AE17665" w14:textId="77777777" w:rsidR="00BC14BE" w:rsidRDefault="00BC14BE" w:rsidP="005602CC">
      <w:pPr>
        <w:pStyle w:val="Heading1"/>
      </w:pPr>
      <w:r>
        <w:br w:type="page"/>
      </w:r>
    </w:p>
    <w:p w14:paraId="08F7B614" w14:textId="5ED48AE6" w:rsidR="00901474" w:rsidRPr="00102B7A" w:rsidRDefault="00901474" w:rsidP="00A96FE6">
      <w:pPr>
        <w:pStyle w:val="Heading2"/>
      </w:pPr>
      <w:r w:rsidRPr="00102B7A">
        <w:lastRenderedPageBreak/>
        <w:t>Acknowledgement of Country</w:t>
      </w:r>
      <w:bookmarkEnd w:id="0"/>
      <w:r w:rsidRPr="00102B7A">
        <w:t xml:space="preserve"> </w:t>
      </w:r>
    </w:p>
    <w:p w14:paraId="480AF7F6" w14:textId="77777777" w:rsidR="00436D2C" w:rsidRPr="00102B7A" w:rsidRDefault="00436D2C" w:rsidP="0084267F">
      <w:pPr>
        <w:pStyle w:val="Heading4"/>
      </w:pPr>
    </w:p>
    <w:p w14:paraId="7217DD37" w14:textId="5DA8663D" w:rsidR="00040CF3" w:rsidRPr="00744891" w:rsidRDefault="00D9507D" w:rsidP="00744891">
      <w:pPr>
        <w:pStyle w:val="Heading4"/>
      </w:pPr>
      <w:r w:rsidRPr="00744891">
        <w:t>The Department of Jobs, Skills, Industry and Regions acknowledge</w:t>
      </w:r>
      <w:r w:rsidR="0076217B" w:rsidRPr="00744891">
        <w:t>s</w:t>
      </w:r>
      <w:r w:rsidRPr="00744891">
        <w:t xml:space="preserve"> the Traditional Owners of Country throughout Victoria, their ongoing connection to this land and we pay our respects to their culture and their Elders past</w:t>
      </w:r>
      <w:r w:rsidR="00C742C5" w:rsidRPr="00744891">
        <w:t xml:space="preserve"> and</w:t>
      </w:r>
      <w:r w:rsidRPr="00744891">
        <w:t xml:space="preserve"> present. </w:t>
      </w:r>
    </w:p>
    <w:p w14:paraId="2E8B13E2" w14:textId="77777777" w:rsidR="00040CF3" w:rsidRPr="00744891" w:rsidRDefault="00D9507D" w:rsidP="00744891">
      <w:pPr>
        <w:pStyle w:val="Heading4"/>
      </w:pPr>
      <w:r w:rsidRPr="00744891">
        <w:t xml:space="preserve">We </w:t>
      </w:r>
      <w:proofErr w:type="spellStart"/>
      <w:r w:rsidRPr="00744891">
        <w:t>recognise</w:t>
      </w:r>
      <w:proofErr w:type="spellEnd"/>
      <w:r w:rsidRPr="00744891">
        <w:t xml:space="preserve"> and value the ongoing contribution of Aboriginal people and communities to Victorian life and how this enriches our society more broadly. </w:t>
      </w:r>
    </w:p>
    <w:p w14:paraId="0E4B8354" w14:textId="2001E489" w:rsidR="00705ECB" w:rsidRPr="00744891" w:rsidRDefault="00D9507D" w:rsidP="00744891">
      <w:pPr>
        <w:pStyle w:val="Heading4"/>
      </w:pPr>
      <w:r w:rsidRPr="00744891">
        <w:t>We embrace the spirit of self-determination and reconciliation, working towards equality of outcomes</w:t>
      </w:r>
      <w:r w:rsidR="00335534" w:rsidRPr="00744891">
        <w:t xml:space="preserve"> </w:t>
      </w:r>
      <w:r w:rsidR="4D11A986" w:rsidRPr="00744891">
        <w:t>and meaningfully committing</w:t>
      </w:r>
      <w:r w:rsidR="00181EF8" w:rsidRPr="00744891">
        <w:t xml:space="preserve"> to Treaty and Truth</w:t>
      </w:r>
      <w:r w:rsidR="00705ECB" w:rsidRPr="00744891">
        <w:t>.</w:t>
      </w:r>
    </w:p>
    <w:p w14:paraId="6096CC8F" w14:textId="4D306F5E" w:rsidR="00BC14BE" w:rsidRDefault="00BC14BE">
      <w:pPr>
        <w:suppressAutoHyphens w:val="0"/>
        <w:autoSpaceDE/>
        <w:autoSpaceDN/>
        <w:adjustRightInd/>
        <w:spacing w:after="0" w:line="240" w:lineRule="auto"/>
        <w:jc w:val="left"/>
        <w:textAlignment w:val="auto"/>
        <w:rPr>
          <w:color w:val="auto"/>
        </w:rPr>
      </w:pPr>
      <w:r>
        <w:rPr>
          <w:color w:val="auto"/>
        </w:rPr>
        <w:br w:type="page"/>
      </w:r>
    </w:p>
    <w:p w14:paraId="23BF71E4" w14:textId="5D9D2B2C" w:rsidR="00B75707" w:rsidRPr="00102B7A" w:rsidRDefault="00B75707" w:rsidP="00744891">
      <w:pPr>
        <w:pStyle w:val="Heading4"/>
      </w:pPr>
      <w:proofErr w:type="spellStart"/>
      <w:r w:rsidRPr="00102B7A">
        <w:lastRenderedPageBreak/>
        <w:t>Authorised</w:t>
      </w:r>
      <w:proofErr w:type="spellEnd"/>
      <w:r w:rsidRPr="00102B7A">
        <w:t xml:space="preserve"> by the Hon. Gayle Tierney, </w:t>
      </w:r>
      <w:sdt>
        <w:sdtPr>
          <w:id w:val="-394967690"/>
          <w:placeholder>
            <w:docPart w:val="36DE430892CB454FBBD1802170E575B4"/>
          </w:placeholder>
        </w:sdtPr>
        <w:sdtContent>
          <w:r w:rsidRPr="00102B7A">
            <w:t>Minister for Skills</w:t>
          </w:r>
          <w:r w:rsidR="00705ECB" w:rsidRPr="00102B7A">
            <w:t xml:space="preserve"> and T</w:t>
          </w:r>
          <w:r w:rsidR="005B7251" w:rsidRPr="00102B7A">
            <w:t>A</w:t>
          </w:r>
          <w:r w:rsidR="00705ECB" w:rsidRPr="00102B7A">
            <w:t>FE</w:t>
          </w:r>
        </w:sdtContent>
      </w:sdt>
    </w:p>
    <w:p w14:paraId="0280F892" w14:textId="77777777" w:rsidR="00B75707" w:rsidRPr="00102B7A" w:rsidRDefault="00B75707" w:rsidP="00744891">
      <w:pPr>
        <w:pStyle w:val="Heading4"/>
      </w:pPr>
      <w:r w:rsidRPr="00102B7A">
        <w:t>Department of Jobs, Skills, Industry and Regions, 121 Exhibition Street Melbourne Victoria 3000</w:t>
      </w:r>
    </w:p>
    <w:p w14:paraId="28CCAA1E" w14:textId="77777777" w:rsidR="00B75707" w:rsidRPr="00102B7A" w:rsidRDefault="00B75707" w:rsidP="00744891">
      <w:pPr>
        <w:pStyle w:val="Heading4"/>
      </w:pPr>
      <w:r w:rsidRPr="00102B7A">
        <w:t>© Copyright State of Victoria,</w:t>
      </w:r>
    </w:p>
    <w:p w14:paraId="4EA719C4" w14:textId="1F258112" w:rsidR="00B75707" w:rsidRPr="00102B7A" w:rsidRDefault="00B75707" w:rsidP="00744891">
      <w:pPr>
        <w:pStyle w:val="Heading4"/>
      </w:pPr>
      <w:r w:rsidRPr="00102B7A">
        <w:t xml:space="preserve">Department of Jobs, Skills, Industry and Regions </w:t>
      </w:r>
      <w:r w:rsidR="00D549BE" w:rsidRPr="00102B7A">
        <w:t>202</w:t>
      </w:r>
      <w:r w:rsidR="0058066D" w:rsidRPr="00102B7A">
        <w:t>4</w:t>
      </w:r>
    </w:p>
    <w:p w14:paraId="03A82BFE" w14:textId="527144BB" w:rsidR="00561560" w:rsidRDefault="00B75707" w:rsidP="00744891">
      <w:pPr>
        <w:pStyle w:val="Heading4"/>
      </w:pPr>
      <w:r w:rsidRPr="00102B7A">
        <w:t xml:space="preserve">Except for any logos, emblems, trademarks, </w:t>
      </w:r>
      <w:proofErr w:type="gramStart"/>
      <w:r w:rsidRPr="00102B7A">
        <w:t>artwork</w:t>
      </w:r>
      <w:proofErr w:type="gramEnd"/>
      <w:r w:rsidRPr="00102B7A">
        <w:t xml:space="preserve"> and photography this document is made available under the terms of the Creative Commons Attribution 3.0 Australia license.</w:t>
      </w:r>
    </w:p>
    <w:p w14:paraId="5E669379" w14:textId="77777777" w:rsidR="00561560" w:rsidRDefault="00561560">
      <w:pPr>
        <w:suppressAutoHyphens w:val="0"/>
        <w:autoSpaceDE/>
        <w:autoSpaceDN/>
        <w:adjustRightInd/>
        <w:spacing w:after="0" w:line="240" w:lineRule="auto"/>
        <w:jc w:val="left"/>
        <w:textAlignment w:val="auto"/>
        <w:rPr>
          <w:color w:val="auto"/>
          <w:sz w:val="16"/>
          <w:szCs w:val="16"/>
        </w:rPr>
      </w:pPr>
      <w:r>
        <w:rPr>
          <w:color w:val="auto"/>
          <w:sz w:val="16"/>
          <w:szCs w:val="16"/>
        </w:rPr>
        <w:br w:type="page"/>
      </w:r>
    </w:p>
    <w:p w14:paraId="51892E88" w14:textId="3AC8BD3F" w:rsidR="00C708EB" w:rsidRPr="00102B7A" w:rsidRDefault="004B661B" w:rsidP="00A96FE6">
      <w:pPr>
        <w:pStyle w:val="Heading2"/>
      </w:pPr>
      <w:r w:rsidRPr="00102B7A">
        <w:lastRenderedPageBreak/>
        <w:t>CONTENTS</w:t>
      </w:r>
      <w:bookmarkEnd w:id="1"/>
      <w:bookmarkEnd w:id="2"/>
      <w:bookmarkEnd w:id="3"/>
      <w:bookmarkEnd w:id="4"/>
      <w:bookmarkEnd w:id="5"/>
    </w:p>
    <w:p w14:paraId="712ED1D3" w14:textId="2492C7F2" w:rsidR="00181EF8" w:rsidRPr="00102B7A" w:rsidRDefault="0047378C" w:rsidP="00A96FE6">
      <w:pPr>
        <w:pStyle w:val="Heading3"/>
      </w:pPr>
      <w:r w:rsidRPr="00102B7A">
        <w:fldChar w:fldCharType="begin"/>
      </w:r>
      <w:r w:rsidRPr="00102B7A">
        <w:instrText xml:space="preserve"> TOC \o "1-2" \h \z \u </w:instrText>
      </w:r>
      <w:r w:rsidRPr="00102B7A">
        <w:fldChar w:fldCharType="separate"/>
      </w:r>
      <w:hyperlink w:anchor="_Toc148100319" w:history="1">
        <w:r w:rsidR="00181EF8" w:rsidRPr="00102B7A">
          <w:rPr>
            <w:rStyle w:val="Hyperlink"/>
            <w:color w:val="auto"/>
            <w:u w:val="none"/>
          </w:rPr>
          <w:t>Acknowledgement of Country</w:t>
        </w:r>
        <w:r w:rsidR="00102B7A">
          <w:rPr>
            <w:webHidden/>
          </w:rPr>
          <w:t xml:space="preserve">, </w:t>
        </w:r>
        <w:r w:rsidR="00181EF8" w:rsidRPr="00102B7A">
          <w:rPr>
            <w:webHidden/>
          </w:rPr>
          <w:fldChar w:fldCharType="begin"/>
        </w:r>
        <w:r w:rsidR="00181EF8" w:rsidRPr="00102B7A">
          <w:rPr>
            <w:webHidden/>
          </w:rPr>
          <w:instrText xml:space="preserve"> PAGEREF _Toc148100319 \h </w:instrText>
        </w:r>
        <w:r w:rsidR="00181EF8" w:rsidRPr="00102B7A">
          <w:rPr>
            <w:webHidden/>
          </w:rPr>
        </w:r>
        <w:r w:rsidR="00181EF8" w:rsidRPr="00102B7A">
          <w:rPr>
            <w:webHidden/>
          </w:rPr>
          <w:fldChar w:fldCharType="separate"/>
        </w:r>
        <w:r w:rsidR="00682105" w:rsidRPr="00102B7A">
          <w:rPr>
            <w:webHidden/>
          </w:rPr>
          <w:t>1</w:t>
        </w:r>
        <w:r w:rsidR="00181EF8" w:rsidRPr="00102B7A">
          <w:rPr>
            <w:webHidden/>
          </w:rPr>
          <w:fldChar w:fldCharType="end"/>
        </w:r>
      </w:hyperlink>
    </w:p>
    <w:p w14:paraId="2C348C61" w14:textId="7D5B976A" w:rsidR="00181EF8" w:rsidRPr="00102B7A" w:rsidRDefault="00000000" w:rsidP="00A96FE6">
      <w:pPr>
        <w:pStyle w:val="Heading3"/>
      </w:pPr>
      <w:hyperlink w:anchor="_Toc148100320" w:history="1">
        <w:r w:rsidR="00181EF8" w:rsidRPr="00102B7A">
          <w:rPr>
            <w:rStyle w:val="Hyperlink"/>
            <w:color w:val="auto"/>
            <w:u w:val="none"/>
          </w:rPr>
          <w:t>Minister’s Commitment</w:t>
        </w:r>
        <w:r w:rsidR="00102B7A">
          <w:rPr>
            <w:webHidden/>
          </w:rPr>
          <w:t xml:space="preserve">, </w:t>
        </w:r>
        <w:r w:rsidR="00181EF8" w:rsidRPr="00102B7A">
          <w:rPr>
            <w:webHidden/>
          </w:rPr>
          <w:fldChar w:fldCharType="begin"/>
        </w:r>
        <w:r w:rsidR="00181EF8" w:rsidRPr="00102B7A">
          <w:rPr>
            <w:webHidden/>
          </w:rPr>
          <w:instrText xml:space="preserve"> PAGEREF _Toc148100320 \h </w:instrText>
        </w:r>
        <w:r w:rsidR="00181EF8" w:rsidRPr="00102B7A">
          <w:rPr>
            <w:webHidden/>
          </w:rPr>
        </w:r>
        <w:r w:rsidR="00181EF8" w:rsidRPr="00102B7A">
          <w:rPr>
            <w:webHidden/>
          </w:rPr>
          <w:fldChar w:fldCharType="separate"/>
        </w:r>
        <w:r w:rsidR="00682105" w:rsidRPr="00102B7A">
          <w:rPr>
            <w:webHidden/>
          </w:rPr>
          <w:t>4</w:t>
        </w:r>
        <w:r w:rsidR="00181EF8" w:rsidRPr="00102B7A">
          <w:rPr>
            <w:webHidden/>
          </w:rPr>
          <w:fldChar w:fldCharType="end"/>
        </w:r>
      </w:hyperlink>
    </w:p>
    <w:p w14:paraId="76FA4179" w14:textId="4BCAB7AC" w:rsidR="00181EF8" w:rsidRPr="00102B7A" w:rsidRDefault="00000000" w:rsidP="00A96FE6">
      <w:pPr>
        <w:pStyle w:val="Heading3"/>
      </w:pPr>
      <w:hyperlink w:anchor="_Toc148100321" w:history="1">
        <w:r w:rsidR="00181EF8" w:rsidRPr="00102B7A">
          <w:rPr>
            <w:rStyle w:val="Hyperlink"/>
            <w:color w:val="auto"/>
            <w:u w:val="none"/>
          </w:rPr>
          <w:t>Purpose</w:t>
        </w:r>
        <w:r w:rsidR="00102B7A">
          <w:rPr>
            <w:webHidden/>
          </w:rPr>
          <w:t xml:space="preserve">, </w:t>
        </w:r>
        <w:r w:rsidR="00181EF8" w:rsidRPr="00102B7A">
          <w:rPr>
            <w:webHidden/>
          </w:rPr>
          <w:fldChar w:fldCharType="begin"/>
        </w:r>
        <w:r w:rsidR="00181EF8" w:rsidRPr="00102B7A">
          <w:rPr>
            <w:webHidden/>
          </w:rPr>
          <w:instrText xml:space="preserve"> PAGEREF _Toc148100321 \h </w:instrText>
        </w:r>
        <w:r w:rsidR="00181EF8" w:rsidRPr="00102B7A">
          <w:rPr>
            <w:webHidden/>
          </w:rPr>
        </w:r>
        <w:r w:rsidR="00181EF8" w:rsidRPr="00102B7A">
          <w:rPr>
            <w:webHidden/>
          </w:rPr>
          <w:fldChar w:fldCharType="separate"/>
        </w:r>
        <w:r w:rsidR="00682105" w:rsidRPr="00102B7A">
          <w:rPr>
            <w:webHidden/>
          </w:rPr>
          <w:t>5</w:t>
        </w:r>
        <w:r w:rsidR="00181EF8" w:rsidRPr="00102B7A">
          <w:rPr>
            <w:webHidden/>
          </w:rPr>
          <w:fldChar w:fldCharType="end"/>
        </w:r>
      </w:hyperlink>
    </w:p>
    <w:p w14:paraId="79AEAFCC" w14:textId="1B2E102C" w:rsidR="00181EF8" w:rsidRPr="00102B7A" w:rsidRDefault="00000000" w:rsidP="00A96FE6">
      <w:pPr>
        <w:pStyle w:val="Heading3"/>
      </w:pPr>
      <w:hyperlink w:anchor="_Toc148100322" w:history="1">
        <w:r w:rsidR="00181EF8" w:rsidRPr="00102B7A">
          <w:rPr>
            <w:rStyle w:val="Hyperlink"/>
            <w:color w:val="auto"/>
            <w:u w:val="none"/>
          </w:rPr>
          <w:t>Accountability for Network outcomes</w:t>
        </w:r>
        <w:r w:rsidR="00102B7A">
          <w:rPr>
            <w:webHidden/>
          </w:rPr>
          <w:t xml:space="preserve">, </w:t>
        </w:r>
        <w:r w:rsidR="00181EF8" w:rsidRPr="00102B7A">
          <w:rPr>
            <w:webHidden/>
          </w:rPr>
          <w:fldChar w:fldCharType="begin"/>
        </w:r>
        <w:r w:rsidR="00181EF8" w:rsidRPr="00102B7A">
          <w:rPr>
            <w:webHidden/>
          </w:rPr>
          <w:instrText xml:space="preserve"> PAGEREF _Toc148100322 \h </w:instrText>
        </w:r>
        <w:r w:rsidR="00181EF8" w:rsidRPr="00102B7A">
          <w:rPr>
            <w:webHidden/>
          </w:rPr>
        </w:r>
        <w:r w:rsidR="00181EF8" w:rsidRPr="00102B7A">
          <w:rPr>
            <w:webHidden/>
          </w:rPr>
          <w:fldChar w:fldCharType="separate"/>
        </w:r>
        <w:r w:rsidR="00682105" w:rsidRPr="00102B7A">
          <w:rPr>
            <w:webHidden/>
          </w:rPr>
          <w:t>5</w:t>
        </w:r>
        <w:r w:rsidR="00181EF8" w:rsidRPr="00102B7A">
          <w:rPr>
            <w:webHidden/>
          </w:rPr>
          <w:fldChar w:fldCharType="end"/>
        </w:r>
      </w:hyperlink>
    </w:p>
    <w:p w14:paraId="3D9B143A" w14:textId="7484061B" w:rsidR="00181EF8" w:rsidRPr="00102B7A" w:rsidRDefault="00000000" w:rsidP="00A96FE6">
      <w:pPr>
        <w:pStyle w:val="Heading3"/>
      </w:pPr>
      <w:hyperlink w:anchor="_Toc148100323" w:history="1">
        <w:r w:rsidR="00181EF8" w:rsidRPr="00102B7A">
          <w:rPr>
            <w:rStyle w:val="Hyperlink"/>
            <w:color w:val="auto"/>
            <w:u w:val="none"/>
          </w:rPr>
          <w:t>The Victorian TAFE Network vision and strategic purpose</w:t>
        </w:r>
        <w:r w:rsidR="00102B7A">
          <w:rPr>
            <w:webHidden/>
          </w:rPr>
          <w:t xml:space="preserve">, </w:t>
        </w:r>
        <w:r w:rsidR="00181EF8" w:rsidRPr="00102B7A">
          <w:rPr>
            <w:webHidden/>
          </w:rPr>
          <w:fldChar w:fldCharType="begin"/>
        </w:r>
        <w:r w:rsidR="00181EF8" w:rsidRPr="00102B7A">
          <w:rPr>
            <w:webHidden/>
          </w:rPr>
          <w:instrText xml:space="preserve"> PAGEREF _Toc148100323 \h </w:instrText>
        </w:r>
        <w:r w:rsidR="00181EF8" w:rsidRPr="00102B7A">
          <w:rPr>
            <w:webHidden/>
          </w:rPr>
        </w:r>
        <w:r w:rsidR="00181EF8" w:rsidRPr="00102B7A">
          <w:rPr>
            <w:webHidden/>
          </w:rPr>
          <w:fldChar w:fldCharType="separate"/>
        </w:r>
        <w:r w:rsidR="00682105" w:rsidRPr="00102B7A">
          <w:rPr>
            <w:webHidden/>
          </w:rPr>
          <w:t>6</w:t>
        </w:r>
        <w:r w:rsidR="00181EF8" w:rsidRPr="00102B7A">
          <w:rPr>
            <w:webHidden/>
          </w:rPr>
          <w:fldChar w:fldCharType="end"/>
        </w:r>
      </w:hyperlink>
    </w:p>
    <w:p w14:paraId="0163DD4D" w14:textId="29EEE053" w:rsidR="00181EF8" w:rsidRPr="00102B7A" w:rsidRDefault="00000000" w:rsidP="00744891">
      <w:pPr>
        <w:pStyle w:val="Heading4"/>
      </w:pPr>
      <w:hyperlink w:anchor="_Toc148100324" w:history="1">
        <w:r w:rsidR="00181EF8" w:rsidRPr="00102B7A">
          <w:rPr>
            <w:rStyle w:val="Hyperlink"/>
            <w:color w:val="auto"/>
            <w:u w:val="none"/>
          </w:rPr>
          <w:t>Victoria’s public TAFE network is delivering a pipeline of skilled workers for jobs now and in the future</w:t>
        </w:r>
        <w:r w:rsidR="00102B7A">
          <w:rPr>
            <w:rStyle w:val="Hyperlink"/>
            <w:color w:val="auto"/>
            <w:u w:val="none"/>
          </w:rPr>
          <w:t xml:space="preserve">, </w:t>
        </w:r>
        <w:r w:rsidR="00181EF8" w:rsidRPr="00102B7A">
          <w:rPr>
            <w:webHidden/>
          </w:rPr>
          <w:fldChar w:fldCharType="begin"/>
        </w:r>
        <w:r w:rsidR="00181EF8" w:rsidRPr="00102B7A">
          <w:rPr>
            <w:webHidden/>
          </w:rPr>
          <w:instrText xml:space="preserve"> PAGEREF _Toc148100324 \h </w:instrText>
        </w:r>
        <w:r w:rsidR="00181EF8" w:rsidRPr="00102B7A">
          <w:rPr>
            <w:webHidden/>
          </w:rPr>
        </w:r>
        <w:r w:rsidR="00181EF8" w:rsidRPr="00102B7A">
          <w:rPr>
            <w:webHidden/>
          </w:rPr>
          <w:fldChar w:fldCharType="separate"/>
        </w:r>
        <w:r w:rsidR="00682105" w:rsidRPr="00102B7A">
          <w:rPr>
            <w:webHidden/>
          </w:rPr>
          <w:t>6</w:t>
        </w:r>
        <w:r w:rsidR="00181EF8" w:rsidRPr="00102B7A">
          <w:rPr>
            <w:webHidden/>
          </w:rPr>
          <w:fldChar w:fldCharType="end"/>
        </w:r>
      </w:hyperlink>
    </w:p>
    <w:p w14:paraId="6F2D797C" w14:textId="5667CDA8" w:rsidR="00181EF8" w:rsidRPr="00102B7A" w:rsidRDefault="00000000" w:rsidP="00744891">
      <w:pPr>
        <w:pStyle w:val="Heading4"/>
      </w:pPr>
      <w:hyperlink w:anchor="_Toc148100325" w:history="1">
        <w:r w:rsidR="00181EF8" w:rsidRPr="00102B7A">
          <w:rPr>
            <w:rStyle w:val="Hyperlink"/>
            <w:color w:val="auto"/>
            <w:u w:val="none"/>
          </w:rPr>
          <w:t>The TAFE Network is growing Victoria’s prosperity and productive capacity through partnering with industry</w:t>
        </w:r>
        <w:r w:rsidR="00102B7A">
          <w:rPr>
            <w:webHidden/>
          </w:rPr>
          <w:t xml:space="preserve">, </w:t>
        </w:r>
        <w:r w:rsidR="00181EF8" w:rsidRPr="00102B7A">
          <w:rPr>
            <w:webHidden/>
          </w:rPr>
          <w:fldChar w:fldCharType="begin"/>
        </w:r>
        <w:r w:rsidR="00181EF8" w:rsidRPr="00102B7A">
          <w:rPr>
            <w:webHidden/>
          </w:rPr>
          <w:instrText xml:space="preserve"> PAGEREF _Toc148100325 \h </w:instrText>
        </w:r>
        <w:r w:rsidR="00181EF8" w:rsidRPr="00102B7A">
          <w:rPr>
            <w:webHidden/>
          </w:rPr>
        </w:r>
        <w:r w:rsidR="00181EF8" w:rsidRPr="00102B7A">
          <w:rPr>
            <w:webHidden/>
          </w:rPr>
          <w:fldChar w:fldCharType="separate"/>
        </w:r>
        <w:r w:rsidR="00682105" w:rsidRPr="00102B7A">
          <w:rPr>
            <w:webHidden/>
          </w:rPr>
          <w:t>6</w:t>
        </w:r>
        <w:r w:rsidR="00181EF8" w:rsidRPr="00102B7A">
          <w:rPr>
            <w:webHidden/>
          </w:rPr>
          <w:fldChar w:fldCharType="end"/>
        </w:r>
      </w:hyperlink>
    </w:p>
    <w:p w14:paraId="3E9A71D3" w14:textId="67F054B9" w:rsidR="00181EF8" w:rsidRPr="00102B7A" w:rsidRDefault="00000000" w:rsidP="00744891">
      <w:pPr>
        <w:pStyle w:val="Heading4"/>
      </w:pPr>
      <w:hyperlink w:anchor="_Toc148100326" w:history="1">
        <w:r w:rsidR="00181EF8" w:rsidRPr="00102B7A">
          <w:rPr>
            <w:rStyle w:val="Hyperlink"/>
            <w:color w:val="auto"/>
            <w:u w:val="none"/>
          </w:rPr>
          <w:t>The TAFE Network supports economic inclusion and participation to ensure all Victorians benefit from the state’s prosperity</w:t>
        </w:r>
        <w:r w:rsidR="00102B7A">
          <w:rPr>
            <w:webHidden/>
          </w:rPr>
          <w:t xml:space="preserve">, </w:t>
        </w:r>
        <w:r w:rsidR="00181EF8" w:rsidRPr="00102B7A">
          <w:rPr>
            <w:webHidden/>
          </w:rPr>
          <w:fldChar w:fldCharType="begin"/>
        </w:r>
        <w:r w:rsidR="00181EF8" w:rsidRPr="00102B7A">
          <w:rPr>
            <w:webHidden/>
          </w:rPr>
          <w:instrText xml:space="preserve"> PAGEREF _Toc148100326 \h </w:instrText>
        </w:r>
        <w:r w:rsidR="00181EF8" w:rsidRPr="00102B7A">
          <w:rPr>
            <w:webHidden/>
          </w:rPr>
        </w:r>
        <w:r w:rsidR="00181EF8" w:rsidRPr="00102B7A">
          <w:rPr>
            <w:webHidden/>
          </w:rPr>
          <w:fldChar w:fldCharType="separate"/>
        </w:r>
        <w:r w:rsidR="00682105" w:rsidRPr="00102B7A">
          <w:rPr>
            <w:webHidden/>
          </w:rPr>
          <w:t>7</w:t>
        </w:r>
        <w:r w:rsidR="00181EF8" w:rsidRPr="00102B7A">
          <w:rPr>
            <w:webHidden/>
          </w:rPr>
          <w:fldChar w:fldCharType="end"/>
        </w:r>
      </w:hyperlink>
    </w:p>
    <w:p w14:paraId="460D80B2" w14:textId="78508E02" w:rsidR="00181EF8" w:rsidRPr="00102B7A" w:rsidRDefault="00000000" w:rsidP="00A96FE6">
      <w:pPr>
        <w:pStyle w:val="Heading3"/>
      </w:pPr>
      <w:hyperlink w:anchor="_Toc148100327" w:history="1">
        <w:r w:rsidR="00181EF8" w:rsidRPr="00102B7A">
          <w:rPr>
            <w:rStyle w:val="Hyperlink"/>
            <w:color w:val="auto"/>
            <w:u w:val="none"/>
          </w:rPr>
          <w:t>TAFE Network priority areas</w:t>
        </w:r>
        <w:r w:rsidR="00102B7A">
          <w:rPr>
            <w:webHidden/>
          </w:rPr>
          <w:t xml:space="preserve">, </w:t>
        </w:r>
        <w:r w:rsidR="00181EF8" w:rsidRPr="00102B7A">
          <w:rPr>
            <w:webHidden/>
          </w:rPr>
          <w:fldChar w:fldCharType="begin"/>
        </w:r>
        <w:r w:rsidR="00181EF8" w:rsidRPr="00102B7A">
          <w:rPr>
            <w:webHidden/>
          </w:rPr>
          <w:instrText xml:space="preserve"> PAGEREF _Toc148100327 \h </w:instrText>
        </w:r>
        <w:r w:rsidR="00181EF8" w:rsidRPr="00102B7A">
          <w:rPr>
            <w:webHidden/>
          </w:rPr>
        </w:r>
        <w:r w:rsidR="00181EF8" w:rsidRPr="00102B7A">
          <w:rPr>
            <w:webHidden/>
          </w:rPr>
          <w:fldChar w:fldCharType="separate"/>
        </w:r>
        <w:r w:rsidR="00682105" w:rsidRPr="00102B7A">
          <w:rPr>
            <w:webHidden/>
          </w:rPr>
          <w:t>8</w:t>
        </w:r>
        <w:r w:rsidR="00181EF8" w:rsidRPr="00102B7A">
          <w:rPr>
            <w:webHidden/>
          </w:rPr>
          <w:fldChar w:fldCharType="end"/>
        </w:r>
      </w:hyperlink>
    </w:p>
    <w:p w14:paraId="0F0F0CBA" w14:textId="4B031A15" w:rsidR="00181EF8" w:rsidRPr="00561560" w:rsidRDefault="00000000" w:rsidP="00A96FE6">
      <w:pPr>
        <w:pStyle w:val="Heading3"/>
        <w:rPr>
          <w:rStyle w:val="Hyperlink"/>
          <w:color w:val="000000"/>
          <w:u w:val="none"/>
        </w:rPr>
      </w:pPr>
      <w:hyperlink w:anchor="_Toc148100328" w:history="1">
        <w:r w:rsidR="00181EF8" w:rsidRPr="00102B7A">
          <w:rPr>
            <w:rStyle w:val="Hyperlink"/>
            <w:color w:val="auto"/>
            <w:u w:val="none"/>
          </w:rPr>
          <w:t>2024 TAFE Network Priorities: Skills</w:t>
        </w:r>
        <w:r w:rsidR="00102B7A" w:rsidRPr="00561560">
          <w:rPr>
            <w:rStyle w:val="Hyperlink"/>
            <w:webHidden/>
            <w:color w:val="000000"/>
            <w:u w:val="none"/>
          </w:rPr>
          <w:t xml:space="preserve">, </w:t>
        </w:r>
        <w:r w:rsidR="00181EF8" w:rsidRPr="00561560">
          <w:rPr>
            <w:rStyle w:val="Hyperlink"/>
            <w:webHidden/>
            <w:color w:val="000000"/>
            <w:u w:val="none"/>
          </w:rPr>
          <w:fldChar w:fldCharType="begin"/>
        </w:r>
        <w:r w:rsidR="00181EF8" w:rsidRPr="00561560">
          <w:rPr>
            <w:rStyle w:val="Hyperlink"/>
            <w:webHidden/>
            <w:color w:val="000000"/>
            <w:u w:val="none"/>
          </w:rPr>
          <w:instrText xml:space="preserve"> PAGEREF _Toc148100328 \h </w:instrText>
        </w:r>
        <w:r w:rsidR="00181EF8" w:rsidRPr="00561560">
          <w:rPr>
            <w:rStyle w:val="Hyperlink"/>
            <w:webHidden/>
            <w:color w:val="000000"/>
            <w:u w:val="none"/>
          </w:rPr>
        </w:r>
        <w:r w:rsidR="00181EF8" w:rsidRPr="00561560">
          <w:rPr>
            <w:rStyle w:val="Hyperlink"/>
            <w:webHidden/>
            <w:color w:val="000000"/>
            <w:u w:val="none"/>
          </w:rPr>
          <w:fldChar w:fldCharType="separate"/>
        </w:r>
        <w:r w:rsidR="00682105" w:rsidRPr="00561560">
          <w:rPr>
            <w:rStyle w:val="Hyperlink"/>
            <w:webHidden/>
            <w:color w:val="000000"/>
            <w:u w:val="none"/>
          </w:rPr>
          <w:t>9</w:t>
        </w:r>
        <w:r w:rsidR="00181EF8" w:rsidRPr="00561560">
          <w:rPr>
            <w:rStyle w:val="Hyperlink"/>
            <w:webHidden/>
            <w:color w:val="000000"/>
            <w:u w:val="none"/>
          </w:rPr>
          <w:fldChar w:fldCharType="end"/>
        </w:r>
      </w:hyperlink>
    </w:p>
    <w:p w14:paraId="4F67E9CD" w14:textId="5A655366" w:rsidR="00181EF8" w:rsidRPr="00561560" w:rsidRDefault="00000000" w:rsidP="00A96FE6">
      <w:pPr>
        <w:pStyle w:val="Heading3"/>
        <w:rPr>
          <w:rStyle w:val="Hyperlink"/>
          <w:color w:val="000000"/>
          <w:u w:val="none"/>
        </w:rPr>
      </w:pPr>
      <w:hyperlink w:anchor="_Toc148100329" w:history="1">
        <w:r w:rsidR="00181EF8" w:rsidRPr="00102B7A">
          <w:rPr>
            <w:rStyle w:val="Hyperlink"/>
            <w:color w:val="auto"/>
            <w:u w:val="none"/>
          </w:rPr>
          <w:t>2024 TAFE Network Priorities: Students</w:t>
        </w:r>
        <w:r w:rsidR="00102B7A" w:rsidRPr="00561560">
          <w:rPr>
            <w:rStyle w:val="Hyperlink"/>
            <w:webHidden/>
            <w:color w:val="000000"/>
            <w:u w:val="none"/>
          </w:rPr>
          <w:t xml:space="preserve">, </w:t>
        </w:r>
        <w:r w:rsidR="00181EF8" w:rsidRPr="00561560">
          <w:rPr>
            <w:rStyle w:val="Hyperlink"/>
            <w:webHidden/>
            <w:color w:val="000000"/>
            <w:u w:val="none"/>
          </w:rPr>
          <w:fldChar w:fldCharType="begin"/>
        </w:r>
        <w:r w:rsidR="00181EF8" w:rsidRPr="00561560">
          <w:rPr>
            <w:rStyle w:val="Hyperlink"/>
            <w:webHidden/>
            <w:color w:val="000000"/>
            <w:u w:val="none"/>
          </w:rPr>
          <w:instrText xml:space="preserve"> PAGEREF _Toc148100329 \h </w:instrText>
        </w:r>
        <w:r w:rsidR="00181EF8" w:rsidRPr="00561560">
          <w:rPr>
            <w:rStyle w:val="Hyperlink"/>
            <w:webHidden/>
            <w:color w:val="000000"/>
            <w:u w:val="none"/>
          </w:rPr>
        </w:r>
        <w:r w:rsidR="00181EF8" w:rsidRPr="00561560">
          <w:rPr>
            <w:rStyle w:val="Hyperlink"/>
            <w:webHidden/>
            <w:color w:val="000000"/>
            <w:u w:val="none"/>
          </w:rPr>
          <w:fldChar w:fldCharType="separate"/>
        </w:r>
        <w:r w:rsidR="00682105" w:rsidRPr="00561560">
          <w:rPr>
            <w:rStyle w:val="Hyperlink"/>
            <w:webHidden/>
            <w:color w:val="000000"/>
            <w:u w:val="none"/>
          </w:rPr>
          <w:t>11</w:t>
        </w:r>
        <w:r w:rsidR="00181EF8" w:rsidRPr="00561560">
          <w:rPr>
            <w:rStyle w:val="Hyperlink"/>
            <w:webHidden/>
            <w:color w:val="000000"/>
            <w:u w:val="none"/>
          </w:rPr>
          <w:fldChar w:fldCharType="end"/>
        </w:r>
      </w:hyperlink>
    </w:p>
    <w:p w14:paraId="60813A15" w14:textId="08D88A46" w:rsidR="00181EF8" w:rsidRPr="00561560" w:rsidRDefault="00000000" w:rsidP="00A96FE6">
      <w:pPr>
        <w:pStyle w:val="Heading3"/>
        <w:rPr>
          <w:rStyle w:val="Hyperlink"/>
          <w:color w:val="000000"/>
          <w:u w:val="none"/>
        </w:rPr>
      </w:pPr>
      <w:hyperlink w:anchor="_Toc148100330" w:history="1">
        <w:r w:rsidR="00181EF8" w:rsidRPr="00102B7A">
          <w:rPr>
            <w:rStyle w:val="Hyperlink"/>
            <w:color w:val="auto"/>
            <w:u w:val="none"/>
          </w:rPr>
          <w:t>2024 TAFE Network Priorities: Sustainability</w:t>
        </w:r>
        <w:r w:rsidR="00102B7A" w:rsidRPr="00561560">
          <w:rPr>
            <w:rStyle w:val="Hyperlink"/>
            <w:webHidden/>
            <w:color w:val="000000"/>
            <w:u w:val="none"/>
          </w:rPr>
          <w:t xml:space="preserve">, </w:t>
        </w:r>
        <w:r w:rsidR="00181EF8" w:rsidRPr="00561560">
          <w:rPr>
            <w:rStyle w:val="Hyperlink"/>
            <w:webHidden/>
            <w:color w:val="000000"/>
            <w:u w:val="none"/>
          </w:rPr>
          <w:fldChar w:fldCharType="begin"/>
        </w:r>
        <w:r w:rsidR="00181EF8" w:rsidRPr="00561560">
          <w:rPr>
            <w:rStyle w:val="Hyperlink"/>
            <w:webHidden/>
            <w:color w:val="000000"/>
            <w:u w:val="none"/>
          </w:rPr>
          <w:instrText xml:space="preserve"> PAGEREF _Toc148100330 \h </w:instrText>
        </w:r>
        <w:r w:rsidR="00181EF8" w:rsidRPr="00561560">
          <w:rPr>
            <w:rStyle w:val="Hyperlink"/>
            <w:webHidden/>
            <w:color w:val="000000"/>
            <w:u w:val="none"/>
          </w:rPr>
        </w:r>
        <w:r w:rsidR="00181EF8" w:rsidRPr="00561560">
          <w:rPr>
            <w:rStyle w:val="Hyperlink"/>
            <w:webHidden/>
            <w:color w:val="000000"/>
            <w:u w:val="none"/>
          </w:rPr>
          <w:fldChar w:fldCharType="separate"/>
        </w:r>
        <w:r w:rsidR="00682105" w:rsidRPr="00561560">
          <w:rPr>
            <w:rStyle w:val="Hyperlink"/>
            <w:webHidden/>
            <w:color w:val="000000"/>
            <w:u w:val="none"/>
          </w:rPr>
          <w:t>13</w:t>
        </w:r>
        <w:r w:rsidR="00181EF8" w:rsidRPr="00561560">
          <w:rPr>
            <w:rStyle w:val="Hyperlink"/>
            <w:webHidden/>
            <w:color w:val="000000"/>
            <w:u w:val="none"/>
          </w:rPr>
          <w:fldChar w:fldCharType="end"/>
        </w:r>
      </w:hyperlink>
    </w:p>
    <w:p w14:paraId="589E24F3" w14:textId="11D2057A" w:rsidR="00181EF8" w:rsidRPr="00561560" w:rsidRDefault="00000000" w:rsidP="00A96FE6">
      <w:pPr>
        <w:pStyle w:val="Heading3"/>
        <w:rPr>
          <w:rStyle w:val="Hyperlink"/>
          <w:color w:val="000000"/>
          <w:u w:val="none"/>
        </w:rPr>
      </w:pPr>
      <w:hyperlink w:anchor="_Toc148100332" w:history="1">
        <w:r w:rsidR="00181EF8" w:rsidRPr="00102B7A">
          <w:rPr>
            <w:rStyle w:val="Hyperlink"/>
            <w:color w:val="auto"/>
            <w:u w:val="none"/>
          </w:rPr>
          <w:t xml:space="preserve">2024 TAFE Network Priorities: Staff </w:t>
        </w:r>
        <w:r w:rsidR="00102B7A" w:rsidRPr="00561560">
          <w:rPr>
            <w:rStyle w:val="Hyperlink"/>
            <w:webHidden/>
            <w:color w:val="000000"/>
            <w:u w:val="none"/>
          </w:rPr>
          <w:t xml:space="preserve">, </w:t>
        </w:r>
        <w:r w:rsidR="00181EF8" w:rsidRPr="00561560">
          <w:rPr>
            <w:rStyle w:val="Hyperlink"/>
            <w:webHidden/>
            <w:color w:val="000000"/>
            <w:u w:val="none"/>
          </w:rPr>
          <w:fldChar w:fldCharType="begin"/>
        </w:r>
        <w:r w:rsidR="00181EF8" w:rsidRPr="00561560">
          <w:rPr>
            <w:rStyle w:val="Hyperlink"/>
            <w:webHidden/>
            <w:color w:val="000000"/>
            <w:u w:val="none"/>
          </w:rPr>
          <w:instrText xml:space="preserve"> PAGEREF _Toc148100332 \h </w:instrText>
        </w:r>
        <w:r w:rsidR="00181EF8" w:rsidRPr="00561560">
          <w:rPr>
            <w:rStyle w:val="Hyperlink"/>
            <w:webHidden/>
            <w:color w:val="000000"/>
            <w:u w:val="none"/>
          </w:rPr>
        </w:r>
        <w:r w:rsidR="00181EF8" w:rsidRPr="00561560">
          <w:rPr>
            <w:rStyle w:val="Hyperlink"/>
            <w:webHidden/>
            <w:color w:val="000000"/>
            <w:u w:val="none"/>
          </w:rPr>
          <w:fldChar w:fldCharType="separate"/>
        </w:r>
        <w:r w:rsidR="00682105" w:rsidRPr="00561560">
          <w:rPr>
            <w:rStyle w:val="Hyperlink"/>
            <w:webHidden/>
            <w:color w:val="000000"/>
            <w:u w:val="none"/>
          </w:rPr>
          <w:t>16</w:t>
        </w:r>
        <w:r w:rsidR="00181EF8" w:rsidRPr="00561560">
          <w:rPr>
            <w:rStyle w:val="Hyperlink"/>
            <w:webHidden/>
            <w:color w:val="000000"/>
            <w:u w:val="none"/>
          </w:rPr>
          <w:fldChar w:fldCharType="end"/>
        </w:r>
      </w:hyperlink>
    </w:p>
    <w:p w14:paraId="42131AF3" w14:textId="068BC31C" w:rsidR="004B661B" w:rsidRPr="00102B7A" w:rsidRDefault="00000000" w:rsidP="00A96FE6">
      <w:pPr>
        <w:pStyle w:val="Heading3"/>
      </w:pPr>
      <w:hyperlink w:anchor="_Toc148100333" w:history="1">
        <w:r w:rsidR="00181EF8" w:rsidRPr="00102B7A">
          <w:rPr>
            <w:rStyle w:val="Hyperlink"/>
            <w:color w:val="auto"/>
            <w:u w:val="none"/>
          </w:rPr>
          <w:t>Signing page</w:t>
        </w:r>
        <w:r w:rsidR="00102B7A">
          <w:rPr>
            <w:webHidden/>
          </w:rPr>
          <w:t xml:space="preserve">, </w:t>
        </w:r>
        <w:r w:rsidR="00181EF8" w:rsidRPr="00102B7A">
          <w:rPr>
            <w:webHidden/>
          </w:rPr>
          <w:fldChar w:fldCharType="begin"/>
        </w:r>
        <w:r w:rsidR="00181EF8" w:rsidRPr="00102B7A">
          <w:rPr>
            <w:webHidden/>
          </w:rPr>
          <w:instrText xml:space="preserve"> PAGEREF _Toc148100333 \h </w:instrText>
        </w:r>
        <w:r w:rsidR="00181EF8" w:rsidRPr="00102B7A">
          <w:rPr>
            <w:webHidden/>
          </w:rPr>
        </w:r>
        <w:r w:rsidR="00181EF8" w:rsidRPr="00102B7A">
          <w:rPr>
            <w:webHidden/>
          </w:rPr>
          <w:fldChar w:fldCharType="separate"/>
        </w:r>
        <w:r w:rsidR="00682105" w:rsidRPr="00102B7A">
          <w:rPr>
            <w:webHidden/>
          </w:rPr>
          <w:t>18</w:t>
        </w:r>
        <w:r w:rsidR="00181EF8" w:rsidRPr="00102B7A">
          <w:rPr>
            <w:webHidden/>
          </w:rPr>
          <w:fldChar w:fldCharType="end"/>
        </w:r>
      </w:hyperlink>
      <w:r w:rsidR="0047378C" w:rsidRPr="00102B7A">
        <w:fldChar w:fldCharType="end"/>
      </w:r>
    </w:p>
    <w:p w14:paraId="21759C86" w14:textId="7E36BA13" w:rsidR="000E1127" w:rsidRPr="00102B7A" w:rsidRDefault="000E1127" w:rsidP="003014E9">
      <w:pPr>
        <w:suppressAutoHyphens w:val="0"/>
        <w:autoSpaceDE/>
        <w:autoSpaceDN/>
        <w:adjustRightInd/>
        <w:spacing w:after="0" w:line="240" w:lineRule="auto"/>
        <w:jc w:val="left"/>
        <w:textAlignment w:val="auto"/>
        <w:rPr>
          <w:color w:val="auto"/>
        </w:rPr>
      </w:pPr>
      <w:bookmarkStart w:id="6" w:name="_Toc125033490"/>
      <w:r w:rsidRPr="00102B7A">
        <w:rPr>
          <w:color w:val="auto"/>
        </w:rPr>
        <w:br w:type="page"/>
      </w:r>
    </w:p>
    <w:p w14:paraId="1532C109" w14:textId="77777777" w:rsidR="005C6936" w:rsidRDefault="00ED4D2B" w:rsidP="00A96FE6">
      <w:pPr>
        <w:pStyle w:val="Heading2"/>
      </w:pPr>
      <w:bookmarkStart w:id="7" w:name="_Toc148100320"/>
      <w:r w:rsidRPr="00102B7A">
        <w:rPr>
          <w:noProof/>
        </w:rPr>
        <w:lastRenderedPageBreak/>
        <w:drawing>
          <wp:inline distT="0" distB="0" distL="0" distR="0" wp14:anchorId="027510EB" wp14:editId="020ECB9A">
            <wp:extent cx="1676400" cy="1864360"/>
            <wp:effectExtent l="0" t="0" r="0" b="2540"/>
            <wp:docPr id="6" name="Picture 6" descr="Image of a woman with blonde hair, red lipstick and black jacket who is smiling at the camera. The woman is the Hon Gayle Tierney MP, Minister for Skills and TAFE.&#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age of a woman with blonde hair, red lipstick and black jacket who is smiling at the camera. The woman is the Hon Gayle Tierney MP, Minister for Skills and TAFE.&#10;">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6400" cy="1864360"/>
                    </a:xfrm>
                    <a:prstGeom prst="rect">
                      <a:avLst/>
                    </a:prstGeom>
                    <a:noFill/>
                  </pic:spPr>
                </pic:pic>
              </a:graphicData>
            </a:graphic>
          </wp:inline>
        </w:drawing>
      </w:r>
    </w:p>
    <w:p w14:paraId="085448F7" w14:textId="246015D8" w:rsidR="00ED4D2B" w:rsidRPr="00102B7A" w:rsidRDefault="00ED4D2B" w:rsidP="00A96FE6">
      <w:pPr>
        <w:pStyle w:val="Heading2"/>
      </w:pPr>
      <w:r w:rsidRPr="00102B7A">
        <w:t>Minister’s Commitment</w:t>
      </w:r>
      <w:bookmarkEnd w:id="7"/>
    </w:p>
    <w:p w14:paraId="247FE14E" w14:textId="7FB95309" w:rsidR="00ED4D2B" w:rsidRPr="00561560" w:rsidRDefault="0046198E" w:rsidP="00A96FE6">
      <w:pPr>
        <w:pStyle w:val="Heading3"/>
      </w:pPr>
      <w:r w:rsidRPr="00561560">
        <w:t xml:space="preserve">TAFE at the </w:t>
      </w:r>
      <w:proofErr w:type="spellStart"/>
      <w:r w:rsidRPr="00561560">
        <w:t>centre</w:t>
      </w:r>
      <w:proofErr w:type="spellEnd"/>
    </w:p>
    <w:p w14:paraId="3F33C3A9" w14:textId="06A3B296" w:rsidR="0043639A" w:rsidRPr="00102B7A" w:rsidRDefault="0043639A" w:rsidP="00744891">
      <w:pPr>
        <w:pStyle w:val="Heading4"/>
        <w:rPr>
          <w:rStyle w:val="Heading4Char"/>
        </w:rPr>
      </w:pPr>
      <w:r w:rsidRPr="00102B7A">
        <w:rPr>
          <w:rStyle w:val="Heading4Char"/>
        </w:rPr>
        <w:t>The Victorian economy is delivering strong employment outcomes and economic growth.</w:t>
      </w:r>
      <w:r w:rsidR="00913A57" w:rsidRPr="00102B7A">
        <w:rPr>
          <w:rStyle w:val="Heading4Char"/>
        </w:rPr>
        <w:t xml:space="preserve"> </w:t>
      </w:r>
    </w:p>
    <w:p w14:paraId="3FE5F540" w14:textId="53E10DE2" w:rsidR="0043639A" w:rsidRPr="00102B7A" w:rsidRDefault="0043639A" w:rsidP="00744891">
      <w:pPr>
        <w:pStyle w:val="Heading4"/>
        <w:rPr>
          <w:rStyle w:val="Heading4Char"/>
        </w:rPr>
      </w:pPr>
      <w:r w:rsidRPr="00102B7A">
        <w:rPr>
          <w:rStyle w:val="Heading4Char"/>
        </w:rPr>
        <w:t>TAFE</w:t>
      </w:r>
      <w:r w:rsidR="00F12D6F" w:rsidRPr="00102B7A">
        <w:rPr>
          <w:rStyle w:val="Heading4Char"/>
        </w:rPr>
        <w:t>,</w:t>
      </w:r>
      <w:r w:rsidR="00B25FB7" w:rsidRPr="00102B7A">
        <w:rPr>
          <w:rStyle w:val="Heading4Char"/>
        </w:rPr>
        <w:t xml:space="preserve"> through its </w:t>
      </w:r>
      <w:r w:rsidRPr="00102B7A">
        <w:rPr>
          <w:rStyle w:val="Heading4Char"/>
        </w:rPr>
        <w:t>unique Network of TAFE</w:t>
      </w:r>
      <w:r w:rsidR="00F12D6F" w:rsidRPr="00102B7A">
        <w:rPr>
          <w:rStyle w:val="Heading4Char"/>
        </w:rPr>
        <w:t xml:space="preserve"> institutes</w:t>
      </w:r>
      <w:r w:rsidRPr="00102B7A">
        <w:rPr>
          <w:rStyle w:val="Heading4Char"/>
        </w:rPr>
        <w:t xml:space="preserve"> and dual sector universities</w:t>
      </w:r>
      <w:r w:rsidR="00F12D6F" w:rsidRPr="00102B7A">
        <w:rPr>
          <w:rStyle w:val="Heading4Char"/>
        </w:rPr>
        <w:t>,</w:t>
      </w:r>
      <w:r w:rsidRPr="00102B7A">
        <w:rPr>
          <w:rStyle w:val="Heading4Char"/>
        </w:rPr>
        <w:t xml:space="preserve"> is critical to </w:t>
      </w:r>
      <w:r w:rsidR="00B25FB7" w:rsidRPr="00102B7A">
        <w:rPr>
          <w:rStyle w:val="Heading4Char"/>
        </w:rPr>
        <w:t xml:space="preserve">growing Victoria’s prosperity, building the productive capacity of our </w:t>
      </w:r>
      <w:proofErr w:type="gramStart"/>
      <w:r w:rsidR="00B25FB7" w:rsidRPr="00102B7A">
        <w:rPr>
          <w:rStyle w:val="Heading4Char"/>
        </w:rPr>
        <w:t>economy</w:t>
      </w:r>
      <w:proofErr w:type="gramEnd"/>
      <w:r w:rsidR="00B25FB7" w:rsidRPr="00102B7A">
        <w:rPr>
          <w:rStyle w:val="Heading4Char"/>
        </w:rPr>
        <w:t xml:space="preserve"> and </w:t>
      </w:r>
      <w:r w:rsidR="00AC1BF5" w:rsidRPr="00102B7A">
        <w:rPr>
          <w:rStyle w:val="Heading4Char"/>
        </w:rPr>
        <w:t xml:space="preserve">ensuring that all Victorians can benefit, by supporting economic and social participation and </w:t>
      </w:r>
      <w:r w:rsidR="00DE3B05" w:rsidRPr="00102B7A">
        <w:rPr>
          <w:rStyle w:val="Heading4Char"/>
        </w:rPr>
        <w:t xml:space="preserve">skilling people for </w:t>
      </w:r>
      <w:r w:rsidR="00AC1BF5" w:rsidRPr="00102B7A">
        <w:rPr>
          <w:rStyle w:val="Heading4Char"/>
        </w:rPr>
        <w:t>jobs</w:t>
      </w:r>
      <w:r w:rsidR="00B25FB7" w:rsidRPr="00102B7A">
        <w:rPr>
          <w:rStyle w:val="Heading4Char"/>
        </w:rPr>
        <w:t>.</w:t>
      </w:r>
    </w:p>
    <w:p w14:paraId="3B9160F4" w14:textId="27113879" w:rsidR="000515B4" w:rsidRPr="00102B7A" w:rsidRDefault="00E7248A" w:rsidP="00744891">
      <w:pPr>
        <w:pStyle w:val="Heading4"/>
      </w:pPr>
      <w:r w:rsidRPr="00102B7A">
        <w:rPr>
          <w:rStyle w:val="Heading4Char"/>
        </w:rPr>
        <w:t xml:space="preserve">The </w:t>
      </w:r>
      <w:r w:rsidR="0043639A" w:rsidRPr="00102B7A">
        <w:rPr>
          <w:rStyle w:val="Heading4Char"/>
        </w:rPr>
        <w:t xml:space="preserve">TAFE </w:t>
      </w:r>
      <w:r w:rsidRPr="00102B7A">
        <w:rPr>
          <w:rStyle w:val="Heading4Char"/>
        </w:rPr>
        <w:t>Network</w:t>
      </w:r>
      <w:r w:rsidRPr="00102B7A">
        <w:t xml:space="preserve"> </w:t>
      </w:r>
      <w:r w:rsidR="0043639A" w:rsidRPr="00102B7A">
        <w:t xml:space="preserve">is </w:t>
      </w:r>
      <w:r w:rsidR="00626DFD" w:rsidRPr="00102B7A">
        <w:t>Victoria’s</w:t>
      </w:r>
      <w:r w:rsidR="0043639A" w:rsidRPr="00102B7A">
        <w:t xml:space="preserve"> trusted public </w:t>
      </w:r>
      <w:r w:rsidR="00626DFD" w:rsidRPr="00102B7A">
        <w:t xml:space="preserve">training </w:t>
      </w:r>
      <w:r w:rsidR="0043639A" w:rsidRPr="00102B7A">
        <w:t>provider</w:t>
      </w:r>
      <w:r w:rsidRPr="00102B7A">
        <w:t xml:space="preserve"> and has a key role in </w:t>
      </w:r>
      <w:r w:rsidR="0043639A" w:rsidRPr="00102B7A">
        <w:t>deliver</w:t>
      </w:r>
      <w:r w:rsidRPr="00102B7A">
        <w:t>ing</w:t>
      </w:r>
      <w:r w:rsidR="0043639A" w:rsidRPr="00102B7A">
        <w:t xml:space="preserve"> Government’s key priorities</w:t>
      </w:r>
      <w:r w:rsidR="00AF747F" w:rsidRPr="00102B7A">
        <w:t xml:space="preserve"> </w:t>
      </w:r>
      <w:r w:rsidR="008F4E30" w:rsidRPr="00102B7A">
        <w:t>–</w:t>
      </w:r>
      <w:r w:rsidR="00AF747F" w:rsidRPr="00102B7A">
        <w:t xml:space="preserve"> </w:t>
      </w:r>
      <w:r w:rsidR="008F4E30" w:rsidRPr="00102B7A">
        <w:t xml:space="preserve">developing training </w:t>
      </w:r>
      <w:r w:rsidR="001902D6" w:rsidRPr="00102B7A">
        <w:t xml:space="preserve">to support </w:t>
      </w:r>
      <w:r w:rsidR="008F4E30" w:rsidRPr="00102B7A">
        <w:t xml:space="preserve">the </w:t>
      </w:r>
      <w:r w:rsidR="001902D6" w:rsidRPr="00102B7A">
        <w:t xml:space="preserve">transition to a </w:t>
      </w:r>
      <w:r w:rsidR="008D3FCC" w:rsidRPr="00102B7A">
        <w:t>Clean Economy</w:t>
      </w:r>
      <w:r w:rsidR="001902D6" w:rsidRPr="00102B7A">
        <w:t xml:space="preserve">, </w:t>
      </w:r>
      <w:r w:rsidR="006C2A3A" w:rsidRPr="00102B7A">
        <w:t xml:space="preserve">and </w:t>
      </w:r>
      <w:r w:rsidR="00F61C51" w:rsidRPr="00102B7A">
        <w:t xml:space="preserve">skilling the workforce needed </w:t>
      </w:r>
      <w:r w:rsidR="006C2A3A" w:rsidRPr="00102B7A">
        <w:t xml:space="preserve">to implement the transition to renewable energy </w:t>
      </w:r>
      <w:r w:rsidR="00F61C51" w:rsidRPr="00102B7A">
        <w:t xml:space="preserve">as Victoria brings back the </w:t>
      </w:r>
      <w:r w:rsidR="0043639A" w:rsidRPr="00102B7A">
        <w:t>State Electricity Commission (SEC</w:t>
      </w:r>
      <w:r w:rsidR="004E2D10" w:rsidRPr="00102B7A">
        <w:t>)</w:t>
      </w:r>
      <w:r w:rsidR="006C2A3A" w:rsidRPr="00102B7A">
        <w:t>.</w:t>
      </w:r>
      <w:r w:rsidR="004E2D10" w:rsidRPr="00102B7A">
        <w:t xml:space="preserve"> </w:t>
      </w:r>
      <w:r w:rsidR="002A6165" w:rsidRPr="00102B7A">
        <w:t xml:space="preserve">Government is supporting this through the </w:t>
      </w:r>
      <w:r w:rsidR="000515B4" w:rsidRPr="00102B7A">
        <w:t xml:space="preserve">Building Better TAFE Fund, </w:t>
      </w:r>
      <w:r w:rsidR="002A6165" w:rsidRPr="00102B7A">
        <w:t xml:space="preserve">with a </w:t>
      </w:r>
      <w:r w:rsidR="000515B4" w:rsidRPr="00102B7A">
        <w:t xml:space="preserve">$50 million </w:t>
      </w:r>
      <w:r w:rsidR="002A6165" w:rsidRPr="00102B7A">
        <w:t xml:space="preserve">TAFE </w:t>
      </w:r>
      <w:r w:rsidR="000515B4" w:rsidRPr="00102B7A">
        <w:t>Clean Energy Fund</w:t>
      </w:r>
      <w:r w:rsidR="002A6165" w:rsidRPr="00102B7A">
        <w:t xml:space="preserve"> for </w:t>
      </w:r>
      <w:r w:rsidR="000515B4" w:rsidRPr="00102B7A">
        <w:t xml:space="preserve">new and upgraded facilities </w:t>
      </w:r>
      <w:r w:rsidR="003F387D" w:rsidRPr="00102B7A">
        <w:t xml:space="preserve">for delivering skills for the renewable </w:t>
      </w:r>
      <w:r w:rsidR="000515B4" w:rsidRPr="00102B7A">
        <w:t>energy sector</w:t>
      </w:r>
      <w:r w:rsidR="003F387D" w:rsidRPr="00102B7A">
        <w:t>.</w:t>
      </w:r>
    </w:p>
    <w:p w14:paraId="004F71DB" w14:textId="44E1A44F" w:rsidR="0043639A" w:rsidRPr="00102B7A" w:rsidRDefault="003F387D" w:rsidP="00744891">
      <w:pPr>
        <w:pStyle w:val="Heading4"/>
      </w:pPr>
      <w:r w:rsidRPr="00102B7A">
        <w:t xml:space="preserve">The TAFE Network will also </w:t>
      </w:r>
      <w:r w:rsidR="00256382" w:rsidRPr="00102B7A">
        <w:t xml:space="preserve">be central to </w:t>
      </w:r>
      <w:r w:rsidR="00AF747F" w:rsidRPr="00102B7A">
        <w:t xml:space="preserve">delivering a pipeline of </w:t>
      </w:r>
      <w:r w:rsidR="00256382" w:rsidRPr="00102B7A">
        <w:t xml:space="preserve">construction workers who will </w:t>
      </w:r>
      <w:r w:rsidR="00AF747F" w:rsidRPr="00102B7A">
        <w:t xml:space="preserve">build the </w:t>
      </w:r>
      <w:r w:rsidR="004E2D10" w:rsidRPr="00102B7A">
        <w:t xml:space="preserve">250,000 additional homes </w:t>
      </w:r>
      <w:r w:rsidR="00116578" w:rsidRPr="00102B7A">
        <w:t>promised in the S</w:t>
      </w:r>
      <w:r w:rsidR="0043639A" w:rsidRPr="00102B7A">
        <w:t>tate’s landmark Housing Statement</w:t>
      </w:r>
      <w:r w:rsidR="004E2D10" w:rsidRPr="00102B7A">
        <w:t xml:space="preserve"> over the next 10 years</w:t>
      </w:r>
      <w:r w:rsidR="0043639A" w:rsidRPr="00102B7A">
        <w:t xml:space="preserve">. </w:t>
      </w:r>
    </w:p>
    <w:p w14:paraId="1BA7D4F8" w14:textId="77777777" w:rsidR="003D155C" w:rsidRPr="00102B7A" w:rsidRDefault="00EF1E31" w:rsidP="00744891">
      <w:pPr>
        <w:pStyle w:val="Heading4"/>
      </w:pPr>
      <w:r w:rsidRPr="00102B7A">
        <w:t>I am</w:t>
      </w:r>
      <w:r w:rsidR="008F2557" w:rsidRPr="00102B7A">
        <w:t xml:space="preserve"> also</w:t>
      </w:r>
      <w:r w:rsidRPr="00102B7A">
        <w:t xml:space="preserve"> pleased that the Commonwealth</w:t>
      </w:r>
      <w:r w:rsidR="008F2557" w:rsidRPr="00102B7A">
        <w:t xml:space="preserve"> government shares our commitment to TAFE</w:t>
      </w:r>
      <w:r w:rsidR="001006C3" w:rsidRPr="00102B7A">
        <w:t xml:space="preserve">. The new </w:t>
      </w:r>
      <w:r w:rsidR="0043639A" w:rsidRPr="00102B7A">
        <w:t>National Skills Agreement (NSA) includes a $105 million extension to Free TAFE funding arrangements over the next 3 years</w:t>
      </w:r>
      <w:r w:rsidR="00D05E69" w:rsidRPr="00102B7A">
        <w:t xml:space="preserve"> – enabling more Victorians to access </w:t>
      </w:r>
      <w:r w:rsidR="0043639A" w:rsidRPr="00102B7A">
        <w:t xml:space="preserve">Fee Free TAFE </w:t>
      </w:r>
      <w:r w:rsidR="003D155C" w:rsidRPr="00102B7A">
        <w:t>training</w:t>
      </w:r>
      <w:r w:rsidR="0043639A" w:rsidRPr="00102B7A">
        <w:t xml:space="preserve">. </w:t>
      </w:r>
    </w:p>
    <w:p w14:paraId="1BC24EE0" w14:textId="67595B78" w:rsidR="00977221" w:rsidRPr="00102B7A" w:rsidRDefault="0043639A" w:rsidP="00744891">
      <w:pPr>
        <w:pStyle w:val="Heading4"/>
      </w:pPr>
      <w:r w:rsidRPr="00102B7A">
        <w:t xml:space="preserve">The NSA </w:t>
      </w:r>
      <w:r w:rsidR="00D1628E" w:rsidRPr="00102B7A">
        <w:t>will also unlock</w:t>
      </w:r>
      <w:r w:rsidRPr="00102B7A">
        <w:t xml:space="preserve"> $3.15 billion </w:t>
      </w:r>
      <w:r w:rsidR="00D1628E" w:rsidRPr="00102B7A">
        <w:t>for</w:t>
      </w:r>
      <w:r w:rsidRPr="00102B7A">
        <w:t xml:space="preserve"> Victoria to expand access to </w:t>
      </w:r>
      <w:r w:rsidR="00F007E4" w:rsidRPr="00102B7A">
        <w:t xml:space="preserve">vocational education and </w:t>
      </w:r>
      <w:r w:rsidRPr="00102B7A">
        <w:t xml:space="preserve">training, </w:t>
      </w:r>
      <w:r w:rsidR="00AF562E" w:rsidRPr="00102B7A">
        <w:t xml:space="preserve">improve </w:t>
      </w:r>
      <w:r w:rsidRPr="00102B7A">
        <w:t>quality</w:t>
      </w:r>
      <w:r w:rsidR="00AF562E" w:rsidRPr="00102B7A">
        <w:t>,</w:t>
      </w:r>
      <w:r w:rsidRPr="00102B7A">
        <w:t xml:space="preserve"> </w:t>
      </w:r>
      <w:r w:rsidR="00AF562E" w:rsidRPr="00102B7A">
        <w:t xml:space="preserve">meet </w:t>
      </w:r>
      <w:r w:rsidR="004504C4" w:rsidRPr="00102B7A">
        <w:t xml:space="preserve">more of </w:t>
      </w:r>
      <w:r w:rsidR="00AF562E" w:rsidRPr="00102B7A">
        <w:t>industry’s</w:t>
      </w:r>
      <w:r w:rsidRPr="00102B7A">
        <w:t xml:space="preserve"> skills needs</w:t>
      </w:r>
      <w:r w:rsidR="004504C4" w:rsidRPr="00102B7A">
        <w:t>, with</w:t>
      </w:r>
      <w:r w:rsidRPr="00102B7A">
        <w:t xml:space="preserve"> TAFE at the </w:t>
      </w:r>
      <w:proofErr w:type="spellStart"/>
      <w:r w:rsidR="004504C4" w:rsidRPr="00102B7A">
        <w:t>centre</w:t>
      </w:r>
      <w:proofErr w:type="spellEnd"/>
      <w:r w:rsidR="004504C4" w:rsidRPr="00102B7A">
        <w:t xml:space="preserve"> of </w:t>
      </w:r>
      <w:r w:rsidRPr="00102B7A">
        <w:t>sector reform.</w:t>
      </w:r>
      <w:r w:rsidR="00901154" w:rsidRPr="00102B7A">
        <w:t xml:space="preserve"> The movement of the Skills portfolio to the new Department of Jobs, Skills, Industry and Regions (DJSIR)</w:t>
      </w:r>
      <w:r w:rsidR="003B7A71" w:rsidRPr="00102B7A">
        <w:t xml:space="preserve"> </w:t>
      </w:r>
      <w:r w:rsidR="00977221" w:rsidRPr="00102B7A">
        <w:t xml:space="preserve">will enable the TAFE Network to strengthen its links with industry </w:t>
      </w:r>
      <w:r w:rsidR="00F647F4" w:rsidRPr="00102B7A">
        <w:t xml:space="preserve">to </w:t>
      </w:r>
      <w:r w:rsidR="00977221" w:rsidRPr="00102B7A">
        <w:t>ensure training flexible</w:t>
      </w:r>
      <w:r w:rsidR="00F647F4" w:rsidRPr="00102B7A">
        <w:t>,</w:t>
      </w:r>
      <w:r w:rsidR="00977221" w:rsidRPr="00102B7A">
        <w:t xml:space="preserve"> responsive and meets </w:t>
      </w:r>
      <w:r w:rsidR="00F647F4" w:rsidRPr="00102B7A">
        <w:t xml:space="preserve">changing </w:t>
      </w:r>
      <w:r w:rsidR="00977221" w:rsidRPr="00102B7A">
        <w:t>technological</w:t>
      </w:r>
      <w:r w:rsidR="00F647F4" w:rsidRPr="00102B7A">
        <w:t xml:space="preserve"> </w:t>
      </w:r>
      <w:r w:rsidR="00977221" w:rsidRPr="00102B7A">
        <w:t xml:space="preserve">requirements. </w:t>
      </w:r>
      <w:r w:rsidR="00816D6D" w:rsidRPr="00102B7A">
        <w:t xml:space="preserve">The </w:t>
      </w:r>
      <w:r w:rsidR="00977221" w:rsidRPr="00102B7A">
        <w:t xml:space="preserve">insights </w:t>
      </w:r>
      <w:r w:rsidR="00816D6D" w:rsidRPr="00102B7A">
        <w:t xml:space="preserve">and recommendations from the 23-24 </w:t>
      </w:r>
      <w:r w:rsidR="00977221" w:rsidRPr="00102B7A">
        <w:t xml:space="preserve">Victorian Skills Plan </w:t>
      </w:r>
      <w:r w:rsidR="00816D6D" w:rsidRPr="00102B7A">
        <w:t xml:space="preserve">provide a roadmap for where to focus these efforts. </w:t>
      </w:r>
    </w:p>
    <w:p w14:paraId="2D23D7B9" w14:textId="43832E80" w:rsidR="0043639A" w:rsidRPr="00102B7A" w:rsidRDefault="00816D6D" w:rsidP="00744891">
      <w:pPr>
        <w:pStyle w:val="Heading4"/>
      </w:pPr>
      <w:r w:rsidRPr="00102B7A">
        <w:t xml:space="preserve">The </w:t>
      </w:r>
      <w:r w:rsidR="00292FB0" w:rsidRPr="00102B7A">
        <w:t xml:space="preserve">joining together of the Skills and Employment portfolios within DJSIR also provides </w:t>
      </w:r>
      <w:r w:rsidR="00D3684E" w:rsidRPr="00102B7A">
        <w:t xml:space="preserve">opportunities for supporting the economic inclusion of Victorians facing disadvantage </w:t>
      </w:r>
      <w:r w:rsidR="00D54E51" w:rsidRPr="00102B7A">
        <w:t xml:space="preserve">and exclusion from the </w:t>
      </w:r>
      <w:proofErr w:type="spellStart"/>
      <w:r w:rsidR="00D54E51" w:rsidRPr="00102B7A">
        <w:t>labour</w:t>
      </w:r>
      <w:proofErr w:type="spellEnd"/>
      <w:r w:rsidR="00D54E51" w:rsidRPr="00102B7A">
        <w:t xml:space="preserve"> market. T</w:t>
      </w:r>
      <w:r w:rsidR="00172E93" w:rsidRPr="00102B7A">
        <w:t xml:space="preserve">he TAFE Network’s unique role as a public training provider in supporting </w:t>
      </w:r>
      <w:r w:rsidR="005A5F89" w:rsidRPr="00102B7A">
        <w:t xml:space="preserve">access, equity and </w:t>
      </w:r>
      <w:r w:rsidR="00172E93" w:rsidRPr="00102B7A">
        <w:t>economic inclusion</w:t>
      </w:r>
      <w:r w:rsidR="005A5F89" w:rsidRPr="00102B7A">
        <w:t xml:space="preserve"> through wraparound supports and </w:t>
      </w:r>
      <w:r w:rsidR="007D375C" w:rsidRPr="00102B7A">
        <w:t>targeted programs has never been more important.</w:t>
      </w:r>
    </w:p>
    <w:p w14:paraId="69E9A1D1" w14:textId="60B48A54" w:rsidR="00172E93" w:rsidRPr="00102B7A" w:rsidRDefault="007D375C" w:rsidP="00744891">
      <w:pPr>
        <w:pStyle w:val="Heading4"/>
      </w:pPr>
      <w:r w:rsidRPr="00102B7A">
        <w:t>As Victoria progresses its pathway to Treaty</w:t>
      </w:r>
      <w:r w:rsidR="007B3896" w:rsidRPr="00102B7A">
        <w:t xml:space="preserve"> and support for self</w:t>
      </w:r>
      <w:r w:rsidR="00B44D14" w:rsidRPr="00102B7A">
        <w:t>-</w:t>
      </w:r>
      <w:r w:rsidR="007B3896" w:rsidRPr="00102B7A">
        <w:t>determination for Aboriginal</w:t>
      </w:r>
      <w:r w:rsidR="00B44D14" w:rsidRPr="00102B7A">
        <w:t xml:space="preserve"> people</w:t>
      </w:r>
      <w:r w:rsidRPr="00102B7A">
        <w:t xml:space="preserve">, </w:t>
      </w:r>
      <w:r w:rsidR="006A6A81" w:rsidRPr="00102B7A">
        <w:t>the TAFE network’s proactive support for First Nations learners will be c</w:t>
      </w:r>
      <w:r w:rsidR="009E7C25" w:rsidRPr="00102B7A">
        <w:t xml:space="preserve">ritical, including through supporting representation of Aboriginal people in governance bodies and through engagement between TAFEs and Aboriginal communities and Aboriginal controlled training </w:t>
      </w:r>
      <w:proofErr w:type="spellStart"/>
      <w:r w:rsidR="009E7C25" w:rsidRPr="00102B7A">
        <w:t>organisations</w:t>
      </w:r>
      <w:proofErr w:type="spellEnd"/>
      <w:r w:rsidR="009E7C25" w:rsidRPr="00102B7A">
        <w:t>.</w:t>
      </w:r>
    </w:p>
    <w:p w14:paraId="2F8F04BA" w14:textId="6A4366B2" w:rsidR="003D36E8" w:rsidRPr="00102B7A" w:rsidRDefault="003D36E8" w:rsidP="00744891">
      <w:pPr>
        <w:pStyle w:val="Heading4"/>
      </w:pPr>
      <w:r w:rsidRPr="00102B7A">
        <w:lastRenderedPageBreak/>
        <w:t xml:space="preserve">Government will continue to develop and implement </w:t>
      </w:r>
      <w:r w:rsidR="0092118C" w:rsidRPr="00102B7A">
        <w:t xml:space="preserve">new initiatives to strengthen the effectiveness and quality of the TAFE Network’s </w:t>
      </w:r>
      <w:r w:rsidR="00314936" w:rsidRPr="00102B7A">
        <w:t>training</w:t>
      </w:r>
      <w:r w:rsidR="0092118C" w:rsidRPr="00102B7A">
        <w:t xml:space="preserve"> </w:t>
      </w:r>
      <w:r w:rsidR="00314936" w:rsidRPr="00102B7A">
        <w:t xml:space="preserve">including work to progress </w:t>
      </w:r>
      <w:r w:rsidRPr="00102B7A">
        <w:t xml:space="preserve">shared, quality-assured teaching materials </w:t>
      </w:r>
      <w:r w:rsidR="00314936" w:rsidRPr="00102B7A">
        <w:t xml:space="preserve">for </w:t>
      </w:r>
      <w:r w:rsidRPr="00102B7A">
        <w:t>improve</w:t>
      </w:r>
      <w:r w:rsidR="00314936" w:rsidRPr="00102B7A">
        <w:t>d</w:t>
      </w:r>
      <w:r w:rsidRPr="00102B7A">
        <w:t xml:space="preserve"> student experience and industry relevance. </w:t>
      </w:r>
      <w:r w:rsidR="00314936" w:rsidRPr="00102B7A">
        <w:t xml:space="preserve">The </w:t>
      </w:r>
      <w:r w:rsidR="003528C8" w:rsidRPr="00102B7A">
        <w:t>Office of TAFE C</w:t>
      </w:r>
      <w:r w:rsidR="00216CE0" w:rsidRPr="00102B7A">
        <w:t>oordination and Delivery (OTCD)</w:t>
      </w:r>
      <w:r w:rsidR="00314936" w:rsidRPr="00102B7A">
        <w:t xml:space="preserve"> will continue to provide network leadership to support the achievement of strategic objectives. The TAFE Network will continue to grow, </w:t>
      </w:r>
      <w:proofErr w:type="gramStart"/>
      <w:r w:rsidR="00314936" w:rsidRPr="00102B7A">
        <w:t>collaborate</w:t>
      </w:r>
      <w:proofErr w:type="gramEnd"/>
      <w:r w:rsidR="00314936" w:rsidRPr="00102B7A">
        <w:t xml:space="preserve"> and work together and with Government to fulfil the expectations in this Statement.</w:t>
      </w:r>
    </w:p>
    <w:p w14:paraId="14C77DB9" w14:textId="39A274D8" w:rsidR="00C714D3" w:rsidRPr="00102B7A" w:rsidRDefault="00434D85" w:rsidP="00744891">
      <w:pPr>
        <w:pStyle w:val="Heading4"/>
      </w:pPr>
      <w:r w:rsidRPr="00102B7A">
        <w:t>I am committed to ensuring that the Network has the direction and support required to deliver the Government’s ambitious agenda and the Statement of Priorities is our roadmap to success.</w:t>
      </w:r>
    </w:p>
    <w:p w14:paraId="0ECDB64D" w14:textId="5544EB51" w:rsidR="0093549C" w:rsidRPr="00102B7A" w:rsidRDefault="000E1127" w:rsidP="00A96FE6">
      <w:pPr>
        <w:pStyle w:val="Heading2"/>
      </w:pPr>
      <w:bookmarkStart w:id="8" w:name="_Toc148100321"/>
      <w:r w:rsidRPr="00102B7A">
        <w:t>P</w:t>
      </w:r>
      <w:r w:rsidR="0093549C" w:rsidRPr="00102B7A">
        <w:t>urpose</w:t>
      </w:r>
      <w:bookmarkEnd w:id="6"/>
      <w:bookmarkEnd w:id="8"/>
    </w:p>
    <w:p w14:paraId="17E30861" w14:textId="542776D5" w:rsidR="00E97F0C" w:rsidRPr="00561560" w:rsidRDefault="00E97F0C" w:rsidP="00744891">
      <w:pPr>
        <w:pStyle w:val="Heading4"/>
      </w:pPr>
      <w:r w:rsidRPr="00561560">
        <w:t>The TAFE Network Statement of Priorities is an annual agreement between the Minister</w:t>
      </w:r>
      <w:r w:rsidR="002A4F49" w:rsidRPr="00561560">
        <w:t xml:space="preserve"> for</w:t>
      </w:r>
      <w:r w:rsidRPr="00561560">
        <w:t xml:space="preserve"> Skills</w:t>
      </w:r>
      <w:r w:rsidR="002A4F49" w:rsidRPr="00561560">
        <w:t xml:space="preserve"> and TAFE</w:t>
      </w:r>
      <w:r w:rsidRPr="00561560">
        <w:t xml:space="preserve"> and Victoria’s public TAFE</w:t>
      </w:r>
      <w:r w:rsidR="00483061" w:rsidRPr="00561560">
        <w:t xml:space="preserve"> Network</w:t>
      </w:r>
      <w:r w:rsidRPr="00561560">
        <w:t xml:space="preserve">. It sets out the strategic objectives, priority activities and outcomes expected of the </w:t>
      </w:r>
      <w:r w:rsidR="00061A62" w:rsidRPr="00561560">
        <w:t>Network</w:t>
      </w:r>
      <w:r w:rsidRPr="00561560">
        <w:t xml:space="preserve"> in relation to skills, students, </w:t>
      </w:r>
      <w:proofErr w:type="gramStart"/>
      <w:r w:rsidRPr="00561560">
        <w:t>sustainability</w:t>
      </w:r>
      <w:proofErr w:type="gramEnd"/>
      <w:r w:rsidR="0033519D" w:rsidRPr="00561560">
        <w:t xml:space="preserve"> and</w:t>
      </w:r>
      <w:r w:rsidR="00B06577" w:rsidRPr="00561560">
        <w:t xml:space="preserve"> </w:t>
      </w:r>
      <w:r w:rsidR="0043756E" w:rsidRPr="00561560">
        <w:t xml:space="preserve">staff </w:t>
      </w:r>
      <w:r w:rsidRPr="00561560">
        <w:t xml:space="preserve">for the year ahead. </w:t>
      </w:r>
    </w:p>
    <w:p w14:paraId="56FB3C13" w14:textId="46BE104E" w:rsidR="00B06577" w:rsidRPr="00561560" w:rsidRDefault="00B06577" w:rsidP="00744891">
      <w:pPr>
        <w:pStyle w:val="Heading4"/>
      </w:pPr>
      <w:r w:rsidRPr="00561560">
        <w:t xml:space="preserve">Now in its third year, the Statement provides a clear set of strategic priorities for the Network and guides TAFEs </w:t>
      </w:r>
      <w:r w:rsidR="00734B5A" w:rsidRPr="00561560">
        <w:t>and dual sector universities</w:t>
      </w:r>
      <w:r w:rsidRPr="00561560">
        <w:t xml:space="preserve"> to work with shared purpose towards meeting the increasingly sophisticated skills needs of Victoria’s changing economy.   </w:t>
      </w:r>
    </w:p>
    <w:p w14:paraId="6D260A03" w14:textId="1E3E27B6" w:rsidR="00B06577" w:rsidRPr="00561560" w:rsidRDefault="00015340" w:rsidP="00744891">
      <w:pPr>
        <w:pStyle w:val="Heading4"/>
      </w:pPr>
      <w:r w:rsidRPr="00561560">
        <w:t xml:space="preserve">The Statement of Priorities </w:t>
      </w:r>
      <w:r w:rsidR="003D6DD8" w:rsidRPr="00561560">
        <w:t xml:space="preserve">also </w:t>
      </w:r>
      <w:r w:rsidRPr="00561560">
        <w:t xml:space="preserve">affirms and supports </w:t>
      </w:r>
      <w:r w:rsidR="00B06577" w:rsidRPr="00561560">
        <w:t xml:space="preserve">the </w:t>
      </w:r>
      <w:r w:rsidRPr="00561560">
        <w:t>TAFE</w:t>
      </w:r>
      <w:r w:rsidR="00B06577" w:rsidRPr="00561560">
        <w:t xml:space="preserve"> Network’s</w:t>
      </w:r>
      <w:r w:rsidRPr="00561560">
        <w:t xml:space="preserve"> central role in the VET sector and its contribution to addressing critical skills gaps in the economy</w:t>
      </w:r>
      <w:r w:rsidR="00DE7DE9" w:rsidRPr="00561560">
        <w:t>,</w:t>
      </w:r>
      <w:r w:rsidRPr="00561560">
        <w:t xml:space="preserve"> increasing opportunities for workforce participation for priority groups</w:t>
      </w:r>
      <w:r w:rsidR="00DE7DE9" w:rsidRPr="00561560">
        <w:t xml:space="preserve"> and implementing major Victorian Government commitments</w:t>
      </w:r>
      <w:r w:rsidR="00A80577" w:rsidRPr="00561560">
        <w:t>, such as</w:t>
      </w:r>
      <w:r w:rsidR="00DE7DE9" w:rsidRPr="00561560">
        <w:t xml:space="preserve"> </w:t>
      </w:r>
      <w:r w:rsidR="00B06577" w:rsidRPr="00561560">
        <w:t>working towards a net zero economy</w:t>
      </w:r>
      <w:r w:rsidRPr="00561560">
        <w:t xml:space="preserve">. </w:t>
      </w:r>
    </w:p>
    <w:p w14:paraId="14C3B1A8" w14:textId="254A4975" w:rsidR="00B06577" w:rsidRPr="00561560" w:rsidRDefault="00B06577" w:rsidP="00744891">
      <w:pPr>
        <w:pStyle w:val="Heading4"/>
      </w:pPr>
      <w:r w:rsidRPr="00561560">
        <w:t xml:space="preserve">The Statement also </w:t>
      </w:r>
      <w:proofErr w:type="spellStart"/>
      <w:r w:rsidRPr="00561560">
        <w:t>recognises</w:t>
      </w:r>
      <w:proofErr w:type="spellEnd"/>
      <w:r w:rsidRPr="00561560">
        <w:t xml:space="preserve"> the centrality of </w:t>
      </w:r>
      <w:r w:rsidR="00F07B42" w:rsidRPr="00561560">
        <w:t xml:space="preserve">TAFE </w:t>
      </w:r>
      <w:r w:rsidRPr="00561560">
        <w:t xml:space="preserve">in the context of </w:t>
      </w:r>
      <w:r w:rsidR="00015340" w:rsidRPr="00561560">
        <w:t>national skills sector reform</w:t>
      </w:r>
      <w:r w:rsidR="00F07B42" w:rsidRPr="00561560">
        <w:t>, with the Australian and Victorian Governments taking action to address the current skills shortage</w:t>
      </w:r>
      <w:r w:rsidRPr="00561560">
        <w:t>s</w:t>
      </w:r>
      <w:r w:rsidR="00F07B42" w:rsidRPr="00561560">
        <w:t xml:space="preserve"> </w:t>
      </w:r>
      <w:r w:rsidR="003D6DD8" w:rsidRPr="00561560">
        <w:t>by delivering</w:t>
      </w:r>
      <w:r w:rsidR="00F07B42" w:rsidRPr="00561560">
        <w:t xml:space="preserve"> </w:t>
      </w:r>
      <w:proofErr w:type="gramStart"/>
      <w:r w:rsidR="00F07B42" w:rsidRPr="00561560">
        <w:t>more Free</w:t>
      </w:r>
      <w:proofErr w:type="gramEnd"/>
      <w:r w:rsidR="00F07B42" w:rsidRPr="00561560">
        <w:t xml:space="preserve"> TAFE </w:t>
      </w:r>
      <w:r w:rsidRPr="00561560">
        <w:t>and other initiatives</w:t>
      </w:r>
      <w:r w:rsidR="00F07B42" w:rsidRPr="00561560">
        <w:t>.</w:t>
      </w:r>
      <w:r w:rsidR="00116027" w:rsidRPr="00561560">
        <w:t xml:space="preserve"> </w:t>
      </w:r>
    </w:p>
    <w:p w14:paraId="52E2CC94" w14:textId="130F8551" w:rsidR="0093549C" w:rsidRPr="00561560" w:rsidRDefault="0093549C" w:rsidP="00A96FE6">
      <w:pPr>
        <w:pStyle w:val="Heading2"/>
      </w:pPr>
      <w:bookmarkStart w:id="9" w:name="_Toc125033491"/>
      <w:bookmarkStart w:id="10" w:name="_Toc128744746"/>
      <w:bookmarkStart w:id="11" w:name="_Toc128899565"/>
      <w:bookmarkStart w:id="12" w:name="_Toc129184286"/>
      <w:bookmarkStart w:id="13" w:name="_Toc129264117"/>
      <w:bookmarkStart w:id="14" w:name="_Toc148100322"/>
      <w:r w:rsidRPr="00561560">
        <w:t xml:space="preserve">Accountability for </w:t>
      </w:r>
      <w:r w:rsidR="00061A62" w:rsidRPr="00561560">
        <w:t>Network</w:t>
      </w:r>
      <w:r w:rsidRPr="00561560">
        <w:t xml:space="preserve"> outcomes</w:t>
      </w:r>
      <w:bookmarkEnd w:id="9"/>
      <w:bookmarkEnd w:id="10"/>
      <w:bookmarkEnd w:id="11"/>
      <w:bookmarkEnd w:id="12"/>
      <w:bookmarkEnd w:id="13"/>
      <w:bookmarkEnd w:id="14"/>
    </w:p>
    <w:p w14:paraId="59AAA6E4" w14:textId="37B63402" w:rsidR="00E97F0C" w:rsidRPr="00561560" w:rsidRDefault="00E97F0C" w:rsidP="00744891">
      <w:pPr>
        <w:pStyle w:val="Heading4"/>
      </w:pPr>
      <w:r w:rsidRPr="00561560">
        <w:t>To ensure</w:t>
      </w:r>
      <w:r w:rsidR="00B06577" w:rsidRPr="00561560">
        <w:t xml:space="preserve"> Government’s priorities are delivered, each TAFE and dual sector university within the TAFE </w:t>
      </w:r>
      <w:r w:rsidR="00181EF8" w:rsidRPr="00561560">
        <w:t>N</w:t>
      </w:r>
      <w:r w:rsidR="00B06577" w:rsidRPr="00561560">
        <w:t xml:space="preserve">etwork </w:t>
      </w:r>
      <w:r w:rsidR="002E2035" w:rsidRPr="00561560">
        <w:t xml:space="preserve">provides a response to the </w:t>
      </w:r>
      <w:r w:rsidRPr="00561560">
        <w:t xml:space="preserve">Minister </w:t>
      </w:r>
      <w:r w:rsidR="002E2035" w:rsidRPr="00561560">
        <w:t xml:space="preserve">outlining agreed </w:t>
      </w:r>
      <w:r w:rsidRPr="00561560">
        <w:t xml:space="preserve">actions, </w:t>
      </w:r>
      <w:r w:rsidR="0020383D" w:rsidRPr="00561560">
        <w:t>deliverables,</w:t>
      </w:r>
      <w:r w:rsidRPr="00561560">
        <w:t xml:space="preserve"> and targets </w:t>
      </w:r>
      <w:r w:rsidR="002E2035" w:rsidRPr="00561560">
        <w:t xml:space="preserve">related to how they will contribute towards Network priorities and outcomes. Responses </w:t>
      </w:r>
      <w:r w:rsidR="00057A92" w:rsidRPr="00561560">
        <w:t xml:space="preserve">to the TAFE Network </w:t>
      </w:r>
      <w:r w:rsidRPr="00561560">
        <w:t>Statement</w:t>
      </w:r>
      <w:r w:rsidR="00057A92" w:rsidRPr="00561560">
        <w:t xml:space="preserve"> of Priorities</w:t>
      </w:r>
      <w:r w:rsidRPr="00561560">
        <w:t xml:space="preserve"> include the services the TAFE will </w:t>
      </w:r>
      <w:r w:rsidR="0020383D" w:rsidRPr="00561560">
        <w:t>deliver and</w:t>
      </w:r>
      <w:r w:rsidRPr="00561560">
        <w:t xml:space="preserve"> </w:t>
      </w:r>
      <w:r w:rsidR="002E2035" w:rsidRPr="00561560">
        <w:t xml:space="preserve">performance </w:t>
      </w:r>
      <w:r w:rsidRPr="00561560">
        <w:t xml:space="preserve">targets, linked to the </w:t>
      </w:r>
      <w:r w:rsidR="00061A62" w:rsidRPr="00561560">
        <w:t>Network</w:t>
      </w:r>
      <w:r w:rsidRPr="00561560">
        <w:t xml:space="preserve"> priorities for the year ahead</w:t>
      </w:r>
      <w:r w:rsidR="00910C85" w:rsidRPr="00561560">
        <w:t xml:space="preserve">. </w:t>
      </w:r>
      <w:r w:rsidR="003B06E6" w:rsidRPr="00561560">
        <w:t>The OTCD</w:t>
      </w:r>
      <w:r w:rsidR="00181EF8" w:rsidRPr="00561560">
        <w:t xml:space="preserve">, with </w:t>
      </w:r>
      <w:r w:rsidR="003B06E6" w:rsidRPr="00561560">
        <w:t>TAFEs and dual sector universities</w:t>
      </w:r>
      <w:r w:rsidR="00181EF8" w:rsidRPr="00561560">
        <w:t>,</w:t>
      </w:r>
      <w:r w:rsidR="003B06E6" w:rsidRPr="00561560">
        <w:t xml:space="preserve"> </w:t>
      </w:r>
      <w:r w:rsidR="003528C8" w:rsidRPr="00561560">
        <w:t>together</w:t>
      </w:r>
      <w:r w:rsidR="003B06E6" w:rsidRPr="00561560">
        <w:t xml:space="preserve"> review progress throughout the year and work towards continuous improvement. </w:t>
      </w:r>
    </w:p>
    <w:p w14:paraId="5A72E7F4" w14:textId="1A8CA602" w:rsidR="0093549C" w:rsidRPr="00561560" w:rsidRDefault="00E97F0C" w:rsidP="00744891">
      <w:pPr>
        <w:pStyle w:val="Heading4"/>
      </w:pPr>
      <w:r w:rsidRPr="00561560">
        <w:t>The OTCD provide</w:t>
      </w:r>
      <w:r w:rsidR="003B06E6" w:rsidRPr="00561560">
        <w:t>s</w:t>
      </w:r>
      <w:r w:rsidRPr="00561560">
        <w:t xml:space="preserve"> the Minister for </w:t>
      </w:r>
      <w:r w:rsidR="002A4F49" w:rsidRPr="00561560">
        <w:t>Skills</w:t>
      </w:r>
      <w:r w:rsidRPr="00561560">
        <w:t xml:space="preserve"> and </w:t>
      </w:r>
      <w:r w:rsidR="003B06E6" w:rsidRPr="00561560">
        <w:t xml:space="preserve">TAFE </w:t>
      </w:r>
      <w:r w:rsidRPr="00561560">
        <w:t xml:space="preserve">half-yearly updates on progress towards delivering </w:t>
      </w:r>
      <w:r w:rsidR="00061A62" w:rsidRPr="00561560">
        <w:t>Network</w:t>
      </w:r>
      <w:r w:rsidRPr="00561560">
        <w:t xml:space="preserve"> priorities, including whole of </w:t>
      </w:r>
      <w:r w:rsidR="00061A62" w:rsidRPr="00561560">
        <w:t>Network</w:t>
      </w:r>
      <w:r w:rsidRPr="00561560">
        <w:t xml:space="preserve"> initiatives, and individual TAFE achiev</w:t>
      </w:r>
      <w:r w:rsidR="009215DA" w:rsidRPr="00561560">
        <w:t>ements against</w:t>
      </w:r>
      <w:r w:rsidRPr="00561560">
        <w:t xml:space="preserve"> agreed targets.</w:t>
      </w:r>
    </w:p>
    <w:p w14:paraId="528E1561" w14:textId="44CD2387" w:rsidR="00E75C2F" w:rsidRPr="00561560" w:rsidRDefault="00E75C2F" w:rsidP="00744891">
      <w:pPr>
        <w:pStyle w:val="Heading4"/>
      </w:pPr>
      <w:bookmarkStart w:id="15" w:name="_Toc125033492"/>
      <w:r w:rsidRPr="00561560">
        <w:t xml:space="preserve">The </w:t>
      </w:r>
      <w:r w:rsidR="003B06E6" w:rsidRPr="00561560">
        <w:t xml:space="preserve">Statement also </w:t>
      </w:r>
      <w:proofErr w:type="spellStart"/>
      <w:r w:rsidR="003B06E6" w:rsidRPr="00561560">
        <w:t>recognises</w:t>
      </w:r>
      <w:proofErr w:type="spellEnd"/>
      <w:r w:rsidR="003B06E6" w:rsidRPr="00561560">
        <w:t xml:space="preserve"> the important role of the </w:t>
      </w:r>
      <w:r w:rsidRPr="00561560">
        <w:t>OTCD</w:t>
      </w:r>
      <w:r w:rsidR="00BB5664" w:rsidRPr="00561560">
        <w:t xml:space="preserve"> </w:t>
      </w:r>
      <w:r w:rsidR="003B06E6" w:rsidRPr="00561560">
        <w:t xml:space="preserve">in providing network leadership and coordination to support the </w:t>
      </w:r>
      <w:r w:rsidRPr="00561560">
        <w:t xml:space="preserve">achievement of strategic Network objectives </w:t>
      </w:r>
      <w:r w:rsidR="003B06E6" w:rsidRPr="00561560">
        <w:t>through implementation of n</w:t>
      </w:r>
      <w:r w:rsidRPr="00561560">
        <w:t xml:space="preserve">etwork-wide </w:t>
      </w:r>
      <w:r w:rsidR="003B06E6" w:rsidRPr="00561560">
        <w:t xml:space="preserve">initiatives, </w:t>
      </w:r>
      <w:r w:rsidRPr="00561560">
        <w:t>systems and processes and maintaining strong and supportive relationships with TAFE</w:t>
      </w:r>
      <w:r w:rsidR="00216CE0" w:rsidRPr="00561560">
        <w:t xml:space="preserve"> institutes and dual sector universities</w:t>
      </w:r>
      <w:r w:rsidRPr="00561560">
        <w:t xml:space="preserve">. </w:t>
      </w:r>
    </w:p>
    <w:p w14:paraId="32306D8E" w14:textId="5BB9C67E" w:rsidR="00F2176A" w:rsidRPr="00102B7A" w:rsidRDefault="00E97F0C" w:rsidP="00A15617">
      <w:pPr>
        <w:rPr>
          <w:color w:val="auto"/>
          <w:sz w:val="28"/>
          <w:szCs w:val="28"/>
        </w:rPr>
      </w:pPr>
      <w:r w:rsidRPr="00102B7A">
        <w:rPr>
          <w:color w:val="auto"/>
        </w:rPr>
        <w:br w:type="page"/>
      </w:r>
    </w:p>
    <w:p w14:paraId="57DE1F7D" w14:textId="2F6EE30A" w:rsidR="00F2176A" w:rsidRPr="00561560" w:rsidRDefault="0076779D" w:rsidP="00A96FE6">
      <w:pPr>
        <w:pStyle w:val="Heading2"/>
      </w:pPr>
      <w:bookmarkStart w:id="16" w:name="_Toc148100323"/>
      <w:r w:rsidRPr="00561560">
        <w:lastRenderedPageBreak/>
        <w:t xml:space="preserve">The </w:t>
      </w:r>
      <w:r w:rsidR="005B15F0" w:rsidRPr="00561560">
        <w:t>Victorian TAFE Network</w:t>
      </w:r>
      <w:r w:rsidR="00E167F5" w:rsidRPr="00561560">
        <w:t>:</w:t>
      </w:r>
      <w:r w:rsidR="005A3275" w:rsidRPr="00561560">
        <w:t xml:space="preserve"> </w:t>
      </w:r>
      <w:r w:rsidR="001D0042" w:rsidRPr="00561560">
        <w:t>V</w:t>
      </w:r>
      <w:r w:rsidR="005A3275" w:rsidRPr="00561560">
        <w:t>ision and strategic purpose</w:t>
      </w:r>
      <w:bookmarkEnd w:id="15"/>
      <w:bookmarkEnd w:id="16"/>
    </w:p>
    <w:p w14:paraId="11AA3303" w14:textId="5C1DC9DF" w:rsidR="00E64D36" w:rsidRPr="00102B7A" w:rsidRDefault="00E64D36" w:rsidP="00744891">
      <w:pPr>
        <w:pStyle w:val="Heading4"/>
      </w:pPr>
      <w:r w:rsidRPr="00102B7A">
        <w:t xml:space="preserve">The Victorian Government is committed to ensuring </w:t>
      </w:r>
      <w:r w:rsidR="005B15F0" w:rsidRPr="00102B7A">
        <w:t xml:space="preserve">the Victorian TAFE </w:t>
      </w:r>
      <w:r w:rsidR="00181EF8" w:rsidRPr="00102B7A">
        <w:t>N</w:t>
      </w:r>
      <w:r w:rsidR="005B15F0" w:rsidRPr="00102B7A">
        <w:t xml:space="preserve">etwork is the benchmark for quality and innovation at the </w:t>
      </w:r>
      <w:proofErr w:type="spellStart"/>
      <w:r w:rsidR="005B15F0" w:rsidRPr="00102B7A">
        <w:t>centre</w:t>
      </w:r>
      <w:proofErr w:type="spellEnd"/>
      <w:r w:rsidR="005B15F0" w:rsidRPr="00102B7A">
        <w:t xml:space="preserve"> of the VET system, and the first choice for industry, </w:t>
      </w:r>
      <w:proofErr w:type="gramStart"/>
      <w:r w:rsidR="005B15F0" w:rsidRPr="00102B7A">
        <w:t>employers</w:t>
      </w:r>
      <w:proofErr w:type="gramEnd"/>
      <w:r w:rsidR="005B15F0" w:rsidRPr="00102B7A">
        <w:t xml:space="preserve"> and students. The </w:t>
      </w:r>
      <w:r w:rsidR="00EC44C2" w:rsidRPr="00102B7A">
        <w:t xml:space="preserve">Government </w:t>
      </w:r>
      <w:proofErr w:type="spellStart"/>
      <w:r w:rsidR="00BD7FF6" w:rsidRPr="00102B7A">
        <w:t>recognises</w:t>
      </w:r>
      <w:proofErr w:type="spellEnd"/>
      <w:r w:rsidR="00BD7FF6" w:rsidRPr="00102B7A">
        <w:t xml:space="preserve"> the </w:t>
      </w:r>
      <w:r w:rsidR="005B15F0" w:rsidRPr="00102B7A">
        <w:t>Victorian TAFE Network</w:t>
      </w:r>
      <w:r w:rsidR="00BD7FF6" w:rsidRPr="00102B7A">
        <w:t>’s</w:t>
      </w:r>
      <w:r w:rsidR="005B15F0" w:rsidRPr="00102B7A">
        <w:t xml:space="preserve"> </w:t>
      </w:r>
      <w:r w:rsidR="00BD7FF6" w:rsidRPr="00102B7A">
        <w:t xml:space="preserve">role in </w:t>
      </w:r>
      <w:r w:rsidR="005B15F0" w:rsidRPr="00102B7A">
        <w:t>supporting growth and </w:t>
      </w:r>
      <w:r w:rsidR="00BD7FF6" w:rsidRPr="00102B7A">
        <w:t xml:space="preserve">increased </w:t>
      </w:r>
      <w:r w:rsidR="005B15F0" w:rsidRPr="00102B7A">
        <w:t xml:space="preserve">productivity for Victoria </w:t>
      </w:r>
      <w:r w:rsidR="00181EF8" w:rsidRPr="00102B7A">
        <w:t>by</w:t>
      </w:r>
      <w:r w:rsidR="005B15F0" w:rsidRPr="00102B7A">
        <w:t xml:space="preserve"> delivering high quality skills, adapting to meet emerging skills needs, and enabling economic participation opportunities for all Victorians. </w:t>
      </w:r>
    </w:p>
    <w:p w14:paraId="42DE0793" w14:textId="37BE5C31" w:rsidR="00E64D36" w:rsidRPr="00561560" w:rsidRDefault="004F0C16" w:rsidP="00A96FE6">
      <w:pPr>
        <w:pStyle w:val="Heading2"/>
      </w:pPr>
      <w:bookmarkStart w:id="17" w:name="_Toc125033493"/>
      <w:bookmarkStart w:id="18" w:name="_Toc148100324"/>
      <w:r w:rsidRPr="00561560">
        <w:t>Victoria’s</w:t>
      </w:r>
      <w:r w:rsidR="003B06E6" w:rsidRPr="00561560">
        <w:t xml:space="preserve"> public TAFE network </w:t>
      </w:r>
      <w:r w:rsidRPr="00561560">
        <w:t xml:space="preserve">is </w:t>
      </w:r>
      <w:bookmarkEnd w:id="17"/>
      <w:r w:rsidR="003B06E6" w:rsidRPr="00561560">
        <w:t xml:space="preserve">delivering </w:t>
      </w:r>
      <w:r w:rsidR="009115B0" w:rsidRPr="00561560">
        <w:t xml:space="preserve">a pipeline of </w:t>
      </w:r>
      <w:r w:rsidR="00A05B1B" w:rsidRPr="00561560">
        <w:t>skill</w:t>
      </w:r>
      <w:r w:rsidR="009E4203" w:rsidRPr="00561560">
        <w:t>ed workers</w:t>
      </w:r>
      <w:r w:rsidR="00796EB1" w:rsidRPr="00561560">
        <w:t xml:space="preserve"> for jobs now and in the </w:t>
      </w:r>
      <w:r w:rsidR="007421CC" w:rsidRPr="00561560">
        <w:t>future.</w:t>
      </w:r>
      <w:bookmarkEnd w:id="18"/>
    </w:p>
    <w:p w14:paraId="49D0FDF8" w14:textId="32D5C29E" w:rsidR="00D44282" w:rsidRPr="00561560" w:rsidRDefault="00E97F0C" w:rsidP="00744891">
      <w:pPr>
        <w:pStyle w:val="Heading4"/>
      </w:pPr>
      <w:r w:rsidRPr="00561560">
        <w:t xml:space="preserve">The Victorian Skills Plan – Victoria’s skills roadmap – provides a guide for responding to the skilling challenges ahead and the opportunities presented by new and emerging industries. </w:t>
      </w:r>
      <w:r w:rsidR="005E01CE" w:rsidRPr="00561560">
        <w:t xml:space="preserve"> </w:t>
      </w:r>
      <w:r w:rsidR="005C0E01" w:rsidRPr="00561560">
        <w:t xml:space="preserve">The </w:t>
      </w:r>
      <w:r w:rsidRPr="00561560">
        <w:t xml:space="preserve">Victorian TAFE </w:t>
      </w:r>
      <w:r w:rsidR="00061A62" w:rsidRPr="00561560">
        <w:t>Network</w:t>
      </w:r>
      <w:r w:rsidRPr="00561560">
        <w:t xml:space="preserve"> </w:t>
      </w:r>
      <w:r w:rsidR="00A850B8" w:rsidRPr="00561560">
        <w:t>wor</w:t>
      </w:r>
      <w:r w:rsidR="00FB6138" w:rsidRPr="00561560">
        <w:t xml:space="preserve">ks to </w:t>
      </w:r>
      <w:r w:rsidR="005A364F" w:rsidRPr="00561560">
        <w:t>deliver</w:t>
      </w:r>
      <w:r w:rsidRPr="00561560">
        <w:t xml:space="preserve"> on the Victorian Skills Plan</w:t>
      </w:r>
      <w:r w:rsidR="0046583D" w:rsidRPr="00561560">
        <w:t>,</w:t>
      </w:r>
      <w:r w:rsidR="00771FB0" w:rsidRPr="00561560">
        <w:t xml:space="preserve"> through its broad, statewide </w:t>
      </w:r>
      <w:r w:rsidR="00796EB1" w:rsidRPr="00561560">
        <w:t>reach and</w:t>
      </w:r>
      <w:r w:rsidR="005C0E01" w:rsidRPr="00561560">
        <w:t xml:space="preserve"> </w:t>
      </w:r>
      <w:r w:rsidR="00BE58E2" w:rsidRPr="00561560">
        <w:t xml:space="preserve">a </w:t>
      </w:r>
      <w:r w:rsidR="0046583D" w:rsidRPr="00561560">
        <w:t xml:space="preserve">common objective </w:t>
      </w:r>
      <w:r w:rsidR="005A3197" w:rsidRPr="00561560">
        <w:t xml:space="preserve">of assuring student access to training </w:t>
      </w:r>
      <w:r w:rsidR="00BA3A04" w:rsidRPr="00561560">
        <w:t>linked to jobs</w:t>
      </w:r>
      <w:r w:rsidRPr="00561560">
        <w:t>.</w:t>
      </w:r>
      <w:r w:rsidR="00191383" w:rsidRPr="00561560">
        <w:t xml:space="preserve"> </w:t>
      </w:r>
    </w:p>
    <w:p w14:paraId="1EF7E70D" w14:textId="77777777" w:rsidR="001B1F9B" w:rsidRPr="00561560" w:rsidRDefault="001510C5" w:rsidP="00744891">
      <w:pPr>
        <w:pStyle w:val="Heading4"/>
      </w:pPr>
      <w:r w:rsidRPr="00561560">
        <w:t xml:space="preserve">The </w:t>
      </w:r>
      <w:r w:rsidR="00191383" w:rsidRPr="00561560">
        <w:t xml:space="preserve">TAFE </w:t>
      </w:r>
      <w:r w:rsidRPr="00561560">
        <w:t xml:space="preserve">Network </w:t>
      </w:r>
      <w:r w:rsidR="00191383" w:rsidRPr="00561560">
        <w:t xml:space="preserve">will be instrumental to training the </w:t>
      </w:r>
      <w:r w:rsidR="00860C09" w:rsidRPr="00561560">
        <w:t>future workforce</w:t>
      </w:r>
      <w:r w:rsidR="00F13D3F" w:rsidRPr="00561560">
        <w:t>s</w:t>
      </w:r>
      <w:r w:rsidR="00860C09" w:rsidRPr="00561560">
        <w:t xml:space="preserve"> required to meet Government’s </w:t>
      </w:r>
      <w:r w:rsidR="00F13D3F" w:rsidRPr="00561560">
        <w:t xml:space="preserve">climate action </w:t>
      </w:r>
      <w:r w:rsidR="00860C09" w:rsidRPr="00561560">
        <w:t>targets</w:t>
      </w:r>
      <w:r w:rsidR="00F13D3F" w:rsidRPr="00561560">
        <w:t xml:space="preserve"> and supporting transition to a clean economy.</w:t>
      </w:r>
      <w:r w:rsidR="00860C09" w:rsidRPr="00561560">
        <w:t xml:space="preserve"> </w:t>
      </w:r>
    </w:p>
    <w:p w14:paraId="7A1222D5" w14:textId="46495628" w:rsidR="002E551D" w:rsidRPr="00561560" w:rsidRDefault="00F13D3F" w:rsidP="00744891">
      <w:pPr>
        <w:pStyle w:val="Heading4"/>
      </w:pPr>
      <w:r w:rsidRPr="00561560">
        <w:t xml:space="preserve">This includes supporting </w:t>
      </w:r>
      <w:r w:rsidR="001A0424" w:rsidRPr="00561560">
        <w:t xml:space="preserve">development of </w:t>
      </w:r>
      <w:r w:rsidR="00191383" w:rsidRPr="00561560">
        <w:t>the State Electricity Commission</w:t>
      </w:r>
      <w:r w:rsidR="001A0424" w:rsidRPr="00561560">
        <w:t>’s</w:t>
      </w:r>
      <w:r w:rsidR="00191383" w:rsidRPr="00561560">
        <w:t xml:space="preserve"> </w:t>
      </w:r>
      <w:r w:rsidR="000D47DB" w:rsidRPr="00561560">
        <w:t>(SEC)</w:t>
      </w:r>
      <w:r w:rsidR="001A0424" w:rsidRPr="00561560">
        <w:t xml:space="preserve"> workforce, including through </w:t>
      </w:r>
      <w:r w:rsidR="00232799" w:rsidRPr="00561560">
        <w:t xml:space="preserve">the establishment of </w:t>
      </w:r>
      <w:r w:rsidR="004B6596" w:rsidRPr="00561560">
        <w:t>the SEC</w:t>
      </w:r>
      <w:r w:rsidR="00191383" w:rsidRPr="00561560">
        <w:t xml:space="preserve"> Centre </w:t>
      </w:r>
      <w:r w:rsidR="006876FB" w:rsidRPr="00561560">
        <w:t xml:space="preserve">of Training </w:t>
      </w:r>
      <w:r w:rsidR="00191383" w:rsidRPr="00561560">
        <w:t xml:space="preserve">Excellence. </w:t>
      </w:r>
    </w:p>
    <w:p w14:paraId="5F770F7D" w14:textId="2348E5EF" w:rsidR="001510C5" w:rsidRPr="00561560" w:rsidRDefault="001510C5" w:rsidP="00744891">
      <w:pPr>
        <w:pStyle w:val="Heading4"/>
      </w:pPr>
      <w:r w:rsidRPr="00561560">
        <w:t>This work will be guided by</w:t>
      </w:r>
      <w:r w:rsidR="00872342" w:rsidRPr="00561560">
        <w:t xml:space="preserve"> the Government’s Clean Economy Workforce Development Strategy 2023 to 2033 and</w:t>
      </w:r>
      <w:r w:rsidR="002E551D" w:rsidRPr="00561560">
        <w:t xml:space="preserve"> include</w:t>
      </w:r>
      <w:r w:rsidR="00872342" w:rsidRPr="00561560">
        <w:t xml:space="preserve"> </w:t>
      </w:r>
      <w:r w:rsidR="001C60B3" w:rsidRPr="00561560">
        <w:t>innovati</w:t>
      </w:r>
      <w:r w:rsidR="002E551D" w:rsidRPr="00561560">
        <w:t>on in applied learning</w:t>
      </w:r>
      <w:r w:rsidR="000239E2" w:rsidRPr="00561560">
        <w:t xml:space="preserve"> and skills for climate mitigation and adaptation, renewable energy</w:t>
      </w:r>
      <w:r w:rsidR="007C795E" w:rsidRPr="00561560">
        <w:t>, and the circular economy - through</w:t>
      </w:r>
      <w:r w:rsidR="001C60B3" w:rsidRPr="00561560">
        <w:t xml:space="preserve"> </w:t>
      </w:r>
      <w:r w:rsidR="00854F49" w:rsidRPr="00561560">
        <w:t xml:space="preserve">collaborations between </w:t>
      </w:r>
      <w:r w:rsidR="001C60B3" w:rsidRPr="00561560">
        <w:t xml:space="preserve">industry, the TAFE </w:t>
      </w:r>
      <w:proofErr w:type="gramStart"/>
      <w:r w:rsidR="00181EF8" w:rsidRPr="00561560">
        <w:t>N</w:t>
      </w:r>
      <w:r w:rsidR="001C60B3" w:rsidRPr="00561560">
        <w:t>etwork</w:t>
      </w:r>
      <w:proofErr w:type="gramEnd"/>
      <w:r w:rsidR="001C60B3" w:rsidRPr="00561560">
        <w:t xml:space="preserve"> and the Victorian Skills Authority</w:t>
      </w:r>
      <w:r w:rsidR="00AC3DE5" w:rsidRPr="00561560">
        <w:t xml:space="preserve">. </w:t>
      </w:r>
    </w:p>
    <w:p w14:paraId="67DC0E12" w14:textId="506DB28F" w:rsidR="0060048A" w:rsidRPr="00561560" w:rsidRDefault="0060048A" w:rsidP="00744891">
      <w:pPr>
        <w:pStyle w:val="Heading4"/>
      </w:pPr>
      <w:r w:rsidRPr="00561560">
        <w:t xml:space="preserve">The TAFE Network will promote best practice and excellence in teaching and learning through celebrating the success of students, </w:t>
      </w:r>
      <w:proofErr w:type="gramStart"/>
      <w:r w:rsidRPr="00561560">
        <w:t>trainers</w:t>
      </w:r>
      <w:proofErr w:type="gramEnd"/>
      <w:r w:rsidRPr="00561560">
        <w:t xml:space="preserve"> and providers.</w:t>
      </w:r>
    </w:p>
    <w:p w14:paraId="6F12D6A9" w14:textId="070AD840" w:rsidR="00C14C9F" w:rsidRPr="00561560" w:rsidRDefault="00C14C9F" w:rsidP="00A96FE6">
      <w:pPr>
        <w:pStyle w:val="Heading2"/>
      </w:pPr>
      <w:bookmarkStart w:id="19" w:name="_Toc148100325"/>
      <w:bookmarkStart w:id="20" w:name="_Toc76479067"/>
      <w:bookmarkStart w:id="21" w:name="_Toc125033494"/>
      <w:r w:rsidRPr="00561560">
        <w:t xml:space="preserve">The TAFE Network </w:t>
      </w:r>
      <w:r w:rsidR="0020279A" w:rsidRPr="00561560">
        <w:t xml:space="preserve">is </w:t>
      </w:r>
      <w:r w:rsidR="00DC26BE" w:rsidRPr="00561560">
        <w:t>grow</w:t>
      </w:r>
      <w:r w:rsidR="0020279A" w:rsidRPr="00561560">
        <w:t>ing</w:t>
      </w:r>
      <w:r w:rsidR="00DC26BE" w:rsidRPr="00561560">
        <w:t xml:space="preserve"> Victoria’s prosperity and productive capacity</w:t>
      </w:r>
      <w:r w:rsidR="0020279A" w:rsidRPr="00561560">
        <w:t xml:space="preserve"> through partnering with </w:t>
      </w:r>
      <w:proofErr w:type="gramStart"/>
      <w:r w:rsidR="0020279A" w:rsidRPr="00561560">
        <w:t>industry</w:t>
      </w:r>
      <w:bookmarkEnd w:id="19"/>
      <w:proofErr w:type="gramEnd"/>
    </w:p>
    <w:p w14:paraId="40C21245" w14:textId="6D72204D" w:rsidR="00C14C9F" w:rsidRPr="00102B7A" w:rsidRDefault="0018275F" w:rsidP="00744891">
      <w:pPr>
        <w:pStyle w:val="Heading4"/>
      </w:pPr>
      <w:r w:rsidRPr="00102B7A">
        <w:t xml:space="preserve">The </w:t>
      </w:r>
      <w:r w:rsidR="0056233A" w:rsidRPr="00102B7A">
        <w:t>transition of Victoria’s Training and TAFE portfolio to the Department of Jobs, Skills</w:t>
      </w:r>
      <w:r w:rsidR="00E27E89" w:rsidRPr="00102B7A">
        <w:t>, Industry and Regions (DJSIR)</w:t>
      </w:r>
      <w:r w:rsidR="006D03FE" w:rsidRPr="00102B7A">
        <w:t xml:space="preserve"> in 2023 has strengthened the capacity for the TAFE Network to </w:t>
      </w:r>
      <w:r w:rsidR="00C14C9F" w:rsidRPr="00102B7A">
        <w:t xml:space="preserve">maintain and deepen relationships with industry to </w:t>
      </w:r>
      <w:r w:rsidR="006D03FE" w:rsidRPr="00102B7A">
        <w:t xml:space="preserve">ensure training </w:t>
      </w:r>
      <w:r w:rsidR="00C60956" w:rsidRPr="00102B7A">
        <w:t>is high quality, flexible and responsive</w:t>
      </w:r>
      <w:r w:rsidR="00187D54" w:rsidRPr="00102B7A">
        <w:t xml:space="preserve"> and meets </w:t>
      </w:r>
      <w:r w:rsidR="00C60956" w:rsidRPr="00102B7A">
        <w:t xml:space="preserve">the </w:t>
      </w:r>
      <w:r w:rsidR="004C617B" w:rsidRPr="00102B7A">
        <w:t>technological requirements of industry</w:t>
      </w:r>
      <w:r w:rsidR="00187D54" w:rsidRPr="00102B7A">
        <w:t>. This includes w</w:t>
      </w:r>
      <w:r w:rsidR="00C14C9F" w:rsidRPr="00102B7A">
        <w:t>orking closely with other portfolios and stakeholders of the Department of Jobs, Skills, Industries and Regions</w:t>
      </w:r>
      <w:r w:rsidR="007D7888" w:rsidRPr="00102B7A">
        <w:t xml:space="preserve"> and more broadly</w:t>
      </w:r>
      <w:r w:rsidR="00F54AB3" w:rsidRPr="00102B7A">
        <w:t xml:space="preserve"> with other Government departments</w:t>
      </w:r>
      <w:r w:rsidR="00C14C9F" w:rsidRPr="00102B7A">
        <w:t xml:space="preserve">.   </w:t>
      </w:r>
    </w:p>
    <w:p w14:paraId="3F93FEA4" w14:textId="09CABDB5" w:rsidR="00365E8D" w:rsidRPr="00102B7A" w:rsidRDefault="00365E8D" w:rsidP="00744891">
      <w:pPr>
        <w:pStyle w:val="Heading4"/>
      </w:pPr>
      <w:r w:rsidRPr="00102B7A">
        <w:t xml:space="preserve">This includes </w:t>
      </w:r>
      <w:r w:rsidR="00F54AB3" w:rsidRPr="00102B7A">
        <w:t>delivery of</w:t>
      </w:r>
      <w:r w:rsidRPr="00102B7A">
        <w:t xml:space="preserve"> skills in key areas like: </w:t>
      </w:r>
    </w:p>
    <w:p w14:paraId="2B9CA52F" w14:textId="682CB810" w:rsidR="00365E8D" w:rsidRPr="0084267F" w:rsidRDefault="00365E8D" w:rsidP="0084267F">
      <w:pPr>
        <w:pStyle w:val="Heading5"/>
      </w:pPr>
      <w:r w:rsidRPr="0084267F">
        <w:t>agriculture, hospitality, tourism and manufacturing</w:t>
      </w:r>
      <w:r w:rsidR="00831BD5" w:rsidRPr="0084267F">
        <w:t xml:space="preserve">, the technology and digital </w:t>
      </w:r>
      <w:proofErr w:type="gramStart"/>
      <w:r w:rsidR="00831BD5" w:rsidRPr="0084267F">
        <w:t>sectors;</w:t>
      </w:r>
      <w:proofErr w:type="gramEnd"/>
    </w:p>
    <w:p w14:paraId="5FE5D3A8" w14:textId="747A4AD1" w:rsidR="00365E8D" w:rsidRPr="0084267F" w:rsidRDefault="00365E8D" w:rsidP="0084267F">
      <w:pPr>
        <w:pStyle w:val="Heading5"/>
      </w:pPr>
      <w:r w:rsidRPr="0084267F">
        <w:lastRenderedPageBreak/>
        <w:t>construction to support the government’s large-scale infrastructure priorities</w:t>
      </w:r>
      <w:r w:rsidR="00C06C9C" w:rsidRPr="0084267F">
        <w:t xml:space="preserve">, including Victoria’s new </w:t>
      </w:r>
      <w:r w:rsidR="005714F9" w:rsidRPr="0084267F">
        <w:t>Big Housing Build program to support the growth of social housing</w:t>
      </w:r>
      <w:r w:rsidR="00181EF8" w:rsidRPr="0084267F">
        <w:t xml:space="preserve"> </w:t>
      </w:r>
      <w:r w:rsidR="006F3696" w:rsidRPr="0084267F">
        <w:t>and to deliver</w:t>
      </w:r>
      <w:r w:rsidR="00D34C98" w:rsidRPr="0084267F">
        <w:t xml:space="preserve"> </w:t>
      </w:r>
      <w:r w:rsidR="00181EF8" w:rsidRPr="0084267F">
        <w:t>Victoria’s Housing Statement</w:t>
      </w:r>
      <w:r w:rsidRPr="0084267F">
        <w:t>; and</w:t>
      </w:r>
    </w:p>
    <w:p w14:paraId="0EF5CE2B" w14:textId="1FFEE125" w:rsidR="00365E8D" w:rsidRPr="0084267F" w:rsidRDefault="00365E8D" w:rsidP="0084267F">
      <w:pPr>
        <w:pStyle w:val="Heading5"/>
      </w:pPr>
      <w:r w:rsidRPr="0084267F">
        <w:t>Victoria’s critical social and community services including early childhood education and care workforces, supporting delivery of government’s priority social and inclusion reforms.</w:t>
      </w:r>
    </w:p>
    <w:p w14:paraId="24D93518" w14:textId="0A54EF7F" w:rsidR="00B25A0C" w:rsidRPr="00102B7A" w:rsidRDefault="00C14C9F" w:rsidP="00744891">
      <w:pPr>
        <w:pStyle w:val="Heading4"/>
      </w:pPr>
      <w:r w:rsidRPr="00102B7A">
        <w:t xml:space="preserve">TAFEs are </w:t>
      </w:r>
      <w:r w:rsidR="00187D54" w:rsidRPr="00102B7A">
        <w:t>already at</w:t>
      </w:r>
      <w:r w:rsidRPr="00102B7A">
        <w:t xml:space="preserve"> the forefront of delivering </w:t>
      </w:r>
      <w:r w:rsidR="00597137" w:rsidRPr="00102B7A">
        <w:t xml:space="preserve">skills </w:t>
      </w:r>
      <w:r w:rsidRPr="00102B7A">
        <w:t>to support Victoria’s workforce development and technological adaptation</w:t>
      </w:r>
      <w:r w:rsidR="00597137" w:rsidRPr="00102B7A">
        <w:t xml:space="preserve"> in </w:t>
      </w:r>
      <w:r w:rsidRPr="00102B7A">
        <w:t xml:space="preserve">areas such as the care </w:t>
      </w:r>
      <w:r w:rsidR="00597137" w:rsidRPr="00102B7A">
        <w:t>economy</w:t>
      </w:r>
      <w:r w:rsidR="0006417A" w:rsidRPr="00102B7A">
        <w:t xml:space="preserve"> and agriculture</w:t>
      </w:r>
      <w:r w:rsidRPr="00102B7A">
        <w:t xml:space="preserve">. </w:t>
      </w:r>
      <w:r w:rsidR="0006417A" w:rsidRPr="00102B7A">
        <w:t xml:space="preserve">New ways of working </w:t>
      </w:r>
      <w:r w:rsidR="00263B3C" w:rsidRPr="00102B7A">
        <w:t xml:space="preserve">are underway to support the TAFE </w:t>
      </w:r>
      <w:r w:rsidR="00181EF8" w:rsidRPr="00102B7A">
        <w:t>N</w:t>
      </w:r>
      <w:r w:rsidR="00263B3C" w:rsidRPr="00102B7A">
        <w:t xml:space="preserve">etwork </w:t>
      </w:r>
      <w:proofErr w:type="gramStart"/>
      <w:r w:rsidR="00263B3C" w:rsidRPr="00102B7A">
        <w:t>as a whole to</w:t>
      </w:r>
      <w:proofErr w:type="gramEnd"/>
      <w:r w:rsidR="00263B3C" w:rsidRPr="00102B7A">
        <w:t xml:space="preserve"> engage with </w:t>
      </w:r>
      <w:r w:rsidRPr="00102B7A">
        <w:t>industry in course and assessment design and develop</w:t>
      </w:r>
      <w:r w:rsidR="00D77C6D" w:rsidRPr="00102B7A">
        <w:t>ment of</w:t>
      </w:r>
      <w:r w:rsidRPr="00102B7A">
        <w:t xml:space="preserve"> leading-edge materials</w:t>
      </w:r>
      <w:r w:rsidR="00B25A0C" w:rsidRPr="00102B7A">
        <w:t xml:space="preserve"> and work-based learning opportunities, shared across the </w:t>
      </w:r>
      <w:r w:rsidR="00181EF8" w:rsidRPr="00102B7A">
        <w:t>N</w:t>
      </w:r>
      <w:r w:rsidR="00B25A0C" w:rsidRPr="00102B7A">
        <w:t>etwork.</w:t>
      </w:r>
    </w:p>
    <w:p w14:paraId="0E240A31" w14:textId="23BA52C8" w:rsidR="00DC3B5D" w:rsidRPr="00561560" w:rsidRDefault="00DC3B5D" w:rsidP="00A96FE6">
      <w:pPr>
        <w:pStyle w:val="Heading2"/>
      </w:pPr>
      <w:bookmarkStart w:id="22" w:name="_Toc148100326"/>
      <w:r w:rsidRPr="00561560">
        <w:t xml:space="preserve">The TAFE </w:t>
      </w:r>
      <w:r w:rsidR="00061A62" w:rsidRPr="00561560">
        <w:t>Network</w:t>
      </w:r>
      <w:r w:rsidRPr="00561560">
        <w:t xml:space="preserve"> </w:t>
      </w:r>
      <w:r w:rsidR="008B50F2" w:rsidRPr="00561560">
        <w:t xml:space="preserve">supports economic inclusion and participation to ensure all Victorians benefit from </w:t>
      </w:r>
      <w:r w:rsidR="00365E8D" w:rsidRPr="00561560">
        <w:t xml:space="preserve">the state’s </w:t>
      </w:r>
      <w:proofErr w:type="gramStart"/>
      <w:r w:rsidR="00365E8D" w:rsidRPr="00561560">
        <w:t>prosperity</w:t>
      </w:r>
      <w:bookmarkEnd w:id="22"/>
      <w:proofErr w:type="gramEnd"/>
    </w:p>
    <w:p w14:paraId="0F63618D" w14:textId="77777777" w:rsidR="00EC748F" w:rsidRPr="00102B7A" w:rsidRDefault="00EC748F" w:rsidP="00744891">
      <w:pPr>
        <w:pStyle w:val="Heading4"/>
      </w:pPr>
      <w:r w:rsidRPr="00102B7A">
        <w:t xml:space="preserve">The TAFE Network provides crucial access to applied education and training for Victorians facing exclusion or disadvantage, including through pathways into work, targeted outreach and support programs and tailored student pathways. This includes recognition of, and continuing support for, the principles of cultural safety and self-determination for Aboriginal and Torres Strait Islander people and tailored support for students with disabilities, LGBTIQ+ students, students from culturally and linguistically diverse backgrounds. </w:t>
      </w:r>
    </w:p>
    <w:p w14:paraId="72A2161E" w14:textId="2331E449" w:rsidR="00EC748F" w:rsidRPr="00102B7A" w:rsidRDefault="00EC748F" w:rsidP="00744891">
      <w:pPr>
        <w:pStyle w:val="Heading4"/>
      </w:pPr>
      <w:r w:rsidRPr="00102B7A">
        <w:t xml:space="preserve">The TAFE Network is also central to supporting students to navigate within and across the broader educational sector. This occurs through its lead role in the delivery of TAFE training within secondary schools, and the creation of educational pathways into TAFE (including from schools and university). </w:t>
      </w:r>
      <w:r w:rsidR="008701C5" w:rsidRPr="00102B7A">
        <w:t xml:space="preserve">The Network’s unique dual sector universities are at the forefront of supporting pathways from </w:t>
      </w:r>
      <w:r w:rsidR="00A82B56" w:rsidRPr="00102B7A">
        <w:t xml:space="preserve">TAFE to higher education, and closer links between the Skills and Employment portfolios will enable the </w:t>
      </w:r>
      <w:r w:rsidRPr="00102B7A">
        <w:t xml:space="preserve">TAFE Network </w:t>
      </w:r>
      <w:r w:rsidR="00A82B56" w:rsidRPr="00102B7A">
        <w:t xml:space="preserve">to further strengthen </w:t>
      </w:r>
      <w:r w:rsidRPr="00102B7A">
        <w:t>job</w:t>
      </w:r>
      <w:r w:rsidR="00A82B56" w:rsidRPr="00102B7A">
        <w:t xml:space="preserve"> outcomes for all students</w:t>
      </w:r>
      <w:r w:rsidRPr="00102B7A">
        <w:t>.</w:t>
      </w:r>
    </w:p>
    <w:p w14:paraId="4389A8C3" w14:textId="221AADE2" w:rsidR="00DC3B5D" w:rsidRPr="00102B7A" w:rsidRDefault="00DC3B5D" w:rsidP="00744891">
      <w:pPr>
        <w:pStyle w:val="Heading4"/>
      </w:pPr>
      <w:r w:rsidRPr="00102B7A">
        <w:t>TAFEs also play a unique role supporting local communities and regional economies</w:t>
      </w:r>
      <w:r w:rsidR="00F54AB3" w:rsidRPr="00102B7A">
        <w:t>,</w:t>
      </w:r>
      <w:r w:rsidRPr="00102B7A">
        <w:t xml:space="preserve"> </w:t>
      </w:r>
      <w:r w:rsidR="008E0E87" w:rsidRPr="00102B7A">
        <w:t>as key employers, as well as</w:t>
      </w:r>
      <w:r w:rsidRPr="00102B7A">
        <w:t xml:space="preserve"> providing community access to TAFE facilities for civic activities and emergency response efforts. At the regional level </w:t>
      </w:r>
      <w:r w:rsidR="00EC748F" w:rsidRPr="00102B7A">
        <w:t xml:space="preserve">in particular </w:t>
      </w:r>
      <w:r w:rsidRPr="00102B7A">
        <w:t xml:space="preserve">TAFEs are key players in supporting regional development, infrastructure, </w:t>
      </w:r>
      <w:proofErr w:type="spellStart"/>
      <w:r w:rsidRPr="00102B7A">
        <w:t>revitalisation</w:t>
      </w:r>
      <w:proofErr w:type="spellEnd"/>
      <w:r w:rsidRPr="00102B7A">
        <w:t>, and supporting local staff and businesses</w:t>
      </w:r>
      <w:r w:rsidR="007E42B8" w:rsidRPr="00102B7A">
        <w:t xml:space="preserve">, such as the </w:t>
      </w:r>
      <w:proofErr w:type="gramStart"/>
      <w:r w:rsidR="007E42B8" w:rsidRPr="00102B7A">
        <w:t>award winning</w:t>
      </w:r>
      <w:proofErr w:type="gramEnd"/>
      <w:r w:rsidR="007E42B8" w:rsidRPr="00102B7A">
        <w:t xml:space="preserve"> Warrnambool Learning and Library Hub</w:t>
      </w:r>
      <w:r w:rsidRPr="00102B7A">
        <w:t>.</w:t>
      </w:r>
    </w:p>
    <w:p w14:paraId="718352D2" w14:textId="02E8CA27" w:rsidR="007E42B8" w:rsidRPr="00102B7A" w:rsidRDefault="0060048A" w:rsidP="00744891">
      <w:pPr>
        <w:pStyle w:val="Heading4"/>
      </w:pPr>
      <w:r w:rsidRPr="00102B7A">
        <w:t xml:space="preserve">The Victorian State Government funds all Victorian TAFEs and dual-sector universities to provide Skills and Jobs </w:t>
      </w:r>
      <w:proofErr w:type="spellStart"/>
      <w:r w:rsidRPr="00102B7A">
        <w:t>Centre</w:t>
      </w:r>
      <w:r w:rsidR="00C8578D" w:rsidRPr="00102B7A">
        <w:t>s</w:t>
      </w:r>
      <w:proofErr w:type="spellEnd"/>
      <w:r w:rsidRPr="00102B7A">
        <w:t xml:space="preserve"> (SJC</w:t>
      </w:r>
      <w:r w:rsidR="00C8578D" w:rsidRPr="00102B7A">
        <w:t>s</w:t>
      </w:r>
      <w:r w:rsidRPr="00102B7A">
        <w:t xml:space="preserve">). SJCs play a key role in supporting Victoria’s economic growth and social inclusion. They provide free, professional, and independent education, </w:t>
      </w:r>
      <w:proofErr w:type="gramStart"/>
      <w:r w:rsidRPr="00102B7A">
        <w:t>training</w:t>
      </w:r>
      <w:proofErr w:type="gramEnd"/>
      <w:r w:rsidRPr="00102B7A">
        <w:t xml:space="preserve"> and careers advice through qualified practitioners as well as advice, support, workshops and other resources that can support Victorians to make informed skilling and employment decisions</w:t>
      </w:r>
      <w:r w:rsidR="004155E4" w:rsidRPr="00102B7A">
        <w:t>, including workers impacted by industries in transition – such as native timber logging and coal.</w:t>
      </w:r>
    </w:p>
    <w:p w14:paraId="010E4A22" w14:textId="61BF5FA1" w:rsidR="00CE30CA" w:rsidRPr="00102B7A" w:rsidRDefault="0060048A" w:rsidP="00744891">
      <w:pPr>
        <w:pStyle w:val="Heading4"/>
        <w:rPr>
          <w:sz w:val="28"/>
          <w:szCs w:val="28"/>
        </w:rPr>
      </w:pPr>
      <w:r w:rsidRPr="00102B7A">
        <w:t>Advice and referrals provided by the SJCs are tailored to individual needs</w:t>
      </w:r>
      <w:r w:rsidR="00FB41D2" w:rsidRPr="00102B7A">
        <w:t xml:space="preserve"> and the needs of local communities</w:t>
      </w:r>
      <w:r w:rsidRPr="00102B7A">
        <w:t xml:space="preserve">. </w:t>
      </w:r>
      <w:r w:rsidR="00FB41D2" w:rsidRPr="00102B7A">
        <w:t>SJCSs</w:t>
      </w:r>
      <w:r w:rsidRPr="00102B7A">
        <w:t xml:space="preserve"> build and maintain strong connections with businesses/employers and other </w:t>
      </w:r>
      <w:proofErr w:type="spellStart"/>
      <w:r w:rsidRPr="00102B7A">
        <w:t>organisations</w:t>
      </w:r>
      <w:proofErr w:type="spellEnd"/>
      <w:r w:rsidRPr="00102B7A">
        <w:t xml:space="preserve"> in their local communities</w:t>
      </w:r>
      <w:r w:rsidR="00FB41D2" w:rsidRPr="00102B7A">
        <w:t>,</w:t>
      </w:r>
      <w:r w:rsidRPr="00102B7A">
        <w:t xml:space="preserve"> regularly monitor</w:t>
      </w:r>
      <w:r w:rsidR="00FB41D2" w:rsidRPr="00102B7A">
        <w:t>ing</w:t>
      </w:r>
      <w:r w:rsidRPr="00102B7A">
        <w:t xml:space="preserve"> local workforce skills and employment needs to provide the best and most current advice. They also provide Victorians with skills advice on pathways and opportunities in Victoria’s priority industries and initiatives, such as the care economy, digital skills </w:t>
      </w:r>
      <w:proofErr w:type="gramStart"/>
      <w:r w:rsidRPr="00102B7A">
        <w:t>economy</w:t>
      </w:r>
      <w:proofErr w:type="gramEnd"/>
      <w:r w:rsidRPr="00102B7A">
        <w:t xml:space="preserve"> and clean economy. </w:t>
      </w:r>
      <w:bookmarkStart w:id="23" w:name="_Toc76479070"/>
      <w:bookmarkStart w:id="24" w:name="_Toc125033497"/>
      <w:bookmarkEnd w:id="20"/>
      <w:bookmarkEnd w:id="21"/>
      <w:r w:rsidR="00CE30CA" w:rsidRPr="00102B7A">
        <w:br w:type="page"/>
      </w:r>
    </w:p>
    <w:p w14:paraId="21053008" w14:textId="41DF9C4A" w:rsidR="00002C05" w:rsidRPr="00102B7A" w:rsidRDefault="00002C05" w:rsidP="009D720B">
      <w:pPr>
        <w:pStyle w:val="Heading2"/>
      </w:pPr>
      <w:bookmarkStart w:id="25" w:name="_Toc148100327"/>
      <w:r w:rsidRPr="00102B7A">
        <w:lastRenderedPageBreak/>
        <w:t xml:space="preserve">TAFE </w:t>
      </w:r>
      <w:r w:rsidR="00061A62" w:rsidRPr="00102B7A">
        <w:t>Network</w:t>
      </w:r>
      <w:r w:rsidRPr="00102B7A">
        <w:t xml:space="preserve"> </w:t>
      </w:r>
      <w:bookmarkEnd w:id="23"/>
      <w:bookmarkEnd w:id="24"/>
      <w:r w:rsidR="00DC0B3E" w:rsidRPr="00102B7A">
        <w:t>priority areas</w:t>
      </w:r>
      <w:bookmarkEnd w:id="25"/>
    </w:p>
    <w:p w14:paraId="13A081A7" w14:textId="7A2BCC0B" w:rsidR="00D8007B" w:rsidRPr="00102B7A" w:rsidRDefault="00D8007B" w:rsidP="00744891">
      <w:pPr>
        <w:pStyle w:val="Heading4"/>
      </w:pPr>
      <w:r w:rsidRPr="00102B7A">
        <w:t>The TAFE Network Statement of Priorities is focused on four areas – Skills, Students, Sustainability</w:t>
      </w:r>
      <w:r w:rsidR="0030205A" w:rsidRPr="00102B7A">
        <w:t xml:space="preserve"> and Staff</w:t>
      </w:r>
      <w:r w:rsidRPr="00102B7A">
        <w:t xml:space="preserve">. </w:t>
      </w:r>
    </w:p>
    <w:p w14:paraId="07983427" w14:textId="77777777" w:rsidR="00FB571F" w:rsidRPr="00102B7A" w:rsidRDefault="00FB571F" w:rsidP="0045345D">
      <w:pPr>
        <w:pStyle w:val="bullet1"/>
        <w:numPr>
          <w:ilvl w:val="0"/>
          <w:numId w:val="0"/>
        </w:numPr>
        <w:rPr>
          <w:color w:val="auto"/>
        </w:rPr>
      </w:pPr>
    </w:p>
    <w:tbl>
      <w:tblPr>
        <w:tblStyle w:val="TableGrid"/>
        <w:tblW w:w="0" w:type="auto"/>
        <w:tblLook w:val="04A0" w:firstRow="1" w:lastRow="0" w:firstColumn="1" w:lastColumn="0" w:noHBand="0" w:noVBand="1"/>
      </w:tblPr>
      <w:tblGrid>
        <w:gridCol w:w="1583"/>
        <w:gridCol w:w="7501"/>
      </w:tblGrid>
      <w:tr w:rsidR="00102B7A" w:rsidRPr="00102B7A" w14:paraId="10C47271" w14:textId="77777777" w:rsidTr="00133694">
        <w:trPr>
          <w:trHeight w:val="343"/>
        </w:trPr>
        <w:tc>
          <w:tcPr>
            <w:tcW w:w="1515" w:type="dxa"/>
            <w:shd w:val="clear" w:color="auto" w:fill="auto"/>
          </w:tcPr>
          <w:p w14:paraId="58F8726A" w14:textId="77777777" w:rsidR="00FB571F" w:rsidRPr="00102B7A" w:rsidRDefault="00FB571F" w:rsidP="009D720B">
            <w:pPr>
              <w:pStyle w:val="Heading3"/>
            </w:pPr>
            <w:r w:rsidRPr="00102B7A">
              <w:t>Priority area</w:t>
            </w:r>
          </w:p>
        </w:tc>
        <w:tc>
          <w:tcPr>
            <w:tcW w:w="7501" w:type="dxa"/>
            <w:shd w:val="clear" w:color="auto" w:fill="auto"/>
          </w:tcPr>
          <w:p w14:paraId="4E4A3AF4" w14:textId="77777777" w:rsidR="00FB571F" w:rsidRPr="00102B7A" w:rsidRDefault="00FB571F" w:rsidP="009D720B">
            <w:pPr>
              <w:pStyle w:val="Heading3"/>
              <w:rPr>
                <w:rStyle w:val="normaltextrun"/>
                <w:b w:val="0"/>
                <w:bCs w:val="0"/>
                <w:shd w:val="clear" w:color="auto" w:fill="FFFFFF"/>
              </w:rPr>
            </w:pPr>
            <w:r w:rsidRPr="00102B7A">
              <w:t>Summary</w:t>
            </w:r>
          </w:p>
        </w:tc>
      </w:tr>
      <w:tr w:rsidR="00102B7A" w:rsidRPr="00102B7A" w14:paraId="3B82B0AC" w14:textId="77777777" w:rsidTr="00BC14BE">
        <w:trPr>
          <w:trHeight w:val="300"/>
        </w:trPr>
        <w:tc>
          <w:tcPr>
            <w:tcW w:w="1515" w:type="dxa"/>
          </w:tcPr>
          <w:p w14:paraId="1DEAAB1A" w14:textId="595C4ECB" w:rsidR="00FB571F" w:rsidRPr="00102B7A" w:rsidRDefault="00FB571F" w:rsidP="009D720B">
            <w:pPr>
              <w:pStyle w:val="Heading3"/>
              <w:rPr>
                <w:rStyle w:val="normaltextrun"/>
                <w:shd w:val="clear" w:color="auto" w:fill="FFFFFF"/>
              </w:rPr>
            </w:pPr>
            <w:r w:rsidRPr="00102B7A">
              <w:t xml:space="preserve">Skills: </w:t>
            </w:r>
          </w:p>
        </w:tc>
        <w:tc>
          <w:tcPr>
            <w:tcW w:w="7501" w:type="dxa"/>
            <w:tcMar>
              <w:top w:w="113" w:type="dxa"/>
            </w:tcMar>
          </w:tcPr>
          <w:p w14:paraId="4EB2C6D5" w14:textId="77777777" w:rsidR="00FB571F" w:rsidRPr="00102B7A" w:rsidRDefault="00FB571F" w:rsidP="00744891">
            <w:pPr>
              <w:pStyle w:val="Heading4"/>
              <w:rPr>
                <w:rStyle w:val="normaltextrun"/>
                <w:shd w:val="clear" w:color="auto" w:fill="FFFFFF"/>
              </w:rPr>
            </w:pPr>
            <w:r w:rsidRPr="00102B7A">
              <w:rPr>
                <w:rStyle w:val="normaltextrun"/>
                <w:shd w:val="clear" w:color="auto" w:fill="FFFFFF"/>
              </w:rPr>
              <w:t>TAFEs will deliver the right skills for jobs, by working together as a Network, embedded within industry, to deliver broad access to high quality training across Victoria.</w:t>
            </w:r>
            <w:r w:rsidRPr="00102B7A">
              <w:rPr>
                <w:rStyle w:val="eop"/>
                <w:shd w:val="clear" w:color="auto" w:fill="FFFFFF"/>
              </w:rPr>
              <w:t> </w:t>
            </w:r>
            <w:r w:rsidRPr="00102B7A">
              <w:t xml:space="preserve"> </w:t>
            </w:r>
          </w:p>
        </w:tc>
      </w:tr>
      <w:tr w:rsidR="00102B7A" w:rsidRPr="00102B7A" w14:paraId="2DC78CDF" w14:textId="77777777" w:rsidTr="00BC14BE">
        <w:trPr>
          <w:trHeight w:val="300"/>
        </w:trPr>
        <w:tc>
          <w:tcPr>
            <w:tcW w:w="1515" w:type="dxa"/>
          </w:tcPr>
          <w:p w14:paraId="37318B90" w14:textId="15117258" w:rsidR="00FB571F" w:rsidRPr="00102B7A" w:rsidRDefault="00FB571F" w:rsidP="009D720B">
            <w:pPr>
              <w:pStyle w:val="Heading3"/>
              <w:rPr>
                <w:rStyle w:val="normaltextrun"/>
                <w:shd w:val="clear" w:color="auto" w:fill="FFFFFF"/>
              </w:rPr>
            </w:pPr>
            <w:r w:rsidRPr="00102B7A">
              <w:t>Students:</w:t>
            </w:r>
          </w:p>
        </w:tc>
        <w:tc>
          <w:tcPr>
            <w:tcW w:w="7501" w:type="dxa"/>
            <w:tcMar>
              <w:top w:w="113" w:type="dxa"/>
            </w:tcMar>
          </w:tcPr>
          <w:p w14:paraId="02C3D4CE" w14:textId="77777777" w:rsidR="00FB571F" w:rsidRPr="00102B7A" w:rsidDel="00153AB3" w:rsidRDefault="00FB571F" w:rsidP="00744891">
            <w:pPr>
              <w:pStyle w:val="Heading4"/>
              <w:rPr>
                <w:b/>
                <w:bCs/>
                <w:shd w:val="clear" w:color="auto" w:fill="FFFFFF"/>
              </w:rPr>
            </w:pPr>
            <w:r w:rsidRPr="00102B7A">
              <w:rPr>
                <w:rStyle w:val="normaltextrun"/>
                <w:shd w:val="clear" w:color="auto" w:fill="FFFFFF"/>
              </w:rPr>
              <w:t>TAFEs will support student pathways across a joined-up education sector, and enable students to achieve successful outcomes, including those facing barriers to education and employment.</w:t>
            </w:r>
            <w:r w:rsidRPr="00102B7A">
              <w:rPr>
                <w:rStyle w:val="eop"/>
                <w:shd w:val="clear" w:color="auto" w:fill="FFFFFF"/>
              </w:rPr>
              <w:t> </w:t>
            </w:r>
          </w:p>
        </w:tc>
      </w:tr>
      <w:tr w:rsidR="00102B7A" w:rsidRPr="00102B7A" w14:paraId="3B0731F3" w14:textId="77777777" w:rsidTr="00BC14BE">
        <w:trPr>
          <w:trHeight w:val="300"/>
        </w:trPr>
        <w:tc>
          <w:tcPr>
            <w:tcW w:w="1515" w:type="dxa"/>
          </w:tcPr>
          <w:p w14:paraId="108A9A78" w14:textId="385AF90E" w:rsidR="00FB571F" w:rsidRPr="00102B7A" w:rsidRDefault="00FB571F" w:rsidP="009D720B">
            <w:pPr>
              <w:pStyle w:val="Heading3"/>
              <w:rPr>
                <w:rStyle w:val="normaltextrun"/>
                <w:shd w:val="clear" w:color="auto" w:fill="FFFFFF"/>
              </w:rPr>
            </w:pPr>
            <w:r w:rsidRPr="00102B7A">
              <w:t>Sustainability:</w:t>
            </w:r>
          </w:p>
        </w:tc>
        <w:tc>
          <w:tcPr>
            <w:tcW w:w="7501" w:type="dxa"/>
            <w:tcMar>
              <w:top w:w="113" w:type="dxa"/>
            </w:tcMar>
          </w:tcPr>
          <w:p w14:paraId="3054A9EA" w14:textId="77777777" w:rsidR="00FB571F" w:rsidRPr="00102B7A" w:rsidDel="00153AB3" w:rsidRDefault="00FB571F" w:rsidP="00744891">
            <w:pPr>
              <w:pStyle w:val="Heading4"/>
              <w:rPr>
                <w:b/>
                <w:bCs/>
                <w:shd w:val="clear" w:color="auto" w:fill="FFFFFF"/>
              </w:rPr>
            </w:pPr>
            <w:r w:rsidRPr="00102B7A">
              <w:rPr>
                <w:rStyle w:val="normaltextrun"/>
                <w:shd w:val="clear" w:color="auto" w:fill="FFFFFF"/>
              </w:rPr>
              <w:t xml:space="preserve">TAFE institutes will work towards achieving financial sustainability at their institute and the TAFE Network. TAFEs are working towards environmental sustainability. </w:t>
            </w:r>
            <w:r w:rsidRPr="00102B7A">
              <w:rPr>
                <w:rStyle w:val="eop"/>
                <w:shd w:val="clear" w:color="auto" w:fill="FFFFFF"/>
              </w:rPr>
              <w:t> </w:t>
            </w:r>
          </w:p>
        </w:tc>
      </w:tr>
      <w:tr w:rsidR="009D720B" w:rsidRPr="00102B7A" w14:paraId="2D5D21A1" w14:textId="77777777" w:rsidTr="00BC14BE">
        <w:trPr>
          <w:trHeight w:val="300"/>
        </w:trPr>
        <w:tc>
          <w:tcPr>
            <w:tcW w:w="1515" w:type="dxa"/>
          </w:tcPr>
          <w:p w14:paraId="04AD68E2" w14:textId="51AEC225" w:rsidR="00FB571F" w:rsidRPr="00102B7A" w:rsidRDefault="00FB571F" w:rsidP="009D720B">
            <w:pPr>
              <w:pStyle w:val="Heading3"/>
            </w:pPr>
            <w:r w:rsidRPr="00102B7A">
              <w:t>Staff:</w:t>
            </w:r>
          </w:p>
        </w:tc>
        <w:tc>
          <w:tcPr>
            <w:tcW w:w="7501" w:type="dxa"/>
            <w:tcMar>
              <w:top w:w="113" w:type="dxa"/>
            </w:tcMar>
          </w:tcPr>
          <w:p w14:paraId="0B9D51F0" w14:textId="77777777" w:rsidR="00FB571F" w:rsidRPr="00102B7A" w:rsidRDefault="00FB571F" w:rsidP="00744891">
            <w:pPr>
              <w:pStyle w:val="Heading4"/>
              <w:rPr>
                <w:rStyle w:val="normaltextrun"/>
                <w:shd w:val="clear" w:color="auto" w:fill="FFFFFF"/>
              </w:rPr>
            </w:pPr>
            <w:r w:rsidRPr="00102B7A">
              <w:rPr>
                <w:rStyle w:val="normaltextrun"/>
              </w:rPr>
              <w:t xml:space="preserve">TAFEs will support their staff to offer excellent teaching and services so that students achieve their educational goals, and the TAFE Network leads the VET sector, setting a high benchmark for quality delivery. </w:t>
            </w:r>
          </w:p>
        </w:tc>
      </w:tr>
    </w:tbl>
    <w:p w14:paraId="45579A99" w14:textId="7AD032A4" w:rsidR="00002C05" w:rsidRPr="00102B7A" w:rsidRDefault="00002C05" w:rsidP="00A15617">
      <w:pPr>
        <w:rPr>
          <w:color w:val="auto"/>
        </w:rPr>
      </w:pPr>
      <w:r w:rsidRPr="00102B7A">
        <w:rPr>
          <w:color w:val="auto"/>
        </w:rPr>
        <w:br w:type="page"/>
      </w:r>
    </w:p>
    <w:p w14:paraId="6AE61AC6" w14:textId="10039138" w:rsidR="00002C05" w:rsidRPr="00BC14BE" w:rsidRDefault="00D549BE" w:rsidP="00BC14BE">
      <w:pPr>
        <w:pStyle w:val="Heading2"/>
      </w:pPr>
      <w:bookmarkStart w:id="26" w:name="_Toc125033499"/>
      <w:bookmarkStart w:id="27" w:name="_Toc148100328"/>
      <w:r w:rsidRPr="00BC14BE">
        <w:lastRenderedPageBreak/>
        <w:t>2024</w:t>
      </w:r>
      <w:r w:rsidR="007F30AD" w:rsidRPr="00BC14BE">
        <w:t xml:space="preserve"> TAFE Network Priorities</w:t>
      </w:r>
      <w:r w:rsidR="00002C05" w:rsidRPr="00BC14BE">
        <w:t>: Skills</w:t>
      </w:r>
      <w:bookmarkEnd w:id="26"/>
      <w:bookmarkEnd w:id="27"/>
    </w:p>
    <w:p w14:paraId="7C7E512F" w14:textId="32822BDA" w:rsidR="00002C05" w:rsidRPr="00102B7A" w:rsidRDefault="00002C05" w:rsidP="00744891">
      <w:pPr>
        <w:pStyle w:val="Heading4"/>
      </w:pPr>
      <w:r w:rsidRPr="00102B7A">
        <w:t xml:space="preserve">TAFEs will deliver the right </w:t>
      </w:r>
      <w:r w:rsidR="007A08EA" w:rsidRPr="00102B7A">
        <w:t xml:space="preserve">training </w:t>
      </w:r>
      <w:r w:rsidRPr="00102B7A">
        <w:t>for jobs</w:t>
      </w:r>
      <w:r w:rsidR="007A08EA" w:rsidRPr="00102B7A">
        <w:t xml:space="preserve"> aligned to Victoria’s skills needs</w:t>
      </w:r>
      <w:r w:rsidRPr="00102B7A">
        <w:t xml:space="preserve"> by </w:t>
      </w:r>
      <w:r w:rsidR="00A60687" w:rsidRPr="00102B7A">
        <w:t xml:space="preserve">working </w:t>
      </w:r>
      <w:r w:rsidRPr="00102B7A">
        <w:t xml:space="preserve">as a </w:t>
      </w:r>
      <w:r w:rsidR="00061A62" w:rsidRPr="00102B7A">
        <w:t>Network</w:t>
      </w:r>
      <w:r w:rsidRPr="00102B7A">
        <w:t xml:space="preserve"> to </w:t>
      </w:r>
      <w:r w:rsidR="00512418" w:rsidRPr="00102B7A">
        <w:t xml:space="preserve">ensure Victorians have </w:t>
      </w:r>
      <w:r w:rsidRPr="00102B7A">
        <w:t>broad access to high quality</w:t>
      </w:r>
      <w:r w:rsidR="007A08EA" w:rsidRPr="00102B7A">
        <w:t>, industry relevant</w:t>
      </w:r>
      <w:r w:rsidRPr="00102B7A">
        <w:t xml:space="preserve"> training across Victoria</w:t>
      </w:r>
      <w:r w:rsidR="007E52F3" w:rsidRPr="00102B7A">
        <w:t>.</w:t>
      </w:r>
    </w:p>
    <w:p w14:paraId="4894CC37" w14:textId="07194FBE" w:rsidR="00002C05" w:rsidRPr="00BC14BE" w:rsidRDefault="00002C05" w:rsidP="00BC14BE">
      <w:pPr>
        <w:pStyle w:val="Heading3"/>
      </w:pPr>
      <w:r w:rsidRPr="00BC14BE">
        <w:t>Skills: Key priorities</w:t>
      </w:r>
    </w:p>
    <w:p w14:paraId="03561FC3" w14:textId="4C5924C4" w:rsidR="00CE30CA" w:rsidRPr="00744891" w:rsidRDefault="00CE30CA" w:rsidP="00744891">
      <w:pPr>
        <w:pStyle w:val="Heading5"/>
      </w:pPr>
      <w:r w:rsidRPr="00744891">
        <w:t>TAFEs will promote the value of public education, and the unique opportunities for students such as Free TAFE,</w:t>
      </w:r>
      <w:r w:rsidR="0022088B" w:rsidRPr="00744891">
        <w:t xml:space="preserve"> which now offers opportunities to students </w:t>
      </w:r>
      <w:r w:rsidR="00B86FD0" w:rsidRPr="00744891">
        <w:t xml:space="preserve">who have </w:t>
      </w:r>
      <w:r w:rsidR="00D4199A" w:rsidRPr="00744891">
        <w:t>existing</w:t>
      </w:r>
      <w:r w:rsidR="00B86FD0" w:rsidRPr="00744891">
        <w:t xml:space="preserve"> </w:t>
      </w:r>
      <w:r w:rsidR="005D1366" w:rsidRPr="00744891">
        <w:t>qualifications</w:t>
      </w:r>
      <w:r w:rsidR="001A727F" w:rsidRPr="00744891">
        <w:t xml:space="preserve"> </w:t>
      </w:r>
      <w:r w:rsidR="00931514" w:rsidRPr="00744891">
        <w:t xml:space="preserve">and </w:t>
      </w:r>
      <w:r w:rsidR="00C93D07" w:rsidRPr="00744891">
        <w:t>opportunities</w:t>
      </w:r>
      <w:r w:rsidR="00D36D18" w:rsidRPr="00744891">
        <w:t xml:space="preserve"> </w:t>
      </w:r>
      <w:r w:rsidR="003717AB" w:rsidRPr="00744891">
        <w:t xml:space="preserve">to </w:t>
      </w:r>
      <w:r w:rsidR="00D36D18" w:rsidRPr="00744891">
        <w:t xml:space="preserve">do </w:t>
      </w:r>
      <w:r w:rsidR="001A727F" w:rsidRPr="00744891">
        <w:t>more than one Free TAFE course within the same occupational pathway</w:t>
      </w:r>
      <w:r w:rsidR="008328CD" w:rsidRPr="00744891">
        <w:t xml:space="preserve">. TAFEs will </w:t>
      </w:r>
      <w:r w:rsidR="000C0369" w:rsidRPr="00744891">
        <w:t>maintain</w:t>
      </w:r>
      <w:r w:rsidRPr="00744891">
        <w:t xml:space="preserve"> a focus on improved outcomes for students and employers who access these opportunities.  </w:t>
      </w:r>
    </w:p>
    <w:p w14:paraId="0705464A" w14:textId="5EA4DCA6" w:rsidR="00CE30CA" w:rsidRPr="00744891" w:rsidRDefault="00CE30CA" w:rsidP="00744891">
      <w:pPr>
        <w:pStyle w:val="Heading5"/>
      </w:pPr>
      <w:r w:rsidRPr="00744891">
        <w:t xml:space="preserve">TAFEs will </w:t>
      </w:r>
      <w:r w:rsidR="00B6667F" w:rsidRPr="00744891">
        <w:t>use</w:t>
      </w:r>
      <w:r w:rsidR="0045041D" w:rsidRPr="00744891">
        <w:t xml:space="preserve"> </w:t>
      </w:r>
      <w:r w:rsidR="00B373F7" w:rsidRPr="00744891">
        <w:t>the Victorian Skills Plan,</w:t>
      </w:r>
      <w:r w:rsidR="00B6667F" w:rsidRPr="00744891">
        <w:t xml:space="preserve"> to plan their training delivery</w:t>
      </w:r>
      <w:r w:rsidR="00B373F7" w:rsidRPr="00744891">
        <w:t xml:space="preserve"> </w:t>
      </w:r>
      <w:r w:rsidRPr="00744891">
        <w:t xml:space="preserve">to ensure the </w:t>
      </w:r>
      <w:r w:rsidR="00061A62" w:rsidRPr="00744891">
        <w:t>Network</w:t>
      </w:r>
      <w:r w:rsidR="00A60687" w:rsidRPr="00744891">
        <w:t xml:space="preserve"> </w:t>
      </w:r>
      <w:r w:rsidRPr="00744891">
        <w:t>offer</w:t>
      </w:r>
      <w:r w:rsidR="00B373F7" w:rsidRPr="00744891">
        <w:t>s</w:t>
      </w:r>
      <w:r w:rsidRPr="00744891">
        <w:t xml:space="preserve"> broad access to the most relevant training for students, </w:t>
      </w:r>
      <w:proofErr w:type="gramStart"/>
      <w:r w:rsidRPr="00744891">
        <w:t>communities</w:t>
      </w:r>
      <w:proofErr w:type="gramEnd"/>
      <w:r w:rsidRPr="00744891">
        <w:t xml:space="preserve"> and industry where it is needed most</w:t>
      </w:r>
      <w:r w:rsidR="00B373F7" w:rsidRPr="00744891">
        <w:t>. L</w:t>
      </w:r>
      <w:r w:rsidRPr="00744891">
        <w:t xml:space="preserve">everaging the expertise, </w:t>
      </w:r>
      <w:proofErr w:type="spellStart"/>
      <w:proofErr w:type="gramStart"/>
      <w:r w:rsidRPr="00744891">
        <w:t>specialisation</w:t>
      </w:r>
      <w:proofErr w:type="spellEnd"/>
      <w:proofErr w:type="gramEnd"/>
      <w:r w:rsidRPr="00744891">
        <w:t xml:space="preserve"> and scale of the </w:t>
      </w:r>
      <w:r w:rsidR="00061A62" w:rsidRPr="00744891">
        <w:t>Network</w:t>
      </w:r>
      <w:r w:rsidR="00B373F7" w:rsidRPr="00744891">
        <w:t>, this whole of Network approach will f</w:t>
      </w:r>
      <w:r w:rsidRPr="00744891">
        <w:t>ocus on:</w:t>
      </w:r>
    </w:p>
    <w:p w14:paraId="3DFBEFAF" w14:textId="63A7317B" w:rsidR="00A60687" w:rsidRPr="00744891" w:rsidRDefault="00A60687" w:rsidP="00744891">
      <w:pPr>
        <w:pStyle w:val="Heading6"/>
      </w:pPr>
      <w:r w:rsidRPr="00744891">
        <w:t>Free TAFE courses, Apprenticeships and Traineeships and local skills needs identified in the Skills Plan</w:t>
      </w:r>
      <w:r w:rsidR="004A2F94" w:rsidRPr="00744891">
        <w:t>.</w:t>
      </w:r>
    </w:p>
    <w:p w14:paraId="5DD82583" w14:textId="11964C70" w:rsidR="00E63A5B" w:rsidRPr="00744891" w:rsidRDefault="00CE30CA" w:rsidP="00744891">
      <w:pPr>
        <w:pStyle w:val="Heading6"/>
      </w:pPr>
      <w:r w:rsidRPr="00744891">
        <w:t>Delivery of training that supports cultural safety</w:t>
      </w:r>
      <w:r w:rsidR="00DF7462" w:rsidRPr="00744891">
        <w:t>,</w:t>
      </w:r>
      <w:r w:rsidRPr="00744891">
        <w:t xml:space="preserve"> </w:t>
      </w:r>
      <w:proofErr w:type="gramStart"/>
      <w:r w:rsidRPr="00744891">
        <w:t>promotes</w:t>
      </w:r>
      <w:proofErr w:type="gramEnd"/>
      <w:r w:rsidRPr="00744891">
        <w:t xml:space="preserve"> and enables Aboriginal self-determination</w:t>
      </w:r>
      <w:r w:rsidR="00A60687" w:rsidRPr="00744891">
        <w:t xml:space="preserve"> and </w:t>
      </w:r>
      <w:r w:rsidR="001C213F" w:rsidRPr="00744891">
        <w:t>overcomes</w:t>
      </w:r>
      <w:r w:rsidR="005D49D6" w:rsidRPr="00744891">
        <w:t xml:space="preserve"> barriers to equal participation and </w:t>
      </w:r>
      <w:r w:rsidR="001C213F" w:rsidRPr="00744891">
        <w:t>inclusion</w:t>
      </w:r>
      <w:r w:rsidR="005D49D6" w:rsidRPr="00744891">
        <w:t xml:space="preserve">, including for </w:t>
      </w:r>
      <w:bookmarkStart w:id="28" w:name="_Hlk125446683"/>
      <w:r w:rsidR="005D49D6" w:rsidRPr="00744891">
        <w:t xml:space="preserve">students with disabilities, LGBTIQ+ students, and students from culturally and linguistically diverse backgrounds. </w:t>
      </w:r>
      <w:bookmarkEnd w:id="28"/>
    </w:p>
    <w:p w14:paraId="59FBA76C" w14:textId="12E45F8D" w:rsidR="00CE30CA" w:rsidRPr="00744891" w:rsidRDefault="00CE30CA" w:rsidP="00744891">
      <w:pPr>
        <w:pStyle w:val="Heading6"/>
      </w:pPr>
      <w:r w:rsidRPr="00744891">
        <w:t>Training delivery supporting the Victorian Government’s broader social and economic priorities, including</w:t>
      </w:r>
      <w:r w:rsidR="004A2F94" w:rsidRPr="00744891">
        <w:t xml:space="preserve"> </w:t>
      </w:r>
      <w:r w:rsidRPr="00744891">
        <w:t xml:space="preserve">supporting transition towards </w:t>
      </w:r>
      <w:r w:rsidR="005A3275" w:rsidRPr="00744891">
        <w:t xml:space="preserve">renewable </w:t>
      </w:r>
      <w:r w:rsidRPr="00744891">
        <w:t xml:space="preserve">energy and advanced technologies, infrastructure development including Victoria’s Big Build, and </w:t>
      </w:r>
      <w:r w:rsidR="00951834" w:rsidRPr="00744891">
        <w:t xml:space="preserve">supporting a pipeline of workers for </w:t>
      </w:r>
      <w:r w:rsidRPr="00744891">
        <w:t>Victoria’s mental health, family violence prevention and early childhood workforces.</w:t>
      </w:r>
    </w:p>
    <w:p w14:paraId="5E2B0CBA" w14:textId="6430CD4B" w:rsidR="004C5595" w:rsidRPr="00744891" w:rsidRDefault="00374704" w:rsidP="00744891">
      <w:pPr>
        <w:pStyle w:val="Heading6"/>
      </w:pPr>
      <w:r w:rsidRPr="00744891">
        <w:t>H</w:t>
      </w:r>
      <w:r w:rsidR="006F1EB6" w:rsidRPr="00744891">
        <w:t>igher level skills development</w:t>
      </w:r>
      <w:r w:rsidRPr="00744891">
        <w:t>, including</w:t>
      </w:r>
      <w:r w:rsidR="006F1EB6" w:rsidRPr="00744891">
        <w:t xml:space="preserve"> through applied research </w:t>
      </w:r>
      <w:r w:rsidR="00B978BE" w:rsidRPr="00744891">
        <w:t xml:space="preserve">in collaboration with </w:t>
      </w:r>
      <w:r w:rsidRPr="00744891">
        <w:t>industry.</w:t>
      </w:r>
    </w:p>
    <w:p w14:paraId="65A2B2DC" w14:textId="5FC4B6B4" w:rsidR="00AD00AB" w:rsidRPr="00744891" w:rsidRDefault="00CE30CA" w:rsidP="00744891">
      <w:pPr>
        <w:pStyle w:val="Heading6"/>
      </w:pPr>
      <w:r w:rsidRPr="00744891">
        <w:t xml:space="preserve">The expanded delivery of certificates </w:t>
      </w:r>
      <w:r w:rsidR="00951834" w:rsidRPr="00744891">
        <w:t xml:space="preserve">as part of the new VCE </w:t>
      </w:r>
      <w:r w:rsidRPr="00744891">
        <w:t xml:space="preserve">core offering </w:t>
      </w:r>
      <w:r w:rsidR="00951834" w:rsidRPr="00744891">
        <w:t>for s</w:t>
      </w:r>
      <w:r w:rsidRPr="00744891">
        <w:t xml:space="preserve">econdary </w:t>
      </w:r>
      <w:r w:rsidR="00951834" w:rsidRPr="00744891">
        <w:t>school s</w:t>
      </w:r>
      <w:r w:rsidRPr="00744891">
        <w:t>tudents</w:t>
      </w:r>
      <w:r w:rsidR="00951834" w:rsidRPr="00744891">
        <w:t>,</w:t>
      </w:r>
      <w:r w:rsidR="0045041D" w:rsidRPr="00744891">
        <w:t xml:space="preserve"> the VCE Vocational Major </w:t>
      </w:r>
      <w:r w:rsidR="00951834" w:rsidRPr="00744891">
        <w:t>and support for their transition to further TAFE training</w:t>
      </w:r>
      <w:r w:rsidRPr="00744891">
        <w:t>.</w:t>
      </w:r>
    </w:p>
    <w:p w14:paraId="114D322D" w14:textId="005E2B4F" w:rsidR="00344E05" w:rsidRPr="00744891" w:rsidRDefault="00191383" w:rsidP="00744891">
      <w:pPr>
        <w:pStyle w:val="Heading6"/>
      </w:pPr>
      <w:r w:rsidRPr="00744891">
        <w:t>Ensuring a strong role for TAFEs in innovation and vocational excellence in responding to new and emerging skills and technolog</w:t>
      </w:r>
      <w:r w:rsidR="00C51F9C" w:rsidRPr="00744891">
        <w:t>y</w:t>
      </w:r>
      <w:r w:rsidR="001B1F9B" w:rsidRPr="00744891">
        <w:t xml:space="preserve">, including at the national </w:t>
      </w:r>
      <w:r w:rsidR="00D8136F" w:rsidRPr="00744891">
        <w:t>level.</w:t>
      </w:r>
      <w:r w:rsidR="002A7060" w:rsidRPr="00744891">
        <w:t xml:space="preserve"> </w:t>
      </w:r>
    </w:p>
    <w:p w14:paraId="3D0F8ACF" w14:textId="594D40A3" w:rsidR="00C01864" w:rsidRPr="00102B7A" w:rsidRDefault="001C1C22" w:rsidP="00744891">
      <w:pPr>
        <w:pStyle w:val="Heading5"/>
      </w:pPr>
      <w:r w:rsidRPr="00102B7A">
        <w:t>Led by</w:t>
      </w:r>
      <w:r w:rsidR="00971C9E" w:rsidRPr="00102B7A">
        <w:t xml:space="preserve"> the OTCD, </w:t>
      </w:r>
      <w:r w:rsidR="00C01864" w:rsidRPr="00102B7A">
        <w:t>TAFEs will share best practice in teaching and learning across the Network, including</w:t>
      </w:r>
      <w:r w:rsidR="00532D98" w:rsidRPr="00102B7A">
        <w:t>,</w:t>
      </w:r>
      <w:r w:rsidR="00191383" w:rsidRPr="00102B7A">
        <w:t xml:space="preserve"> </w:t>
      </w:r>
      <w:r w:rsidR="00C01864" w:rsidRPr="00102B7A">
        <w:t xml:space="preserve">course materials and resources. The Network will continue its support for a new approach to developing shared, quality-assured teaching materials to improve student experience and industry relevance and actively participate in the </w:t>
      </w:r>
      <w:r w:rsidR="00A9223B" w:rsidRPr="00102B7A">
        <w:t xml:space="preserve">testing and </w:t>
      </w:r>
      <w:r w:rsidR="00C01864" w:rsidRPr="00102B7A">
        <w:t>refinement of the model</w:t>
      </w:r>
      <w:r w:rsidR="001D4477" w:rsidRPr="00102B7A">
        <w:t>, including the establishment of a new TAFE Academic Council</w:t>
      </w:r>
      <w:r w:rsidR="00C01864" w:rsidRPr="00102B7A">
        <w:t xml:space="preserve">. This will ensure that all students get the very best the Network can collectively </w:t>
      </w:r>
      <w:r w:rsidR="00532D98" w:rsidRPr="00102B7A">
        <w:t xml:space="preserve">offer </w:t>
      </w:r>
      <w:r w:rsidR="00C01864" w:rsidRPr="00102B7A">
        <w:t>by enabling focused investment in quality and supporting efficiency by reducing duplication. TAFEs will actively contribute to lifting quality and overall Network delivery of best-in-class training.</w:t>
      </w:r>
    </w:p>
    <w:p w14:paraId="3F9B8451" w14:textId="61925AA6" w:rsidR="00AD00AB" w:rsidRPr="00102B7A" w:rsidRDefault="00AD00AB" w:rsidP="00A15617">
      <w:pPr>
        <w:rPr>
          <w:color w:val="auto"/>
        </w:rPr>
      </w:pPr>
      <w:r w:rsidRPr="00102B7A">
        <w:rPr>
          <w:color w:val="auto"/>
        </w:rPr>
        <w:br w:type="page"/>
      </w:r>
    </w:p>
    <w:p w14:paraId="25D11139" w14:textId="631CFBD3" w:rsidR="00241587" w:rsidRPr="00BC14BE" w:rsidRDefault="004E22D9" w:rsidP="00BC14BE">
      <w:pPr>
        <w:pStyle w:val="Heading3"/>
      </w:pPr>
      <w:r w:rsidRPr="00BC14BE">
        <w:lastRenderedPageBreak/>
        <w:t>Skills</w:t>
      </w:r>
      <w:r w:rsidR="009C239F" w:rsidRPr="00BC14BE">
        <w:t>: what will success look like</w:t>
      </w:r>
      <w:r w:rsidR="005E3844" w:rsidRPr="00BC14BE">
        <w:t>?</w:t>
      </w:r>
    </w:p>
    <w:tbl>
      <w:tblPr>
        <w:tblStyle w:val="DJSIR"/>
        <w:tblpPr w:leftFromText="180" w:rightFromText="180" w:vertAnchor="text" w:horzAnchor="margin" w:tblpY="32"/>
        <w:tblW w:w="9214" w:type="dxa"/>
        <w:tblBorders>
          <w:left w:val="single" w:sz="4" w:space="0" w:color="auto"/>
          <w:right w:val="single" w:sz="4" w:space="0" w:color="auto"/>
          <w:insideV w:val="single" w:sz="4" w:space="0" w:color="auto"/>
        </w:tblBorders>
        <w:tblLayout w:type="fixed"/>
        <w:tblLook w:val="0620" w:firstRow="1" w:lastRow="0" w:firstColumn="0" w:lastColumn="0" w:noHBand="1" w:noVBand="1"/>
      </w:tblPr>
      <w:tblGrid>
        <w:gridCol w:w="2694"/>
        <w:gridCol w:w="6520"/>
      </w:tblGrid>
      <w:tr w:rsidR="00102B7A" w:rsidRPr="00102B7A" w14:paraId="5AA0A8D4" w14:textId="77777777" w:rsidTr="00281AFF">
        <w:trPr>
          <w:cnfStyle w:val="100000000000" w:firstRow="1" w:lastRow="0" w:firstColumn="0" w:lastColumn="0" w:oddVBand="0" w:evenVBand="0" w:oddHBand="0" w:evenHBand="0" w:firstRowFirstColumn="0" w:firstRowLastColumn="0" w:lastRowFirstColumn="0" w:lastRowLastColumn="0"/>
          <w:trHeight w:hRule="exact" w:val="453"/>
        </w:trPr>
        <w:tc>
          <w:tcPr>
            <w:tcW w:w="2694" w:type="dxa"/>
            <w:shd w:val="clear" w:color="auto" w:fill="auto"/>
          </w:tcPr>
          <w:p w14:paraId="22597BF4" w14:textId="74D18B11" w:rsidR="00F94525" w:rsidRPr="00BC14BE" w:rsidRDefault="00F94525" w:rsidP="00BC14BE">
            <w:pPr>
              <w:pStyle w:val="Heading3"/>
            </w:pPr>
            <w:r w:rsidRPr="00BC14BE">
              <w:t>Priority</w:t>
            </w:r>
          </w:p>
        </w:tc>
        <w:tc>
          <w:tcPr>
            <w:tcW w:w="6520" w:type="dxa"/>
            <w:shd w:val="clear" w:color="auto" w:fill="auto"/>
          </w:tcPr>
          <w:p w14:paraId="5DF5131C" w14:textId="5044916B" w:rsidR="00F94525" w:rsidRPr="00BC14BE" w:rsidRDefault="007F30AD" w:rsidP="00BC14BE">
            <w:pPr>
              <w:pStyle w:val="Heading3"/>
            </w:pPr>
            <w:r w:rsidRPr="00BC14BE">
              <w:t xml:space="preserve">What will </w:t>
            </w:r>
            <w:r w:rsidR="00F94525" w:rsidRPr="00BC14BE">
              <w:t xml:space="preserve">success </w:t>
            </w:r>
            <w:r w:rsidRPr="00BC14BE">
              <w:t xml:space="preserve">look like </w:t>
            </w:r>
            <w:r w:rsidR="00F94525" w:rsidRPr="00BC14BE">
              <w:t xml:space="preserve">for the TAFE </w:t>
            </w:r>
            <w:r w:rsidR="00061A62" w:rsidRPr="00BC14BE">
              <w:t>Network</w:t>
            </w:r>
            <w:r w:rsidR="00F94525" w:rsidRPr="00BC14BE">
              <w:t xml:space="preserve"> in </w:t>
            </w:r>
            <w:r w:rsidR="00D549BE" w:rsidRPr="00BC14BE">
              <w:t>2024</w:t>
            </w:r>
            <w:r w:rsidRPr="00BC14BE">
              <w:t>?</w:t>
            </w:r>
          </w:p>
        </w:tc>
      </w:tr>
      <w:tr w:rsidR="00102B7A" w:rsidRPr="00102B7A" w14:paraId="7B46F393" w14:textId="77777777" w:rsidTr="00281AFF">
        <w:trPr>
          <w:trHeight w:hRule="exact" w:val="6790"/>
        </w:trPr>
        <w:tc>
          <w:tcPr>
            <w:tcW w:w="2694" w:type="dxa"/>
            <w:shd w:val="clear" w:color="auto" w:fill="auto"/>
          </w:tcPr>
          <w:p w14:paraId="03337596" w14:textId="65265538" w:rsidR="00241587" w:rsidRPr="00102B7A" w:rsidRDefault="00241587" w:rsidP="009D2F4C">
            <w:pPr>
              <w:pStyle w:val="Heading4"/>
            </w:pPr>
            <w:r w:rsidRPr="00102B7A">
              <w:t>The TAFE Network is delivering the right skills for the right jobs in the right places</w:t>
            </w:r>
          </w:p>
        </w:tc>
        <w:tc>
          <w:tcPr>
            <w:tcW w:w="6520" w:type="dxa"/>
            <w:shd w:val="clear" w:color="auto" w:fill="auto"/>
          </w:tcPr>
          <w:p w14:paraId="61BD9342" w14:textId="77777777" w:rsidR="00241587" w:rsidRPr="00102B7A" w:rsidRDefault="00241587" w:rsidP="00BC14BE">
            <w:pPr>
              <w:pStyle w:val="Heading3"/>
            </w:pPr>
            <w:r w:rsidRPr="00102B7A">
              <w:t>OTCD led:</w:t>
            </w:r>
            <w:r w:rsidRPr="00102B7A" w:rsidDel="00266F4E">
              <w:t xml:space="preserve"> </w:t>
            </w:r>
          </w:p>
          <w:p w14:paraId="40C7464F" w14:textId="77777777" w:rsidR="00241587" w:rsidRPr="00102B7A" w:rsidRDefault="00241587" w:rsidP="009D2F4C">
            <w:pPr>
              <w:pStyle w:val="Heading5"/>
            </w:pPr>
            <w:r w:rsidRPr="00102B7A">
              <w:t xml:space="preserve">The OTCD works with TAFE institutes and dual sector universities towards an agreed Service Delivery Framework, and </w:t>
            </w:r>
            <w:r w:rsidRPr="00102B7A" w:rsidDel="00266F4E">
              <w:t xml:space="preserve">TAFEs </w:t>
            </w:r>
            <w:r w:rsidRPr="00102B7A" w:rsidDel="00A52BDF">
              <w:t xml:space="preserve">participate </w:t>
            </w:r>
            <w:r w:rsidRPr="00102B7A">
              <w:t xml:space="preserve">in the Network process of </w:t>
            </w:r>
            <w:r w:rsidRPr="00A37FA1">
              <w:t>TAFE Provision – Access and Assurance</w:t>
            </w:r>
            <w:r w:rsidRPr="00102B7A" w:rsidDel="00266F4E">
              <w:t>.</w:t>
            </w:r>
            <w:r w:rsidRPr="00102B7A">
              <w:t xml:space="preserve"> This will support:</w:t>
            </w:r>
          </w:p>
          <w:p w14:paraId="37E11DCA" w14:textId="77777777" w:rsidR="00241587" w:rsidRPr="00A37FA1" w:rsidRDefault="00241587" w:rsidP="009D2F4C">
            <w:pPr>
              <w:pStyle w:val="Heading6"/>
            </w:pPr>
            <w:r w:rsidRPr="00102B7A">
              <w:t xml:space="preserve">the TAFE Network’s delivery profile to be increasingly focused on Victoria's skills needs as identified in the </w:t>
            </w:r>
            <w:r w:rsidRPr="00A37FA1">
              <w:t xml:space="preserve">Victorian Skills Plan </w:t>
            </w:r>
          </w:p>
          <w:p w14:paraId="2C9862BE" w14:textId="77777777" w:rsidR="00241587" w:rsidRPr="00102B7A" w:rsidRDefault="00241587" w:rsidP="009D2F4C">
            <w:pPr>
              <w:pStyle w:val="Heading6"/>
            </w:pPr>
            <w:r w:rsidRPr="00102B7A">
              <w:t>the TAFE Network to close geographical gaps in delivery (e.g., in growth corridors and regional Victoria) through planning based on common data sources.</w:t>
            </w:r>
          </w:p>
          <w:p w14:paraId="521A4335" w14:textId="77777777" w:rsidR="00281AFF" w:rsidRDefault="00241587" w:rsidP="009D2F4C">
            <w:pPr>
              <w:pStyle w:val="Heading5"/>
            </w:pPr>
            <w:r w:rsidRPr="00102B7A">
              <w:t xml:space="preserve">The OTCD progresses a whole of TAFE Network approach to developing, </w:t>
            </w:r>
            <w:proofErr w:type="gramStart"/>
            <w:r w:rsidRPr="00102B7A">
              <w:t>maintaining</w:t>
            </w:r>
            <w:proofErr w:type="gramEnd"/>
            <w:r w:rsidRPr="00102B7A">
              <w:t xml:space="preserve"> and sharing quality-assured teaching materials, designed with industry.</w:t>
            </w:r>
            <w:r w:rsidR="00BC14BE" w:rsidRPr="00102B7A">
              <w:t xml:space="preserve"> </w:t>
            </w:r>
          </w:p>
          <w:p w14:paraId="7479C4DC" w14:textId="6A0B6478" w:rsidR="00BC14BE" w:rsidRPr="00102B7A" w:rsidRDefault="00BC14BE" w:rsidP="00BC14BE">
            <w:pPr>
              <w:pStyle w:val="Heading3"/>
            </w:pPr>
            <w:r w:rsidRPr="00102B7A">
              <w:t xml:space="preserve">TAFE and dual sector university led: </w:t>
            </w:r>
          </w:p>
          <w:p w14:paraId="7E823111" w14:textId="77777777" w:rsidR="00BC14BE" w:rsidRPr="00102B7A" w:rsidRDefault="00BC14BE" w:rsidP="009D2F4C">
            <w:pPr>
              <w:pStyle w:val="Heading5"/>
            </w:pPr>
            <w:r w:rsidRPr="00102B7A">
              <w:t xml:space="preserve">TAFEs increase delivery of Free TAFE, apprenticeship and traineeship courses and other priority </w:t>
            </w:r>
            <w:proofErr w:type="gramStart"/>
            <w:r w:rsidRPr="00102B7A">
              <w:t>courses</w:t>
            </w:r>
            <w:proofErr w:type="gramEnd"/>
            <w:r w:rsidRPr="00102B7A">
              <w:t xml:space="preserve"> </w:t>
            </w:r>
          </w:p>
          <w:p w14:paraId="63A150D6" w14:textId="77777777" w:rsidR="00BC14BE" w:rsidRPr="00102B7A" w:rsidRDefault="00BC14BE" w:rsidP="009D2F4C">
            <w:pPr>
              <w:pStyle w:val="Heading5"/>
            </w:pPr>
            <w:r w:rsidRPr="00102B7A">
              <w:t xml:space="preserve">TAFEs demonstrate improved employment and other training outcomes for students against previous results. </w:t>
            </w:r>
          </w:p>
          <w:p w14:paraId="6832ADEB" w14:textId="5383466D" w:rsidR="00241587" w:rsidRPr="00102B7A" w:rsidRDefault="00BC14BE" w:rsidP="009D2F4C">
            <w:pPr>
              <w:pStyle w:val="Heading5"/>
            </w:pPr>
            <w:r w:rsidRPr="00102B7A">
              <w:t xml:space="preserve">TAFEs expand the Network’s offering and delivery of VET training for Victorian secondary school students.  </w:t>
            </w:r>
          </w:p>
        </w:tc>
      </w:tr>
    </w:tbl>
    <w:p w14:paraId="540709CB" w14:textId="77777777" w:rsidR="0084267F" w:rsidRPr="0084267F" w:rsidRDefault="0084267F" w:rsidP="009D2F4C">
      <w:pPr>
        <w:pStyle w:val="Heading3"/>
        <w:rPr>
          <w:b w:val="0"/>
          <w:bCs w:val="0"/>
        </w:rPr>
      </w:pPr>
    </w:p>
    <w:p w14:paraId="728E1B81" w14:textId="48893D72" w:rsidR="00A15617" w:rsidRPr="009D2F4C" w:rsidRDefault="00A15617" w:rsidP="009D2F4C">
      <w:pPr>
        <w:pStyle w:val="Heading3"/>
      </w:pPr>
      <w:r w:rsidRPr="009D2F4C">
        <w:t xml:space="preserve">Skills: How </w:t>
      </w:r>
      <w:r w:rsidR="008E1733" w:rsidRPr="009D2F4C">
        <w:t>Government is supporting these priorities</w:t>
      </w:r>
    </w:p>
    <w:p w14:paraId="68B47FDB" w14:textId="30D1C531" w:rsidR="00F96C71" w:rsidRPr="009D2F4C" w:rsidRDefault="00A47217" w:rsidP="009D2F4C">
      <w:pPr>
        <w:pStyle w:val="Heading4"/>
      </w:pPr>
      <w:bookmarkStart w:id="29" w:name="_Hlk126928721"/>
      <w:r w:rsidRPr="009D2F4C">
        <w:t xml:space="preserve">The Government </w:t>
      </w:r>
      <w:r w:rsidR="00F96C71" w:rsidRPr="009D2F4C">
        <w:t>is investing</w:t>
      </w:r>
      <w:r w:rsidRPr="009D2F4C">
        <w:t xml:space="preserve"> in the TAFE </w:t>
      </w:r>
      <w:r w:rsidR="00061A62" w:rsidRPr="009D2F4C">
        <w:t>Network</w:t>
      </w:r>
      <w:r w:rsidRPr="009D2F4C">
        <w:t xml:space="preserve"> to support its role at the </w:t>
      </w:r>
      <w:proofErr w:type="spellStart"/>
      <w:r w:rsidRPr="009D2F4C">
        <w:t>centre</w:t>
      </w:r>
      <w:proofErr w:type="spellEnd"/>
      <w:r w:rsidRPr="009D2F4C">
        <w:t xml:space="preserve"> of the VET system</w:t>
      </w:r>
      <w:r w:rsidR="00F96C71" w:rsidRPr="009D2F4C">
        <w:t xml:space="preserve"> and to deliver on these priorities</w:t>
      </w:r>
      <w:r w:rsidRPr="009D2F4C">
        <w:t xml:space="preserve">. Expanded </w:t>
      </w:r>
      <w:r w:rsidR="00C01864" w:rsidRPr="009D2F4C">
        <w:t xml:space="preserve">student eligibility and </w:t>
      </w:r>
      <w:r w:rsidRPr="009D2F4C">
        <w:t>Free TAFE</w:t>
      </w:r>
      <w:r w:rsidR="00C01864" w:rsidRPr="009D2F4C">
        <w:t>,</w:t>
      </w:r>
      <w:r w:rsidRPr="009D2F4C">
        <w:t xml:space="preserve"> and the guarantee of 70 per cent of Vocational Education and Training (VET) funding </w:t>
      </w:r>
      <w:r w:rsidR="00532D98" w:rsidRPr="009D2F4C">
        <w:t xml:space="preserve">allocated </w:t>
      </w:r>
      <w:r w:rsidRPr="009D2F4C">
        <w:t>to TAFE</w:t>
      </w:r>
      <w:r w:rsidR="00F96C71" w:rsidRPr="009D2F4C">
        <w:t xml:space="preserve"> will support a stronger TAFE </w:t>
      </w:r>
      <w:r w:rsidR="00061A62" w:rsidRPr="009D2F4C">
        <w:t>Network</w:t>
      </w:r>
      <w:r w:rsidR="00F96C71" w:rsidRPr="009D2F4C">
        <w:t>, as will</w:t>
      </w:r>
      <w:r w:rsidRPr="009D2F4C">
        <w:t xml:space="preserve"> the capital investments under the Building Better TAFE Fund</w:t>
      </w:r>
      <w:r w:rsidR="00CA3E48" w:rsidRPr="009D2F4C">
        <w:t xml:space="preserve"> and</w:t>
      </w:r>
      <w:r w:rsidRPr="009D2F4C">
        <w:t xml:space="preserve"> the TAFE Clean Energy Fund</w:t>
      </w:r>
      <w:r w:rsidR="00F96C71" w:rsidRPr="009D2F4C">
        <w:t xml:space="preserve">. </w:t>
      </w:r>
      <w:bookmarkEnd w:id="29"/>
      <w:r w:rsidR="00A15617" w:rsidRPr="009D2F4C">
        <w:t>TAFEs will</w:t>
      </w:r>
      <w:r w:rsidR="00F96C71" w:rsidRPr="009D2F4C">
        <w:t xml:space="preserve"> continue to</w:t>
      </w:r>
      <w:r w:rsidR="00A15617" w:rsidRPr="009D2F4C">
        <w:t xml:space="preserve"> be supported by the OTCD</w:t>
      </w:r>
      <w:r w:rsidR="00C46B4A" w:rsidRPr="009D2F4C">
        <w:t xml:space="preserve"> through </w:t>
      </w:r>
      <w:r w:rsidR="00A15617" w:rsidRPr="009D2F4C">
        <w:t xml:space="preserve">strategic coordination and support </w:t>
      </w:r>
      <w:r w:rsidR="00F96C71" w:rsidRPr="009D2F4C">
        <w:t xml:space="preserve">for </w:t>
      </w:r>
      <w:r w:rsidR="00A15617" w:rsidRPr="009D2F4C">
        <w:t xml:space="preserve">TAFEs to work </w:t>
      </w:r>
      <w:r w:rsidR="00F96C71" w:rsidRPr="009D2F4C">
        <w:t xml:space="preserve">as a </w:t>
      </w:r>
      <w:r w:rsidR="00061A62" w:rsidRPr="009D2F4C">
        <w:t>Network</w:t>
      </w:r>
      <w:r w:rsidR="00F96C71" w:rsidRPr="009D2F4C">
        <w:t xml:space="preserve">. </w:t>
      </w:r>
    </w:p>
    <w:p w14:paraId="11FE88D4" w14:textId="3A0D6C98" w:rsidR="005D088D" w:rsidRPr="009D2F4C" w:rsidRDefault="00A15617" w:rsidP="009D2F4C">
      <w:pPr>
        <w:pStyle w:val="Heading4"/>
      </w:pPr>
      <w:r w:rsidRPr="009D2F4C">
        <w:t>The OTCD will support TAF</w:t>
      </w:r>
      <w:r w:rsidR="00191383" w:rsidRPr="009D2F4C">
        <w:t>E</w:t>
      </w:r>
      <w:r w:rsidRPr="009D2F4C">
        <w:t>s to develop delivery plans</w:t>
      </w:r>
      <w:r w:rsidR="005E314C" w:rsidRPr="009D2F4C">
        <w:t xml:space="preserve"> </w:t>
      </w:r>
      <w:r w:rsidR="000A60FE" w:rsidRPr="009D2F4C">
        <w:t xml:space="preserve">by providing data and </w:t>
      </w:r>
      <w:r w:rsidR="00AA78C4" w:rsidRPr="009D2F4C">
        <w:t xml:space="preserve">analysis </w:t>
      </w:r>
      <w:r w:rsidR="000A60FE" w:rsidRPr="009D2F4C">
        <w:t xml:space="preserve">regarding skills and </w:t>
      </w:r>
      <w:proofErr w:type="spellStart"/>
      <w:r w:rsidR="000A60FE" w:rsidRPr="009D2F4C">
        <w:t>labour</w:t>
      </w:r>
      <w:proofErr w:type="spellEnd"/>
      <w:r w:rsidR="000A60FE" w:rsidRPr="009D2F4C">
        <w:t xml:space="preserve"> needs</w:t>
      </w:r>
      <w:r w:rsidR="000F0576" w:rsidRPr="009D2F4C">
        <w:t xml:space="preserve"> including drawing on the Victorian Skills Plan and emerging priorities such as Victoria’s Housing Statement and SEC</w:t>
      </w:r>
      <w:r w:rsidR="000A60FE" w:rsidRPr="009D2F4C">
        <w:t xml:space="preserve"> </w:t>
      </w:r>
      <w:r w:rsidR="00F96C71" w:rsidRPr="009D2F4C">
        <w:t>so that</w:t>
      </w:r>
      <w:r w:rsidR="00C46B4A" w:rsidRPr="009D2F4C">
        <w:t xml:space="preserve"> the</w:t>
      </w:r>
      <w:r w:rsidR="00F96C71" w:rsidRPr="009D2F4C">
        <w:t xml:space="preserve"> </w:t>
      </w:r>
      <w:r w:rsidR="00061A62" w:rsidRPr="009D2F4C">
        <w:t>Network</w:t>
      </w:r>
      <w:r w:rsidR="00C46B4A" w:rsidRPr="009D2F4C">
        <w:t>’s</w:t>
      </w:r>
      <w:r w:rsidR="00F96C71" w:rsidRPr="009D2F4C">
        <w:t xml:space="preserve"> delivery </w:t>
      </w:r>
      <w:r w:rsidR="000F0576" w:rsidRPr="009D2F4C">
        <w:t xml:space="preserve">responds to </w:t>
      </w:r>
      <w:r w:rsidR="00F96C71" w:rsidRPr="009D2F4C">
        <w:t>jobs</w:t>
      </w:r>
      <w:r w:rsidR="000F0576" w:rsidRPr="009D2F4C">
        <w:t>,</w:t>
      </w:r>
      <w:r w:rsidR="00F96C71" w:rsidRPr="009D2F4C">
        <w:t xml:space="preserve"> local community needs </w:t>
      </w:r>
      <w:r w:rsidR="000F0576" w:rsidRPr="009D2F4C">
        <w:t xml:space="preserve">and government priorities. </w:t>
      </w:r>
    </w:p>
    <w:p w14:paraId="5730F338" w14:textId="7A52DC63" w:rsidR="00311B03" w:rsidRPr="009D2F4C" w:rsidRDefault="00311B03" w:rsidP="009D2F4C">
      <w:pPr>
        <w:pStyle w:val="Heading4"/>
      </w:pPr>
      <w:r w:rsidRPr="009D2F4C">
        <w:t xml:space="preserve">The OTCD will work with the Department of Energy, Environment and Climate Action (DEECA) and the TAFE Network to respond collectively to Victoria’s need for renewable energy skills to meet the government’s target of reaching net zero emissions by 2045, including throughout the establishment of the SEC Centre for Training Excellence. </w:t>
      </w:r>
    </w:p>
    <w:p w14:paraId="71CAB93A" w14:textId="231265E3" w:rsidR="00311B03" w:rsidRPr="009D2F4C" w:rsidRDefault="00311B03" w:rsidP="009D2F4C">
      <w:pPr>
        <w:pStyle w:val="Heading4"/>
      </w:pPr>
      <w:r w:rsidRPr="009D2F4C">
        <w:lastRenderedPageBreak/>
        <w:t xml:space="preserve">The OTCD will work across portfolios to respond to Government’s key priorities including developing the skills needed to deliver on Victoria’s Housing Statement and support </w:t>
      </w:r>
      <w:r w:rsidR="00A26111" w:rsidRPr="009D2F4C">
        <w:t>the state</w:t>
      </w:r>
      <w:r w:rsidRPr="009D2F4C">
        <w:t>’s new Big Housing Build program.</w:t>
      </w:r>
    </w:p>
    <w:p w14:paraId="6FDAEBB3" w14:textId="13A5563A" w:rsidR="00241587" w:rsidRPr="009D2F4C" w:rsidRDefault="00545D86" w:rsidP="009D2F4C">
      <w:pPr>
        <w:pStyle w:val="Heading4"/>
      </w:pPr>
      <w:r w:rsidRPr="009D2F4C">
        <w:t xml:space="preserve">The OTCD will support delivery and access to VDSS through </w:t>
      </w:r>
      <w:r w:rsidR="00274A3F" w:rsidRPr="009D2F4C">
        <w:t xml:space="preserve">ongoing work </w:t>
      </w:r>
      <w:r w:rsidRPr="009D2F4C">
        <w:t xml:space="preserve">with </w:t>
      </w:r>
      <w:r w:rsidR="00274A3F" w:rsidRPr="009D2F4C">
        <w:t xml:space="preserve">the </w:t>
      </w:r>
      <w:r w:rsidRPr="009D2F4C">
        <w:t xml:space="preserve">Senior Secondary </w:t>
      </w:r>
      <w:r w:rsidR="00274A3F" w:rsidRPr="009D2F4C">
        <w:t>Pathway Reforms Taskforce</w:t>
      </w:r>
      <w:r w:rsidRPr="009D2F4C">
        <w:t xml:space="preserve"> </w:t>
      </w:r>
      <w:r w:rsidR="00274A3F" w:rsidRPr="009D2F4C">
        <w:t>via</w:t>
      </w:r>
      <w:r w:rsidRPr="009D2F4C">
        <w:t xml:space="preserve"> the inter departmental committee. </w:t>
      </w:r>
    </w:p>
    <w:p w14:paraId="5245A5CA" w14:textId="3640D292" w:rsidR="00F34FC9" w:rsidRPr="009D2F4C" w:rsidRDefault="003F3187" w:rsidP="009D2F4C">
      <w:pPr>
        <w:pStyle w:val="Heading4"/>
      </w:pPr>
      <w:r w:rsidRPr="009D2F4C">
        <w:t>The OTCD</w:t>
      </w:r>
      <w:r w:rsidR="00226EB6" w:rsidRPr="009D2F4C">
        <w:t xml:space="preserve"> with TAFEs,</w:t>
      </w:r>
      <w:r w:rsidRPr="009D2F4C">
        <w:t xml:space="preserve"> will </w:t>
      </w:r>
      <w:r w:rsidR="004278F2" w:rsidRPr="009D2F4C">
        <w:t xml:space="preserve">test and refine </w:t>
      </w:r>
      <w:r w:rsidRPr="009D2F4C">
        <w:t xml:space="preserve">a new operating model for developing, maintaining, and sharing common resources. This new way of working will give ready access to quality-assured, shared resources that can be used by all teachers in the Network. These materials will be high quality and fit-for-purpose, freeing up teachers’ time for teaching and supporting students. </w:t>
      </w:r>
    </w:p>
    <w:p w14:paraId="73B01628" w14:textId="10771D6A" w:rsidR="0020383D" w:rsidRPr="00281AFF" w:rsidRDefault="00D549BE" w:rsidP="009D2F4C">
      <w:pPr>
        <w:pStyle w:val="Heading2"/>
      </w:pPr>
      <w:bookmarkStart w:id="30" w:name="_Toc148100329"/>
      <w:r w:rsidRPr="00281AFF">
        <w:t>2024</w:t>
      </w:r>
      <w:r w:rsidR="00BA3D03" w:rsidRPr="00281AFF">
        <w:t xml:space="preserve"> TAFE Network </w:t>
      </w:r>
      <w:r w:rsidR="0020383D" w:rsidRPr="00281AFF">
        <w:t>Priorit</w:t>
      </w:r>
      <w:r w:rsidR="00BA3D03" w:rsidRPr="00281AFF">
        <w:t>ies</w:t>
      </w:r>
      <w:r w:rsidR="0020383D" w:rsidRPr="00281AFF">
        <w:t>: Students</w:t>
      </w:r>
      <w:bookmarkEnd w:id="30"/>
    </w:p>
    <w:p w14:paraId="3033E790" w14:textId="409F61F3" w:rsidR="0020383D" w:rsidRPr="009D2F4C" w:rsidRDefault="0020383D" w:rsidP="009D2F4C">
      <w:pPr>
        <w:pStyle w:val="Heading4"/>
      </w:pPr>
      <w:r w:rsidRPr="009D2F4C">
        <w:t xml:space="preserve">TAFEs will enable students to achieve successful outcomes, </w:t>
      </w:r>
      <w:r w:rsidR="00C46B4A" w:rsidRPr="009D2F4C">
        <w:t xml:space="preserve">regardless of the </w:t>
      </w:r>
      <w:r w:rsidRPr="009D2F4C">
        <w:t xml:space="preserve">barriers </w:t>
      </w:r>
      <w:r w:rsidR="00C46B4A" w:rsidRPr="009D2F4C">
        <w:t>they face</w:t>
      </w:r>
      <w:r w:rsidR="003D4304" w:rsidRPr="009D2F4C">
        <w:t>.</w:t>
      </w:r>
      <w:r w:rsidR="00C46B4A" w:rsidRPr="009D2F4C">
        <w:t xml:space="preserve"> TAFEs will support </w:t>
      </w:r>
      <w:r w:rsidR="008F44B2" w:rsidRPr="009D2F4C">
        <w:t xml:space="preserve">all </w:t>
      </w:r>
      <w:r w:rsidR="00C46B4A" w:rsidRPr="009D2F4C">
        <w:t>student</w:t>
      </w:r>
      <w:r w:rsidR="008513CF" w:rsidRPr="009D2F4C">
        <w:t>s</w:t>
      </w:r>
      <w:r w:rsidR="00C46B4A" w:rsidRPr="009D2F4C">
        <w:t xml:space="preserve"> to engage in lifelong learning through pathways across the education sector.</w:t>
      </w:r>
    </w:p>
    <w:p w14:paraId="52475C39" w14:textId="77777777" w:rsidR="0020383D" w:rsidRPr="00102B7A" w:rsidRDefault="0020383D" w:rsidP="009D2F4C">
      <w:pPr>
        <w:pStyle w:val="Heading3"/>
      </w:pPr>
      <w:r w:rsidRPr="00102B7A">
        <w:t xml:space="preserve">Students: Key priorities </w:t>
      </w:r>
    </w:p>
    <w:p w14:paraId="4DC6F5D8" w14:textId="2FF61CDB" w:rsidR="0020383D" w:rsidRPr="00102B7A" w:rsidRDefault="0020383D" w:rsidP="009D2F4C">
      <w:pPr>
        <w:pStyle w:val="Heading5"/>
      </w:pPr>
      <w:r w:rsidRPr="00102B7A">
        <w:t xml:space="preserve">TAFEs will work together, and with the OTCD, to ensure all students receive a consistently high-quality experience at TAFE, building the reputation of TAFE as a high-quality </w:t>
      </w:r>
      <w:r w:rsidR="00D403EF" w:rsidRPr="00102B7A">
        <w:t>vocational</w:t>
      </w:r>
      <w:r w:rsidRPr="00102B7A">
        <w:t xml:space="preserve"> option for </w:t>
      </w:r>
      <w:r w:rsidR="00C46B4A" w:rsidRPr="00102B7A">
        <w:t>Victorians</w:t>
      </w:r>
      <w:r w:rsidR="00473F09" w:rsidRPr="00102B7A">
        <w:t>,</w:t>
      </w:r>
      <w:r w:rsidR="00C46B4A" w:rsidRPr="00102B7A">
        <w:t xml:space="preserve"> with a direct link to jobs</w:t>
      </w:r>
      <w:r w:rsidRPr="00102B7A">
        <w:t>.</w:t>
      </w:r>
    </w:p>
    <w:p w14:paraId="6721E3C9" w14:textId="7A3E1720" w:rsidR="00664743" w:rsidRPr="00102B7A" w:rsidRDefault="00664743" w:rsidP="009D2F4C">
      <w:pPr>
        <w:pStyle w:val="Heading5"/>
      </w:pPr>
      <w:r w:rsidRPr="00102B7A">
        <w:t xml:space="preserve">TAFEs </w:t>
      </w:r>
      <w:r w:rsidR="005F29C3" w:rsidRPr="00102B7A">
        <w:t xml:space="preserve">will maintain </w:t>
      </w:r>
      <w:r w:rsidR="00F15BE5" w:rsidRPr="00102B7A">
        <w:t xml:space="preserve">responsive and supportive </w:t>
      </w:r>
      <w:r w:rsidR="005F29C3" w:rsidRPr="00102B7A">
        <w:t>student s</w:t>
      </w:r>
      <w:r w:rsidR="00B1191B" w:rsidRPr="00102B7A">
        <w:t xml:space="preserve">ervices that </w:t>
      </w:r>
      <w:r w:rsidR="00F15BE5" w:rsidRPr="00102B7A">
        <w:t>focus on</w:t>
      </w:r>
      <w:r w:rsidR="00B1191B" w:rsidRPr="00102B7A">
        <w:t xml:space="preserve"> wellbeing </w:t>
      </w:r>
      <w:r w:rsidR="00F15BE5" w:rsidRPr="00102B7A">
        <w:t>and help</w:t>
      </w:r>
      <w:r w:rsidR="00D945D6" w:rsidRPr="00102B7A">
        <w:t xml:space="preserve"> students to</w:t>
      </w:r>
      <w:r w:rsidR="00B02492" w:rsidRPr="00102B7A">
        <w:t xml:space="preserve"> </w:t>
      </w:r>
      <w:r w:rsidR="008E575A" w:rsidRPr="00102B7A">
        <w:t xml:space="preserve">thrive </w:t>
      </w:r>
      <w:r w:rsidR="002B565B" w:rsidRPr="00102B7A">
        <w:t xml:space="preserve">and complete their studies. </w:t>
      </w:r>
    </w:p>
    <w:p w14:paraId="716D3452" w14:textId="765327C0" w:rsidR="00BA38AE" w:rsidRPr="00102B7A" w:rsidRDefault="00502447" w:rsidP="009D2F4C">
      <w:pPr>
        <w:pStyle w:val="Heading5"/>
      </w:pPr>
      <w:r w:rsidRPr="00102B7A">
        <w:t>TAFEs will actively support structural adjustment towards the low-carbon economy by promoting student pathways into clean economy jobs</w:t>
      </w:r>
      <w:r w:rsidR="00532D98" w:rsidRPr="00102B7A">
        <w:t>, including in SEC</w:t>
      </w:r>
      <w:r w:rsidRPr="00102B7A">
        <w:t xml:space="preserve"> </w:t>
      </w:r>
      <w:proofErr w:type="gramStart"/>
      <w:r w:rsidR="00BC5951" w:rsidRPr="00102B7A">
        <w:t>projects</w:t>
      </w:r>
      <w:proofErr w:type="gramEnd"/>
      <w:r w:rsidR="00BC5951" w:rsidRPr="00102B7A">
        <w:t xml:space="preserve"> </w:t>
      </w:r>
      <w:r w:rsidRPr="00102B7A">
        <w:t xml:space="preserve">and building relevant industry partnerships that strengthen opportunities for students </w:t>
      </w:r>
      <w:r w:rsidR="005E656A" w:rsidRPr="00102B7A">
        <w:t>to</w:t>
      </w:r>
      <w:r w:rsidR="002A49B8" w:rsidRPr="00102B7A">
        <w:t xml:space="preserve"> </w:t>
      </w:r>
      <w:r w:rsidR="005E656A" w:rsidRPr="00102B7A">
        <w:t>reskill, upskill</w:t>
      </w:r>
      <w:r w:rsidR="002A49B8" w:rsidRPr="00102B7A">
        <w:t xml:space="preserve">, </w:t>
      </w:r>
      <w:r w:rsidR="005E656A" w:rsidRPr="00102B7A">
        <w:t>move into new sectors</w:t>
      </w:r>
      <w:r w:rsidR="002A49B8" w:rsidRPr="00102B7A">
        <w:t xml:space="preserve"> and participate in the clean economy workforce. </w:t>
      </w:r>
    </w:p>
    <w:p w14:paraId="0D0B4D04" w14:textId="6D18BD08" w:rsidR="0020383D" w:rsidRPr="00102B7A" w:rsidRDefault="0020383D" w:rsidP="009D2F4C">
      <w:pPr>
        <w:pStyle w:val="Heading5"/>
      </w:pPr>
      <w:r w:rsidRPr="00102B7A">
        <w:t xml:space="preserve">TAFEs will </w:t>
      </w:r>
      <w:proofErr w:type="spellStart"/>
      <w:r w:rsidRPr="00102B7A">
        <w:t>prioritise</w:t>
      </w:r>
      <w:proofErr w:type="spellEnd"/>
      <w:r w:rsidRPr="00102B7A">
        <w:t xml:space="preserve"> the engagement and support of learners who face barriers to education, </w:t>
      </w:r>
      <w:proofErr w:type="gramStart"/>
      <w:r w:rsidRPr="00102B7A">
        <w:t>training</w:t>
      </w:r>
      <w:proofErr w:type="gramEnd"/>
      <w:r w:rsidRPr="00102B7A">
        <w:t xml:space="preserve"> and employment through</w:t>
      </w:r>
      <w:r w:rsidR="00AF67B4" w:rsidRPr="00102B7A">
        <w:t xml:space="preserve"> a </w:t>
      </w:r>
      <w:r w:rsidR="00B323FF" w:rsidRPr="00102B7A">
        <w:t>n</w:t>
      </w:r>
      <w:r w:rsidR="00061A62" w:rsidRPr="00102B7A">
        <w:t>etwork</w:t>
      </w:r>
      <w:r w:rsidR="00AF67B4" w:rsidRPr="00102B7A">
        <w:t>-approach to equality</w:t>
      </w:r>
      <w:r w:rsidR="00C01864" w:rsidRPr="00102B7A">
        <w:t xml:space="preserve"> and </w:t>
      </w:r>
      <w:r w:rsidR="00AF67B4" w:rsidRPr="00102B7A">
        <w:t>diversity inclusion</w:t>
      </w:r>
      <w:r w:rsidR="00C01864" w:rsidRPr="00102B7A">
        <w:t xml:space="preserve">. This will </w:t>
      </w:r>
      <w:r w:rsidR="00AF67B4" w:rsidRPr="00102B7A">
        <w:t>includ</w:t>
      </w:r>
      <w:r w:rsidR="00C01864" w:rsidRPr="00102B7A">
        <w:t>e</w:t>
      </w:r>
      <w:r w:rsidRPr="00102B7A">
        <w:t xml:space="preserve"> sharing good practice and contributing to an evidence-base about what works best to improve outcomes</w:t>
      </w:r>
      <w:r w:rsidR="00C01864" w:rsidRPr="00102B7A">
        <w:t xml:space="preserve"> in </w:t>
      </w:r>
      <w:r w:rsidRPr="00102B7A">
        <w:t>enrolment</w:t>
      </w:r>
      <w:r w:rsidR="00C01864" w:rsidRPr="00102B7A">
        <w:t>s</w:t>
      </w:r>
      <w:r w:rsidRPr="00102B7A">
        <w:t xml:space="preserve"> and completion rates, for different cohorts. The OTCD will</w:t>
      </w:r>
      <w:r w:rsidR="005703BA" w:rsidRPr="00102B7A">
        <w:t xml:space="preserve"> support TAFEs to</w:t>
      </w:r>
      <w:r w:rsidRPr="00102B7A">
        <w:t xml:space="preserve"> identify</w:t>
      </w:r>
      <w:r w:rsidR="009763C7" w:rsidRPr="00102B7A">
        <w:t xml:space="preserve"> and share</w:t>
      </w:r>
      <w:r w:rsidRPr="00102B7A">
        <w:t xml:space="preserve"> best practice in TAFE student engagement</w:t>
      </w:r>
      <w:r w:rsidR="009A6E62" w:rsidRPr="00102B7A">
        <w:t xml:space="preserve"> and support</w:t>
      </w:r>
      <w:r w:rsidRPr="00102B7A">
        <w:t xml:space="preserve"> across the </w:t>
      </w:r>
      <w:r w:rsidR="00061A62" w:rsidRPr="00102B7A">
        <w:t>Network</w:t>
      </w:r>
      <w:r w:rsidRPr="00102B7A">
        <w:t>.</w:t>
      </w:r>
      <w:r w:rsidR="009A6E62" w:rsidRPr="00102B7A">
        <w:t xml:space="preserve"> </w:t>
      </w:r>
      <w:bookmarkStart w:id="31" w:name="_Hlk127270265"/>
      <w:r w:rsidR="009A6E62" w:rsidRPr="00102B7A">
        <w:t>This includes delivering outcomes linked to whole of government priorities such as:</w:t>
      </w:r>
    </w:p>
    <w:p w14:paraId="72EC42A3" w14:textId="7CCD9405" w:rsidR="004E15F5" w:rsidRPr="00102B7A" w:rsidRDefault="004E15F5" w:rsidP="00A85C0F">
      <w:pPr>
        <w:pStyle w:val="Heading6"/>
      </w:pPr>
      <w:r w:rsidRPr="00102B7A">
        <w:t>supporting self-determination</w:t>
      </w:r>
      <w:r w:rsidR="0016592E" w:rsidRPr="00102B7A">
        <w:t xml:space="preserve"> </w:t>
      </w:r>
      <w:r w:rsidRPr="00102B7A">
        <w:t xml:space="preserve">in line with Victoria’s </w:t>
      </w:r>
      <w:r w:rsidRPr="00A37FA1">
        <w:t xml:space="preserve">Pathway to Treaty, </w:t>
      </w:r>
      <w:r w:rsidRPr="00102B7A">
        <w:t>and the existing</w:t>
      </w:r>
      <w:r w:rsidRPr="00A37FA1">
        <w:t xml:space="preserve"> </w:t>
      </w:r>
      <w:proofErr w:type="spellStart"/>
      <w:r w:rsidRPr="00A37FA1">
        <w:t>Marrung</w:t>
      </w:r>
      <w:proofErr w:type="spellEnd"/>
      <w:r w:rsidRPr="00A37FA1">
        <w:t xml:space="preserve"> Strategy </w:t>
      </w:r>
      <w:r w:rsidRPr="00102B7A">
        <w:t xml:space="preserve">and </w:t>
      </w:r>
      <w:r w:rsidRPr="00A37FA1">
        <w:t>Wurreker Plans</w:t>
      </w:r>
    </w:p>
    <w:p w14:paraId="362E9B09" w14:textId="0DCDD3B4" w:rsidR="009A6E62" w:rsidRPr="00102B7A" w:rsidRDefault="00C01864" w:rsidP="00A85C0F">
      <w:pPr>
        <w:pStyle w:val="Heading6"/>
      </w:pPr>
      <w:r w:rsidRPr="00102B7A">
        <w:t>t</w:t>
      </w:r>
      <w:r w:rsidR="009A6E62" w:rsidRPr="00102B7A">
        <w:t xml:space="preserve">he findings of the Disability Royal Commission </w:t>
      </w:r>
      <w:r w:rsidR="002C09EE" w:rsidRPr="00102B7A">
        <w:t xml:space="preserve">and the </w:t>
      </w:r>
      <w:r w:rsidR="009A6E62" w:rsidRPr="00102B7A">
        <w:t xml:space="preserve">actions </w:t>
      </w:r>
      <w:r w:rsidR="002C09EE" w:rsidRPr="00102B7A">
        <w:t xml:space="preserve">for TAFE identified in </w:t>
      </w:r>
      <w:r w:rsidR="009A6E62" w:rsidRPr="00102B7A">
        <w:t xml:space="preserve">Inclusive Victoria: State disability </w:t>
      </w:r>
      <w:proofErr w:type="gramStart"/>
      <w:r w:rsidR="009A6E62" w:rsidRPr="00102B7A">
        <w:t>plan</w:t>
      </w:r>
      <w:proofErr w:type="gramEnd"/>
    </w:p>
    <w:p w14:paraId="2AFD80F9" w14:textId="6A09E629" w:rsidR="009A6E62" w:rsidRPr="00102B7A" w:rsidRDefault="00C01864" w:rsidP="00A85C0F">
      <w:pPr>
        <w:pStyle w:val="Heading6"/>
      </w:pPr>
      <w:r w:rsidRPr="00102B7A">
        <w:t>t</w:t>
      </w:r>
      <w:r w:rsidR="009A6E62" w:rsidRPr="00102B7A">
        <w:t>he actions</w:t>
      </w:r>
      <w:r w:rsidR="009A6E62" w:rsidRPr="00A37FA1">
        <w:t xml:space="preserve"> </w:t>
      </w:r>
      <w:r w:rsidR="009A6E62" w:rsidRPr="00102B7A">
        <w:t xml:space="preserve">for achieving LGBITQ+ inclusion articulated in </w:t>
      </w:r>
      <w:r w:rsidR="009A6E62" w:rsidRPr="00D53893">
        <w:t xml:space="preserve">Pride in our future: Victoria’s LGBTIQ+ </w:t>
      </w:r>
      <w:r w:rsidR="009A6E62" w:rsidRPr="00102B7A">
        <w:t>strategy</w:t>
      </w:r>
      <w:r w:rsidRPr="00102B7A">
        <w:t xml:space="preserve">, </w:t>
      </w:r>
      <w:bookmarkStart w:id="32" w:name="_Hlk127270372"/>
      <w:r w:rsidR="00A66847" w:rsidRPr="00102B7A">
        <w:t>and</w:t>
      </w:r>
    </w:p>
    <w:p w14:paraId="19F5C2B8" w14:textId="624D17E6" w:rsidR="00A66847" w:rsidRPr="00102B7A" w:rsidRDefault="00A66847" w:rsidP="00A85C0F">
      <w:pPr>
        <w:pStyle w:val="Heading6"/>
      </w:pPr>
      <w:r w:rsidRPr="00102B7A">
        <w:t xml:space="preserve">actions for progressing gender equality in line with </w:t>
      </w:r>
      <w:r w:rsidR="0054717E" w:rsidRPr="00102B7A">
        <w:t>Our Equal State</w:t>
      </w:r>
      <w:r w:rsidRPr="00102B7A">
        <w:t>: Victoria</w:t>
      </w:r>
      <w:r w:rsidR="00596D14" w:rsidRPr="00102B7A">
        <w:t xml:space="preserve">’s </w:t>
      </w:r>
      <w:r w:rsidRPr="00102B7A">
        <w:t>gender equality strategy</w:t>
      </w:r>
      <w:r w:rsidR="00596D14" w:rsidRPr="00102B7A">
        <w:t xml:space="preserve"> and action plan 2023-2027</w:t>
      </w:r>
      <w:r w:rsidRPr="00102B7A">
        <w:t xml:space="preserve">, the Gender Equality Act 2020, and Respect and Equality in TAFE. </w:t>
      </w:r>
    </w:p>
    <w:bookmarkEnd w:id="31"/>
    <w:bookmarkEnd w:id="32"/>
    <w:p w14:paraId="3C927FA5" w14:textId="77777777" w:rsidR="00A85C0F" w:rsidRDefault="00A85C0F">
      <w:pPr>
        <w:suppressAutoHyphens w:val="0"/>
        <w:autoSpaceDE/>
        <w:autoSpaceDN/>
        <w:adjustRightInd/>
        <w:spacing w:after="0" w:line="240" w:lineRule="auto"/>
        <w:jc w:val="left"/>
        <w:textAlignment w:val="auto"/>
        <w:rPr>
          <w:color w:val="auto"/>
        </w:rPr>
      </w:pPr>
      <w:r>
        <w:br w:type="page"/>
      </w:r>
    </w:p>
    <w:p w14:paraId="059649AE" w14:textId="3DFA0B5B" w:rsidR="0020383D" w:rsidRPr="00102B7A" w:rsidRDefault="0020383D" w:rsidP="009D2F4C">
      <w:pPr>
        <w:pStyle w:val="Heading5"/>
      </w:pPr>
      <w:r w:rsidRPr="00102B7A">
        <w:lastRenderedPageBreak/>
        <w:t xml:space="preserve">TAFEs will </w:t>
      </w:r>
      <w:proofErr w:type="spellStart"/>
      <w:r w:rsidRPr="00102B7A">
        <w:t>prioritise</w:t>
      </w:r>
      <w:proofErr w:type="spellEnd"/>
      <w:r w:rsidRPr="00102B7A">
        <w:t xml:space="preserve"> vocational pathways for young Victorians by supporting them to get the skills they need to gain confidence and move successfully into </w:t>
      </w:r>
      <w:r w:rsidR="00532D98" w:rsidRPr="00102B7A">
        <w:t xml:space="preserve">great </w:t>
      </w:r>
      <w:r w:rsidRPr="00102B7A">
        <w:t>jobs and further training</w:t>
      </w:r>
      <w:r w:rsidR="00C01864" w:rsidRPr="00102B7A">
        <w:t xml:space="preserve">. This will occur through </w:t>
      </w:r>
      <w:r w:rsidRPr="00102B7A">
        <w:t xml:space="preserve">relationships with local </w:t>
      </w:r>
      <w:r w:rsidR="00191383" w:rsidRPr="00102B7A">
        <w:t>schools and</w:t>
      </w:r>
      <w:r w:rsidRPr="00102B7A">
        <w:t xml:space="preserve"> working together with the OTCD</w:t>
      </w:r>
      <w:r w:rsidR="00C01864" w:rsidRPr="00102B7A">
        <w:t xml:space="preserve"> and</w:t>
      </w:r>
      <w:r w:rsidRPr="00102B7A">
        <w:t xml:space="preserve"> the Department of Education</w:t>
      </w:r>
      <w:r w:rsidR="00C01864" w:rsidRPr="00102B7A">
        <w:t>. E</w:t>
      </w:r>
      <w:r w:rsidRPr="00102B7A">
        <w:t>nsur</w:t>
      </w:r>
      <w:r w:rsidR="00C01864" w:rsidRPr="00102B7A">
        <w:t>ing</w:t>
      </w:r>
      <w:r w:rsidRPr="00102B7A">
        <w:t xml:space="preserve"> access for all government school students</w:t>
      </w:r>
      <w:r w:rsidR="00C01864" w:rsidRPr="00102B7A">
        <w:t xml:space="preserve"> will require the</w:t>
      </w:r>
      <w:r w:rsidRPr="00102B7A">
        <w:t xml:space="preserve"> </w:t>
      </w:r>
      <w:r w:rsidR="00E06D3B" w:rsidRPr="00102B7A">
        <w:t xml:space="preserve">continued development of and expanded participation in the planned, </w:t>
      </w:r>
      <w:r w:rsidRPr="00102B7A">
        <w:t xml:space="preserve">place-based </w:t>
      </w:r>
      <w:r w:rsidR="00AA547B" w:rsidRPr="00102B7A">
        <w:t>approach</w:t>
      </w:r>
      <w:r w:rsidRPr="00102B7A">
        <w:t xml:space="preserve"> to the core offering of VET Delivered to Secondary Students. </w:t>
      </w:r>
    </w:p>
    <w:p w14:paraId="06C4D947" w14:textId="1958C61B" w:rsidR="0020383D" w:rsidRPr="00102B7A" w:rsidRDefault="0020383D" w:rsidP="009D2F4C">
      <w:pPr>
        <w:pStyle w:val="Heading5"/>
      </w:pPr>
      <w:r w:rsidRPr="00102B7A">
        <w:t xml:space="preserve">TAFEs will actively strengthen student pathways by supporting students to move between the opportunities </w:t>
      </w:r>
      <w:r w:rsidR="00C01864" w:rsidRPr="00102B7A">
        <w:t xml:space="preserve">available </w:t>
      </w:r>
      <w:r w:rsidRPr="00102B7A">
        <w:t xml:space="preserve">at </w:t>
      </w:r>
      <w:r w:rsidR="00191383" w:rsidRPr="00102B7A">
        <w:t>TAFE and</w:t>
      </w:r>
      <w:r w:rsidRPr="00102B7A">
        <w:t xml:space="preserve"> strengthen student pathways</w:t>
      </w:r>
      <w:r w:rsidR="00B02A1E" w:rsidRPr="00102B7A">
        <w:t>,</w:t>
      </w:r>
      <w:r w:rsidR="002908C7" w:rsidRPr="00102B7A">
        <w:t xml:space="preserve"> including</w:t>
      </w:r>
      <w:r w:rsidRPr="00102B7A">
        <w:t xml:space="preserve"> from TAFE to higher education</w:t>
      </w:r>
      <w:r w:rsidR="00112E39" w:rsidRPr="00102B7A">
        <w:t xml:space="preserve"> and </w:t>
      </w:r>
      <w:r w:rsidR="00B7106B" w:rsidRPr="00102B7A">
        <w:t>university to TAFE</w:t>
      </w:r>
      <w:r w:rsidR="00B02A1E" w:rsidRPr="00102B7A">
        <w:t>,</w:t>
      </w:r>
      <w:r w:rsidRPr="00102B7A">
        <w:t xml:space="preserve"> increas</w:t>
      </w:r>
      <w:r w:rsidR="00532D98" w:rsidRPr="00102B7A">
        <w:t>ing</w:t>
      </w:r>
      <w:r w:rsidRPr="00102B7A">
        <w:t xml:space="preserve"> opportunities for upskilling and ensur</w:t>
      </w:r>
      <w:r w:rsidR="00532D98" w:rsidRPr="00102B7A">
        <w:t>ing</w:t>
      </w:r>
      <w:r w:rsidRPr="00102B7A">
        <w:t xml:space="preserve"> a skilled workforce for our growing high-skill economy.</w:t>
      </w:r>
      <w:r w:rsidR="00E1501B" w:rsidRPr="00102B7A">
        <w:t xml:space="preserve"> </w:t>
      </w:r>
    </w:p>
    <w:p w14:paraId="19197756" w14:textId="1BF761EB" w:rsidR="00347266" w:rsidRPr="00102B7A" w:rsidRDefault="00347266" w:rsidP="009D2F4C">
      <w:pPr>
        <w:pStyle w:val="Heading3"/>
      </w:pPr>
      <w:r w:rsidRPr="00102B7A">
        <w:br w:type="page"/>
      </w:r>
      <w:r w:rsidRPr="00102B7A">
        <w:lastRenderedPageBreak/>
        <w:t xml:space="preserve">Students: </w:t>
      </w:r>
      <w:r w:rsidR="009C239F" w:rsidRPr="00102B7A">
        <w:t>what will success look like?</w:t>
      </w:r>
    </w:p>
    <w:tbl>
      <w:tblPr>
        <w:tblStyle w:val="DJSIR"/>
        <w:tblpPr w:leftFromText="180" w:rightFromText="180" w:vertAnchor="text" w:horzAnchor="margin" w:tblpY="32"/>
        <w:tblW w:w="9214" w:type="dxa"/>
        <w:tblBorders>
          <w:left w:val="single" w:sz="4" w:space="0" w:color="auto"/>
          <w:right w:val="single" w:sz="4" w:space="0" w:color="auto"/>
          <w:insideV w:val="single" w:sz="4" w:space="0" w:color="auto"/>
        </w:tblBorders>
        <w:tblLayout w:type="fixed"/>
        <w:tblLook w:val="0620" w:firstRow="1" w:lastRow="0" w:firstColumn="0" w:lastColumn="0" w:noHBand="1" w:noVBand="1"/>
      </w:tblPr>
      <w:tblGrid>
        <w:gridCol w:w="2694"/>
        <w:gridCol w:w="6520"/>
      </w:tblGrid>
      <w:tr w:rsidR="00102B7A" w:rsidRPr="00102B7A" w14:paraId="0F33CA48" w14:textId="77777777" w:rsidTr="009D2F4C">
        <w:trPr>
          <w:cnfStyle w:val="100000000000" w:firstRow="1" w:lastRow="0" w:firstColumn="0" w:lastColumn="0" w:oddVBand="0" w:evenVBand="0" w:oddHBand="0" w:evenHBand="0" w:firstRowFirstColumn="0" w:firstRowLastColumn="0" w:lastRowFirstColumn="0" w:lastRowLastColumn="0"/>
          <w:trHeight w:hRule="exact" w:val="453"/>
        </w:trPr>
        <w:tc>
          <w:tcPr>
            <w:tcW w:w="2694" w:type="dxa"/>
            <w:shd w:val="clear" w:color="auto" w:fill="auto"/>
          </w:tcPr>
          <w:p w14:paraId="47838685" w14:textId="77777777" w:rsidR="00B12F73" w:rsidRPr="00102B7A" w:rsidRDefault="00B12F73" w:rsidP="009D2F4C">
            <w:pPr>
              <w:pStyle w:val="Heading3"/>
            </w:pPr>
            <w:r w:rsidRPr="00102B7A">
              <w:t>Priority</w:t>
            </w:r>
          </w:p>
        </w:tc>
        <w:tc>
          <w:tcPr>
            <w:tcW w:w="6520" w:type="dxa"/>
            <w:shd w:val="clear" w:color="auto" w:fill="auto"/>
          </w:tcPr>
          <w:p w14:paraId="1BCC7F13" w14:textId="3647DCB3" w:rsidR="00B12F73" w:rsidRPr="00102B7A" w:rsidRDefault="00BA3D03" w:rsidP="009D2F4C">
            <w:pPr>
              <w:pStyle w:val="Heading3"/>
            </w:pPr>
            <w:r w:rsidRPr="00102B7A">
              <w:t xml:space="preserve">What will success look like for the TAFE Network in </w:t>
            </w:r>
            <w:r w:rsidR="00D549BE" w:rsidRPr="00102B7A">
              <w:t>2024</w:t>
            </w:r>
            <w:r w:rsidRPr="00102B7A">
              <w:t>?</w:t>
            </w:r>
          </w:p>
        </w:tc>
      </w:tr>
      <w:tr w:rsidR="00102B7A" w:rsidRPr="00102B7A" w14:paraId="29DC702C" w14:textId="77777777" w:rsidTr="009D2F4C">
        <w:trPr>
          <w:trHeight w:hRule="exact" w:val="5231"/>
        </w:trPr>
        <w:tc>
          <w:tcPr>
            <w:tcW w:w="0" w:type="dxa"/>
          </w:tcPr>
          <w:p w14:paraId="50E3DF7B" w14:textId="1F0B599B" w:rsidR="00B12F73" w:rsidRPr="009D2F4C" w:rsidRDefault="00B12F73" w:rsidP="009D2F4C">
            <w:pPr>
              <w:pStyle w:val="Heading4"/>
            </w:pPr>
            <w:r w:rsidRPr="009D2F4C">
              <w:t>High-quality student experience</w:t>
            </w:r>
            <w:r w:rsidR="00117647" w:rsidRPr="009D2F4C">
              <w:t xml:space="preserve"> across the </w:t>
            </w:r>
            <w:r w:rsidR="00061A62" w:rsidRPr="009D2F4C">
              <w:t>Network</w:t>
            </w:r>
            <w:r w:rsidR="00117647" w:rsidRPr="009D2F4C">
              <w:t xml:space="preserve"> </w:t>
            </w:r>
            <w:r w:rsidRPr="009D2F4C">
              <w:t xml:space="preserve"> </w:t>
            </w:r>
          </w:p>
        </w:tc>
        <w:tc>
          <w:tcPr>
            <w:tcW w:w="0" w:type="dxa"/>
          </w:tcPr>
          <w:p w14:paraId="2238153D" w14:textId="13798567" w:rsidR="00BA3D03" w:rsidRPr="009D2F4C" w:rsidRDefault="00BA3D03" w:rsidP="009D2F4C">
            <w:pPr>
              <w:pStyle w:val="Heading3"/>
            </w:pPr>
            <w:r w:rsidRPr="009D2F4C">
              <w:t>OTCD led:</w:t>
            </w:r>
          </w:p>
          <w:p w14:paraId="5EBD41F9" w14:textId="357EA1BD" w:rsidR="00BA3D03" w:rsidRPr="009D2F4C" w:rsidRDefault="00BA3D03" w:rsidP="009D2F4C">
            <w:pPr>
              <w:pStyle w:val="Heading5"/>
            </w:pPr>
            <w:r w:rsidRPr="009D2F4C">
              <w:t>TAFEs and the OTCD work towards defining TAFE’s unique student offering as public providers</w:t>
            </w:r>
            <w:r w:rsidR="004E3311" w:rsidRPr="009D2F4C">
              <w:t xml:space="preserve"> in relation to student engagement and sup</w:t>
            </w:r>
            <w:r w:rsidR="009909AB" w:rsidRPr="009D2F4C">
              <w:t>port.</w:t>
            </w:r>
            <w:r w:rsidRPr="009D2F4C">
              <w:t xml:space="preserve"> </w:t>
            </w:r>
          </w:p>
          <w:p w14:paraId="76AC1506" w14:textId="14505242" w:rsidR="0060048A" w:rsidRPr="009D2F4C" w:rsidRDefault="0060048A" w:rsidP="009D2F4C">
            <w:pPr>
              <w:pStyle w:val="Heading5"/>
            </w:pPr>
            <w:r w:rsidRPr="009D2F4C">
              <w:t xml:space="preserve">Building on the work of the Victorian Skills Authority and their satisfaction surveys, TAFEs and the OTCD will </w:t>
            </w:r>
            <w:proofErr w:type="spellStart"/>
            <w:r w:rsidRPr="009D2F4C">
              <w:t>utilise</w:t>
            </w:r>
            <w:proofErr w:type="spellEnd"/>
            <w:r w:rsidRPr="009D2F4C">
              <w:t xml:space="preserve"> the Continuous Improvement Framework reports to reflect on student experience and outcomes and agree on specific targets to drive continued improvements in student satisfaction for the 2024 training year and </w:t>
            </w:r>
            <w:proofErr w:type="gramStart"/>
            <w:r w:rsidRPr="009D2F4C">
              <w:t>beyond</w:t>
            </w:r>
            <w:proofErr w:type="gramEnd"/>
          </w:p>
          <w:p w14:paraId="7128BB84" w14:textId="12162592" w:rsidR="00BA3D03" w:rsidRPr="009D2F4C" w:rsidRDefault="00BA3D03" w:rsidP="009D2F4C">
            <w:pPr>
              <w:pStyle w:val="Heading3"/>
            </w:pPr>
            <w:r w:rsidRPr="009D2F4C">
              <w:t>TAFE and dual sector university led:</w:t>
            </w:r>
          </w:p>
          <w:p w14:paraId="6B56FDCB" w14:textId="77777777" w:rsidR="002464B2" w:rsidRPr="009D2F4C" w:rsidRDefault="00B12F73" w:rsidP="009D2F4C">
            <w:pPr>
              <w:pStyle w:val="Heading5"/>
            </w:pPr>
            <w:r w:rsidRPr="009D2F4C">
              <w:t xml:space="preserve">TAFEs improve their students’ satisfaction with training over a multi-year timeframe, working towards being VET sector leaders by 2025 in </w:t>
            </w:r>
            <w:r w:rsidR="00C46B4A" w:rsidRPr="009D2F4C">
              <w:t xml:space="preserve">key </w:t>
            </w:r>
            <w:r w:rsidRPr="009D2F4C">
              <w:t xml:space="preserve">skills areas. </w:t>
            </w:r>
          </w:p>
          <w:p w14:paraId="41566138" w14:textId="631CB8A9" w:rsidR="00B12F73" w:rsidRPr="009D2F4C" w:rsidRDefault="002464B2" w:rsidP="009D2F4C">
            <w:pPr>
              <w:pStyle w:val="Heading5"/>
            </w:pPr>
            <w:r w:rsidRPr="009D2F4C">
              <w:t>TAFEs support the rollout of training and information for first year apprentices and trainees on their rights and safety in the workplace.</w:t>
            </w:r>
          </w:p>
        </w:tc>
      </w:tr>
      <w:tr w:rsidR="00102B7A" w:rsidRPr="00102B7A" w14:paraId="3EA34DB6" w14:textId="77777777" w:rsidTr="009D2F4C">
        <w:trPr>
          <w:trHeight w:hRule="exact" w:val="3051"/>
        </w:trPr>
        <w:tc>
          <w:tcPr>
            <w:tcW w:w="0" w:type="dxa"/>
          </w:tcPr>
          <w:p w14:paraId="08C7FEC3" w14:textId="638EEE7F" w:rsidR="00B12F73" w:rsidRPr="009D2F4C" w:rsidRDefault="00B12F73" w:rsidP="009D2F4C">
            <w:pPr>
              <w:pStyle w:val="Heading4"/>
            </w:pPr>
            <w:r w:rsidRPr="009D2F4C">
              <w:t>Stronger pathways and lifelong learning</w:t>
            </w:r>
          </w:p>
        </w:tc>
        <w:tc>
          <w:tcPr>
            <w:tcW w:w="0" w:type="dxa"/>
          </w:tcPr>
          <w:p w14:paraId="7539EBB4" w14:textId="78276E55" w:rsidR="00BA3D03" w:rsidRPr="009D2F4C" w:rsidRDefault="00BA3D03" w:rsidP="009D2F4C">
            <w:pPr>
              <w:pStyle w:val="Heading3"/>
            </w:pPr>
            <w:r w:rsidRPr="009D2F4C">
              <w:t>OTCD led:</w:t>
            </w:r>
          </w:p>
          <w:p w14:paraId="1BC0988F" w14:textId="7CEE2A91" w:rsidR="00BA3D03" w:rsidRPr="009D2F4C" w:rsidRDefault="00BA3D03" w:rsidP="009D2F4C">
            <w:pPr>
              <w:pStyle w:val="Heading5"/>
            </w:pPr>
            <w:r w:rsidRPr="009D2F4C">
              <w:t>TAFEs and the OTCD work towards developing consistent measures and ensure student pathways and progression are tracked, working towards agreed targets.</w:t>
            </w:r>
          </w:p>
          <w:p w14:paraId="1D2A277F" w14:textId="0DE8CABA" w:rsidR="00BA3D03" w:rsidRPr="009D2F4C" w:rsidRDefault="00BA3D03" w:rsidP="009D2F4C">
            <w:pPr>
              <w:pStyle w:val="Heading3"/>
            </w:pPr>
            <w:r w:rsidRPr="009D2F4C">
              <w:t>TAFE and dual sector university led:</w:t>
            </w:r>
          </w:p>
          <w:p w14:paraId="7B8529D8" w14:textId="14B76239" w:rsidR="00B12F73" w:rsidRPr="009D2F4C" w:rsidRDefault="00B12F73" w:rsidP="009D2F4C">
            <w:pPr>
              <w:pStyle w:val="Heading5"/>
            </w:pPr>
            <w:r w:rsidRPr="009D2F4C">
              <w:t xml:space="preserve">In </w:t>
            </w:r>
            <w:r w:rsidR="00D549BE" w:rsidRPr="009D2F4C">
              <w:t>2024</w:t>
            </w:r>
            <w:r w:rsidRPr="009D2F4C">
              <w:t>, TAFEs strengthen their relationships with local secondary schools, Learn Local providers, universities</w:t>
            </w:r>
            <w:r w:rsidR="002C1338" w:rsidRPr="009D2F4C">
              <w:t>,</w:t>
            </w:r>
            <w:r w:rsidRPr="009D2F4C">
              <w:t xml:space="preserve"> and industry to support students moving between educational institutions, into the workforce and between industries. </w:t>
            </w:r>
          </w:p>
        </w:tc>
      </w:tr>
      <w:tr w:rsidR="00102B7A" w:rsidRPr="00102B7A" w14:paraId="5743C812" w14:textId="77777777" w:rsidTr="009D2F4C">
        <w:trPr>
          <w:trHeight w:hRule="exact" w:val="6724"/>
        </w:trPr>
        <w:tc>
          <w:tcPr>
            <w:tcW w:w="0" w:type="dxa"/>
          </w:tcPr>
          <w:p w14:paraId="19E91DE7" w14:textId="49E102EC" w:rsidR="00B12F73" w:rsidRPr="009D2F4C" w:rsidRDefault="00347266" w:rsidP="009D2F4C">
            <w:pPr>
              <w:pStyle w:val="Heading4"/>
            </w:pPr>
            <w:r w:rsidRPr="009D2F4C">
              <w:lastRenderedPageBreak/>
              <w:t>Improved engagement, support and outcomes for learners who face barriers to education</w:t>
            </w:r>
          </w:p>
        </w:tc>
        <w:tc>
          <w:tcPr>
            <w:tcW w:w="0" w:type="dxa"/>
          </w:tcPr>
          <w:p w14:paraId="5838CCB1" w14:textId="0798020A" w:rsidR="00BA3D03" w:rsidRPr="009D2F4C" w:rsidRDefault="00BA3D03" w:rsidP="009D2F4C">
            <w:pPr>
              <w:pStyle w:val="Heading3"/>
            </w:pPr>
            <w:r w:rsidRPr="009D2F4C">
              <w:t>OTCD led:</w:t>
            </w:r>
          </w:p>
          <w:p w14:paraId="37126EB1" w14:textId="613F79E2" w:rsidR="00BA3D03" w:rsidRPr="009D2F4C" w:rsidRDefault="00BA3D03" w:rsidP="009D2F4C">
            <w:pPr>
              <w:pStyle w:val="Heading5"/>
            </w:pPr>
            <w:r w:rsidRPr="009D2F4C">
              <w:t xml:space="preserve">TAFEs are supported to work together as a Network to share and build evidence of what support services work best for different student cohorts, including recognition of and support for the principles of cultural safety and self-determination for Aboriginal and Torres Strait Islander </w:t>
            </w:r>
            <w:r w:rsidR="0060048A" w:rsidRPr="009D2F4C">
              <w:t>people and drive action which responds to recommendations in the 2023 Victorian Skills Plan.</w:t>
            </w:r>
          </w:p>
          <w:p w14:paraId="01A2A8F7" w14:textId="015A74CD" w:rsidR="00BA3D03" w:rsidRPr="009D2F4C" w:rsidRDefault="00BA3D03" w:rsidP="009D2F4C">
            <w:pPr>
              <w:pStyle w:val="Heading3"/>
            </w:pPr>
            <w:r w:rsidRPr="009D2F4C">
              <w:t>TAFE and dual sector university led:</w:t>
            </w:r>
          </w:p>
          <w:p w14:paraId="52542AE5" w14:textId="57E3F1F0" w:rsidR="00347266" w:rsidRPr="009D2F4C" w:rsidRDefault="00347266" w:rsidP="009D2F4C">
            <w:pPr>
              <w:pStyle w:val="Heading5"/>
            </w:pPr>
            <w:r w:rsidRPr="009D2F4C">
              <w:t>More TAFE students who face barriers to participation complete their training and achieve employment and other successful outcomes, compared with the 202</w:t>
            </w:r>
            <w:r w:rsidR="002608CB" w:rsidRPr="009D2F4C">
              <w:t>3</w:t>
            </w:r>
            <w:r w:rsidRPr="009D2F4C">
              <w:t xml:space="preserve"> training year. </w:t>
            </w:r>
          </w:p>
          <w:p w14:paraId="4E45FD2D" w14:textId="7633F2E8" w:rsidR="008F32F3" w:rsidRPr="009D2F4C" w:rsidRDefault="008F32F3" w:rsidP="009D2F4C">
            <w:pPr>
              <w:pStyle w:val="Heading5"/>
            </w:pPr>
            <w:r w:rsidRPr="009D2F4C">
              <w:t xml:space="preserve">TAFEs and </w:t>
            </w:r>
            <w:r w:rsidR="00D8136F" w:rsidRPr="009D2F4C">
              <w:t>Aboriginal</w:t>
            </w:r>
            <w:r w:rsidRPr="009D2F4C">
              <w:t xml:space="preserve"> communities work together on local, place-based approaches to improving learning outcomes, by increasing involvement of </w:t>
            </w:r>
            <w:r w:rsidR="00D8136F" w:rsidRPr="009D2F4C">
              <w:t>Aboriginal</w:t>
            </w:r>
            <w:r w:rsidRPr="009D2F4C">
              <w:t xml:space="preserve"> people in educational decision making and delivering training priorities consistent with local occupational, industry and community needs</w:t>
            </w:r>
            <w:r w:rsidR="00DC551B" w:rsidRPr="009D2F4C">
              <w:t>.</w:t>
            </w:r>
          </w:p>
          <w:p w14:paraId="5AD5CDC4" w14:textId="25666C56" w:rsidR="008F32F3" w:rsidRPr="009D2F4C" w:rsidRDefault="00BA3D03" w:rsidP="009D2F4C">
            <w:pPr>
              <w:pStyle w:val="Heading5"/>
            </w:pPr>
            <w:r w:rsidRPr="009D2F4C">
              <w:t>TAFEs, with support from OTCD, will deliver outcomes that respond to reforms related to</w:t>
            </w:r>
            <w:r w:rsidR="00D86A78" w:rsidRPr="009D2F4C">
              <w:t xml:space="preserve"> self-determination (Pathway to Treaty, </w:t>
            </w:r>
            <w:proofErr w:type="spellStart"/>
            <w:r w:rsidR="00D86A78" w:rsidRPr="009D2F4C">
              <w:t>Marrung</w:t>
            </w:r>
            <w:proofErr w:type="spellEnd"/>
            <w:r w:rsidR="00D86A78" w:rsidRPr="009D2F4C">
              <w:t xml:space="preserve"> Strategy and Wurreker Plans),</w:t>
            </w:r>
            <w:r w:rsidRPr="009D2F4C">
              <w:t xml:space="preserve"> disability (Disability Royal Commission, Inclusive Victoria: State disability plan), </w:t>
            </w:r>
            <w:r w:rsidR="00D86A78" w:rsidRPr="009D2F4C">
              <w:t xml:space="preserve">and </w:t>
            </w:r>
            <w:r w:rsidRPr="009D2F4C">
              <w:t xml:space="preserve">LGBITQ+ inclusion (Pride in our future: Victoria’s LGBTIQ+ strategy). </w:t>
            </w:r>
          </w:p>
        </w:tc>
      </w:tr>
    </w:tbl>
    <w:p w14:paraId="43952F7D" w14:textId="77777777" w:rsidR="0084267F" w:rsidRDefault="0084267F" w:rsidP="009D2F4C">
      <w:pPr>
        <w:pStyle w:val="Heading3"/>
      </w:pPr>
    </w:p>
    <w:p w14:paraId="6C4944CE" w14:textId="27AA1931" w:rsidR="00347266" w:rsidRPr="00102B7A" w:rsidRDefault="00347266" w:rsidP="009D2F4C">
      <w:pPr>
        <w:pStyle w:val="Heading3"/>
      </w:pPr>
      <w:r w:rsidRPr="00102B7A">
        <w:t xml:space="preserve">Students: How </w:t>
      </w:r>
      <w:r w:rsidR="00BA3D03" w:rsidRPr="00102B7A">
        <w:t xml:space="preserve">Government </w:t>
      </w:r>
      <w:r w:rsidRPr="00102B7A">
        <w:t>will suppor</w:t>
      </w:r>
      <w:r w:rsidR="00BA3D03" w:rsidRPr="00102B7A">
        <w:t>t</w:t>
      </w:r>
      <w:r w:rsidRPr="00102B7A">
        <w:t xml:space="preserve"> these priorities</w:t>
      </w:r>
    </w:p>
    <w:p w14:paraId="51E19283" w14:textId="742373AE" w:rsidR="00347266" w:rsidRPr="00102B7A" w:rsidRDefault="00347266" w:rsidP="009D2F4C">
      <w:pPr>
        <w:pStyle w:val="Heading4"/>
      </w:pPr>
      <w:r w:rsidRPr="00102B7A">
        <w:t xml:space="preserve">The OTCD will support the TAFE </w:t>
      </w:r>
      <w:r w:rsidR="00061A62" w:rsidRPr="00102B7A">
        <w:t>Network</w:t>
      </w:r>
      <w:r w:rsidRPr="00102B7A">
        <w:t xml:space="preserve">’s participation in and response to whole-of-Victorian-Government strategies supporting students facing barriers </w:t>
      </w:r>
      <w:r w:rsidR="00E47E5D" w:rsidRPr="00102B7A">
        <w:t xml:space="preserve">to </w:t>
      </w:r>
      <w:r w:rsidRPr="00102B7A">
        <w:t xml:space="preserve">learning. </w:t>
      </w:r>
    </w:p>
    <w:p w14:paraId="0C087C7F" w14:textId="6C76E636" w:rsidR="00347266" w:rsidRPr="00102B7A" w:rsidRDefault="00347266" w:rsidP="009D2F4C">
      <w:pPr>
        <w:pStyle w:val="Heading4"/>
      </w:pPr>
      <w:r w:rsidRPr="00102B7A">
        <w:t xml:space="preserve">The OTCD will </w:t>
      </w:r>
      <w:r w:rsidR="005C477E" w:rsidRPr="00102B7A">
        <w:t xml:space="preserve">support </w:t>
      </w:r>
      <w:r w:rsidRPr="00102B7A">
        <w:t>TAFEs to</w:t>
      </w:r>
      <w:r w:rsidR="005C477E" w:rsidRPr="00102B7A">
        <w:t xml:space="preserve"> work together to</w:t>
      </w:r>
      <w:r w:rsidRPr="00102B7A">
        <w:t xml:space="preserve"> identify </w:t>
      </w:r>
      <w:r w:rsidR="000069F0" w:rsidRPr="00102B7A">
        <w:t xml:space="preserve">good </w:t>
      </w:r>
      <w:r w:rsidRPr="00102B7A">
        <w:t xml:space="preserve">practice in TAFE student </w:t>
      </w:r>
      <w:r w:rsidR="000069F0" w:rsidRPr="00102B7A">
        <w:t xml:space="preserve">support and inclusion </w:t>
      </w:r>
      <w:r w:rsidRPr="00102B7A">
        <w:t xml:space="preserve">to </w:t>
      </w:r>
      <w:r w:rsidR="001D47BC" w:rsidRPr="00102B7A">
        <w:t xml:space="preserve">understand </w:t>
      </w:r>
      <w:r w:rsidR="000069F0" w:rsidRPr="00102B7A">
        <w:t xml:space="preserve">what works to deliver great outcomes for students across </w:t>
      </w:r>
      <w:r w:rsidRPr="00102B7A">
        <w:t xml:space="preserve">the </w:t>
      </w:r>
      <w:r w:rsidR="00061A62" w:rsidRPr="00102B7A">
        <w:t>Network</w:t>
      </w:r>
      <w:r w:rsidRPr="00102B7A">
        <w:t>.</w:t>
      </w:r>
    </w:p>
    <w:p w14:paraId="074A4A23" w14:textId="77777777" w:rsidR="009D2F4C" w:rsidRDefault="009D2F4C">
      <w:pPr>
        <w:suppressAutoHyphens w:val="0"/>
        <w:autoSpaceDE/>
        <w:autoSpaceDN/>
        <w:adjustRightInd/>
        <w:spacing w:after="0" w:line="240" w:lineRule="auto"/>
        <w:jc w:val="left"/>
        <w:textAlignment w:val="auto"/>
        <w:rPr>
          <w:sz w:val="40"/>
          <w:szCs w:val="40"/>
        </w:rPr>
      </w:pPr>
      <w:bookmarkStart w:id="33" w:name="_Toc148100330"/>
      <w:r>
        <w:br w:type="page"/>
      </w:r>
    </w:p>
    <w:p w14:paraId="6F17EEF8" w14:textId="5391467F" w:rsidR="00347266" w:rsidRPr="009D2F4C" w:rsidRDefault="00D549BE" w:rsidP="009D2F4C">
      <w:pPr>
        <w:pStyle w:val="Heading2"/>
      </w:pPr>
      <w:r w:rsidRPr="009D2F4C">
        <w:lastRenderedPageBreak/>
        <w:t>2024</w:t>
      </w:r>
      <w:r w:rsidR="00BA3D03" w:rsidRPr="009D2F4C">
        <w:t xml:space="preserve"> TAFE Network </w:t>
      </w:r>
      <w:r w:rsidR="00347266" w:rsidRPr="009D2F4C">
        <w:t>Priorit</w:t>
      </w:r>
      <w:r w:rsidR="00BA3D03" w:rsidRPr="009D2F4C">
        <w:t>ies</w:t>
      </w:r>
      <w:r w:rsidR="00347266" w:rsidRPr="009D2F4C">
        <w:t>: Sustainability</w:t>
      </w:r>
      <w:bookmarkEnd w:id="33"/>
      <w:r w:rsidR="00347266" w:rsidRPr="009D2F4C">
        <w:t xml:space="preserve"> </w:t>
      </w:r>
    </w:p>
    <w:p w14:paraId="033865C2" w14:textId="160CA25E" w:rsidR="00347266" w:rsidRPr="00102B7A" w:rsidRDefault="00347266" w:rsidP="009D2F4C">
      <w:pPr>
        <w:pStyle w:val="Heading4"/>
      </w:pPr>
      <w:r w:rsidRPr="00102B7A">
        <w:t xml:space="preserve">TAFE institutes will </w:t>
      </w:r>
      <w:r w:rsidR="00F03D6D" w:rsidRPr="00102B7A">
        <w:t xml:space="preserve">continue to </w:t>
      </w:r>
      <w:r w:rsidRPr="00102B7A">
        <w:t>work towards achieving financial sustainability</w:t>
      </w:r>
      <w:r w:rsidR="00E54E01" w:rsidRPr="00102B7A">
        <w:t xml:space="preserve">. TAFEs are working towards environmental sustainability </w:t>
      </w:r>
      <w:r w:rsidRPr="00102B7A">
        <w:t>and implement</w:t>
      </w:r>
      <w:r w:rsidR="00E212FB" w:rsidRPr="00102B7A">
        <w:t>ing</w:t>
      </w:r>
      <w:r w:rsidRPr="00102B7A">
        <w:t xml:space="preserve"> </w:t>
      </w:r>
      <w:r w:rsidR="00061A62" w:rsidRPr="00102B7A">
        <w:t>Network</w:t>
      </w:r>
      <w:r w:rsidRPr="00102B7A">
        <w:t>-wide strategies in environmental sustainability and climate change adaptation</w:t>
      </w:r>
      <w:r w:rsidR="00295BE5" w:rsidRPr="00102B7A">
        <w:t xml:space="preserve"> aligned to </w:t>
      </w:r>
      <w:r w:rsidR="009201F1" w:rsidRPr="00D53893">
        <w:t>Victoria’s</w:t>
      </w:r>
      <w:r w:rsidR="00295BE5" w:rsidRPr="00D53893">
        <w:t xml:space="preserve"> Climate Change </w:t>
      </w:r>
      <w:r w:rsidR="00483FA8" w:rsidRPr="00D53893">
        <w:t>Strategy</w:t>
      </w:r>
      <w:r w:rsidR="00483FA8" w:rsidRPr="00102B7A">
        <w:t xml:space="preserve"> and </w:t>
      </w:r>
      <w:r w:rsidR="009201F1" w:rsidRPr="00102B7A">
        <w:t xml:space="preserve">associated </w:t>
      </w:r>
      <w:r w:rsidR="00483FA8" w:rsidRPr="00102B7A">
        <w:t>adaptation plans</w:t>
      </w:r>
      <w:r w:rsidR="00E47E5D" w:rsidRPr="00102B7A">
        <w:t>.</w:t>
      </w:r>
    </w:p>
    <w:p w14:paraId="25A48112" w14:textId="58897F5A" w:rsidR="00347266" w:rsidRPr="00102B7A" w:rsidRDefault="00347266" w:rsidP="009D2F4C">
      <w:pPr>
        <w:pStyle w:val="Heading3"/>
      </w:pPr>
      <w:r w:rsidRPr="00102B7A">
        <w:t xml:space="preserve">Sustainability: Key priorities </w:t>
      </w:r>
    </w:p>
    <w:p w14:paraId="2DE77B09" w14:textId="233AD325" w:rsidR="00801C71" w:rsidRPr="00102B7A" w:rsidRDefault="00801C71" w:rsidP="009D2F4C">
      <w:pPr>
        <w:pStyle w:val="Heading4"/>
      </w:pPr>
      <w:r w:rsidRPr="00102B7A">
        <w:t>Financial sustainability</w:t>
      </w:r>
    </w:p>
    <w:p w14:paraId="32F84EDB" w14:textId="7D69A361" w:rsidR="00347266" w:rsidRPr="00102B7A" w:rsidRDefault="00347266" w:rsidP="009D2F4C">
      <w:pPr>
        <w:pStyle w:val="Heading5"/>
      </w:pPr>
      <w:r w:rsidRPr="00102B7A">
        <w:t xml:space="preserve">TAFE institutes will operate within acceptable levels of financial risk, proactively adapting to </w:t>
      </w:r>
      <w:proofErr w:type="spellStart"/>
      <w:r w:rsidRPr="00102B7A">
        <w:t>realise</w:t>
      </w:r>
      <w:proofErr w:type="spellEnd"/>
      <w:r w:rsidRPr="00102B7A">
        <w:t xml:space="preserve"> agreed budget, cashflow and financial performance targets and return on capital investment strategies. </w:t>
      </w:r>
      <w:r w:rsidR="00FE14B4" w:rsidRPr="00102B7A">
        <w:t>TAFE institutes will maintain sufficient net cash reserves to support ongoing operations.</w:t>
      </w:r>
    </w:p>
    <w:p w14:paraId="7AF604B1" w14:textId="43A0F64E" w:rsidR="00347266" w:rsidRPr="00102B7A" w:rsidRDefault="00347266" w:rsidP="009D2F4C">
      <w:pPr>
        <w:pStyle w:val="Heading5"/>
      </w:pPr>
      <w:r w:rsidRPr="00102B7A">
        <w:t xml:space="preserve">TAFE institutes will maintain an efficient operating model through ensuring that course delivery is viable or </w:t>
      </w:r>
      <w:r w:rsidR="009820BB" w:rsidRPr="00102B7A">
        <w:t xml:space="preserve">aligns with </w:t>
      </w:r>
      <w:r w:rsidRPr="00102B7A">
        <w:t>agreed strategic priorities or access expectations. TAFEs will meet benchmarks and performance levels agreed through their TAFE Provider Statements of Priorities, reporting quarterly to the OTCD, and work with the OTCD to ensure continuous improvement.</w:t>
      </w:r>
    </w:p>
    <w:p w14:paraId="4B1EF209" w14:textId="360F0F20" w:rsidR="00347266" w:rsidRPr="00102B7A" w:rsidRDefault="00347266" w:rsidP="009D2F4C">
      <w:pPr>
        <w:pStyle w:val="Heading5"/>
      </w:pPr>
      <w:r w:rsidRPr="00102B7A">
        <w:t xml:space="preserve">TAFE institutes will actively and effectively support initiatives to achieve the financial sustainability of the </w:t>
      </w:r>
      <w:r w:rsidR="00061A62" w:rsidRPr="00102B7A">
        <w:t>Network</w:t>
      </w:r>
      <w:r w:rsidRPr="00102B7A">
        <w:t xml:space="preserve"> as a whole, working towards increasing public confidence and student demand for TAFE, and by increasing internal collaboration, </w:t>
      </w:r>
      <w:proofErr w:type="gramStart"/>
      <w:r w:rsidRPr="00102B7A">
        <w:t>integration</w:t>
      </w:r>
      <w:proofErr w:type="gramEnd"/>
      <w:r w:rsidRPr="00102B7A">
        <w:t xml:space="preserve"> and transparency within the </w:t>
      </w:r>
      <w:r w:rsidR="00061A62" w:rsidRPr="00102B7A">
        <w:t>Network</w:t>
      </w:r>
      <w:r w:rsidRPr="00102B7A">
        <w:t>.</w:t>
      </w:r>
    </w:p>
    <w:p w14:paraId="2DEF0C86" w14:textId="77777777" w:rsidR="00801C71" w:rsidRPr="00102B7A" w:rsidRDefault="00347266" w:rsidP="009D2F4C">
      <w:pPr>
        <w:pStyle w:val="Heading5"/>
      </w:pPr>
      <w:r w:rsidRPr="00102B7A">
        <w:t>TAFEs will be transparent regarding their commercial activities and how profits are reinvested to support TAFE service delivery priorities.</w:t>
      </w:r>
    </w:p>
    <w:p w14:paraId="7D38274C" w14:textId="3291B6A5" w:rsidR="00347266" w:rsidRPr="00102B7A" w:rsidRDefault="00801C71" w:rsidP="009D2F4C">
      <w:pPr>
        <w:pStyle w:val="Heading4"/>
      </w:pPr>
      <w:r w:rsidRPr="00102B7A">
        <w:t>Environmental sustainability</w:t>
      </w:r>
      <w:r w:rsidR="00347266" w:rsidRPr="00102B7A">
        <w:t xml:space="preserve"> </w:t>
      </w:r>
    </w:p>
    <w:p w14:paraId="0667CF28" w14:textId="77777777" w:rsidR="004535BF" w:rsidRPr="00102B7A" w:rsidRDefault="004535BF" w:rsidP="009D2F4C">
      <w:pPr>
        <w:pStyle w:val="Heading5"/>
      </w:pPr>
      <w:r w:rsidRPr="00102B7A">
        <w:t>TAFEs will continue to develop skills and training relevant to new and emerging industries and business associated with the clean economy; and assisting existing business, sectors, and industries to adapt their practices to achieve net zero emissions by 2045. TAFEs will participate in Network actions that build capacity and cohesion to allow the Network to lead the delivery of training at the right scale, quality, and with the appropriate reach required to meet the needs of Victoria’s clean economy targets, including those relating to climate change mitigation and adaptation, the transition to renewable energy, and the circular economy.</w:t>
      </w:r>
    </w:p>
    <w:p w14:paraId="351EC4DA" w14:textId="102BCA04" w:rsidR="004827C5" w:rsidRPr="00102B7A" w:rsidRDefault="004827C5" w:rsidP="009D2F4C">
      <w:pPr>
        <w:pStyle w:val="Heading5"/>
      </w:pPr>
      <w:r w:rsidRPr="00102B7A">
        <w:t>TAFEs will take active steps to strengthen the climate resilience of assets and infrastructure.</w:t>
      </w:r>
    </w:p>
    <w:p w14:paraId="6DAD5523" w14:textId="37502B09" w:rsidR="00347266" w:rsidRPr="00102B7A" w:rsidRDefault="00347266" w:rsidP="009D2F4C">
      <w:pPr>
        <w:pStyle w:val="Heading5"/>
      </w:pPr>
      <w:r w:rsidRPr="00102B7A">
        <w:t xml:space="preserve">TAFEs </w:t>
      </w:r>
      <w:r w:rsidR="00A81382" w:rsidRPr="00102B7A">
        <w:t xml:space="preserve">work towards sustainability by </w:t>
      </w:r>
      <w:r w:rsidR="0050548A" w:rsidRPr="00102B7A">
        <w:t>build</w:t>
      </w:r>
      <w:r w:rsidR="00A81382" w:rsidRPr="00102B7A">
        <w:t>ing</w:t>
      </w:r>
      <w:r w:rsidR="0050548A" w:rsidRPr="00102B7A">
        <w:t xml:space="preserve"> climate change adaptation skills and capability and </w:t>
      </w:r>
      <w:r w:rsidRPr="00102B7A">
        <w:t>implement</w:t>
      </w:r>
      <w:r w:rsidR="00A81382" w:rsidRPr="00102B7A">
        <w:t>ing</w:t>
      </w:r>
      <w:r w:rsidRPr="00102B7A">
        <w:t xml:space="preserve"> approaches to identify and manage risks associated with the impacts of climate change, adjust to potential damage, take advantages of opportunities, and incorporate climate change adaptation into decision-making processes and practices, and across the emergency management cycle.</w:t>
      </w:r>
    </w:p>
    <w:p w14:paraId="3D694550" w14:textId="093D49E1" w:rsidR="007B5B06" w:rsidRPr="00102B7A" w:rsidRDefault="007B5B06" w:rsidP="009D2F4C">
      <w:pPr>
        <w:pStyle w:val="Heading5"/>
      </w:pPr>
      <w:r w:rsidRPr="00102B7A">
        <w:t xml:space="preserve">TAFEs will support their local communities as incidents of extreme weather and climate change events occur. </w:t>
      </w:r>
    </w:p>
    <w:p w14:paraId="5D61CA35" w14:textId="77777777" w:rsidR="008A52DA" w:rsidRPr="00102B7A" w:rsidRDefault="008A52DA">
      <w:pPr>
        <w:suppressAutoHyphens w:val="0"/>
        <w:autoSpaceDE/>
        <w:autoSpaceDN/>
        <w:adjustRightInd/>
        <w:spacing w:after="0" w:line="240" w:lineRule="auto"/>
        <w:jc w:val="left"/>
        <w:textAlignment w:val="auto"/>
        <w:rPr>
          <w:b/>
          <w:bCs/>
          <w:color w:val="auto"/>
        </w:rPr>
      </w:pPr>
      <w:r w:rsidRPr="00102B7A">
        <w:rPr>
          <w:color w:val="auto"/>
        </w:rPr>
        <w:br w:type="page"/>
      </w:r>
    </w:p>
    <w:p w14:paraId="01FCECFC" w14:textId="796BBAF0" w:rsidR="008A52DA" w:rsidRPr="009D2F4C" w:rsidRDefault="008A52DA" w:rsidP="009D2F4C">
      <w:pPr>
        <w:pStyle w:val="Heading3"/>
      </w:pPr>
      <w:r w:rsidRPr="009D2F4C">
        <w:lastRenderedPageBreak/>
        <w:t>Financial sustainability</w:t>
      </w:r>
      <w:r w:rsidR="00BE5644" w:rsidRPr="009D2F4C">
        <w:t>*</w:t>
      </w:r>
      <w:r w:rsidR="00E572D9" w:rsidRPr="009D2F4C">
        <w:t>: what will success look like?</w:t>
      </w:r>
      <w:r w:rsidRPr="009D2F4C">
        <w:t xml:space="preserve"> </w:t>
      </w:r>
    </w:p>
    <w:tbl>
      <w:tblPr>
        <w:tblStyle w:val="DJSIR"/>
        <w:tblpPr w:leftFromText="180" w:rightFromText="180" w:vertAnchor="text" w:horzAnchor="margin" w:tblpY="32"/>
        <w:tblW w:w="9214" w:type="dxa"/>
        <w:tblBorders>
          <w:left w:val="single" w:sz="4" w:space="0" w:color="auto"/>
          <w:right w:val="single" w:sz="4" w:space="0" w:color="auto"/>
          <w:insideV w:val="single" w:sz="4" w:space="0" w:color="auto"/>
        </w:tblBorders>
        <w:tblLayout w:type="fixed"/>
        <w:tblLook w:val="0620" w:firstRow="1" w:lastRow="0" w:firstColumn="0" w:lastColumn="0" w:noHBand="1" w:noVBand="1"/>
      </w:tblPr>
      <w:tblGrid>
        <w:gridCol w:w="2694"/>
        <w:gridCol w:w="6520"/>
      </w:tblGrid>
      <w:tr w:rsidR="00102B7A" w:rsidRPr="00102B7A" w14:paraId="15DAED59" w14:textId="77777777" w:rsidTr="009D2F4C">
        <w:trPr>
          <w:cnfStyle w:val="100000000000" w:firstRow="1" w:lastRow="0" w:firstColumn="0" w:lastColumn="0" w:oddVBand="0" w:evenVBand="0" w:oddHBand="0" w:evenHBand="0" w:firstRowFirstColumn="0" w:firstRowLastColumn="0" w:lastRowFirstColumn="0" w:lastRowLastColumn="0"/>
          <w:trHeight w:hRule="exact" w:val="453"/>
        </w:trPr>
        <w:tc>
          <w:tcPr>
            <w:tcW w:w="2694" w:type="dxa"/>
            <w:shd w:val="clear" w:color="auto" w:fill="auto"/>
          </w:tcPr>
          <w:p w14:paraId="092FC37D" w14:textId="77777777" w:rsidR="00347266" w:rsidRPr="00102B7A" w:rsidRDefault="00347266" w:rsidP="006638B0">
            <w:pPr>
              <w:pStyle w:val="Heading3"/>
            </w:pPr>
            <w:r w:rsidRPr="00102B7A">
              <w:t>Priority</w:t>
            </w:r>
          </w:p>
        </w:tc>
        <w:tc>
          <w:tcPr>
            <w:tcW w:w="6520" w:type="dxa"/>
            <w:shd w:val="clear" w:color="auto" w:fill="auto"/>
          </w:tcPr>
          <w:p w14:paraId="086B424B" w14:textId="06F795EC" w:rsidR="00347266" w:rsidRPr="00102B7A" w:rsidRDefault="00801C71" w:rsidP="006638B0">
            <w:pPr>
              <w:pStyle w:val="Heading3"/>
            </w:pPr>
            <w:r w:rsidRPr="00102B7A">
              <w:t>What will the success</w:t>
            </w:r>
            <w:r w:rsidR="00347266" w:rsidRPr="00102B7A">
              <w:t xml:space="preserve"> for the TAFE </w:t>
            </w:r>
            <w:r w:rsidR="00061A62" w:rsidRPr="00102B7A">
              <w:t>Network</w:t>
            </w:r>
            <w:r w:rsidR="00347266" w:rsidRPr="00102B7A">
              <w:t xml:space="preserve"> </w:t>
            </w:r>
            <w:r w:rsidRPr="00102B7A">
              <w:t xml:space="preserve">look like </w:t>
            </w:r>
            <w:r w:rsidR="00347266" w:rsidRPr="00102B7A">
              <w:t xml:space="preserve">in </w:t>
            </w:r>
            <w:r w:rsidR="00D549BE" w:rsidRPr="00102B7A">
              <w:t>2024</w:t>
            </w:r>
            <w:r w:rsidRPr="00102B7A">
              <w:t>?</w:t>
            </w:r>
          </w:p>
        </w:tc>
      </w:tr>
      <w:tr w:rsidR="00102B7A" w:rsidRPr="00102B7A" w14:paraId="4D23F39C" w14:textId="77777777" w:rsidTr="006638B0">
        <w:trPr>
          <w:trHeight w:hRule="exact" w:val="6364"/>
        </w:trPr>
        <w:tc>
          <w:tcPr>
            <w:tcW w:w="0" w:type="dxa"/>
          </w:tcPr>
          <w:p w14:paraId="74DD8E4D" w14:textId="77777777" w:rsidR="008A52DA" w:rsidRPr="006638B0" w:rsidRDefault="008A52DA" w:rsidP="006638B0">
            <w:pPr>
              <w:pStyle w:val="Heading4"/>
            </w:pPr>
            <w:r w:rsidRPr="006638B0">
              <w:t xml:space="preserve">TAFEs actively adopt financial strategies to achieve agreed sustainability outcomes and actively address cost drivers. </w:t>
            </w:r>
          </w:p>
          <w:p w14:paraId="72A9142F" w14:textId="77777777" w:rsidR="008A52DA" w:rsidRPr="006638B0" w:rsidRDefault="008A52DA" w:rsidP="006638B0">
            <w:pPr>
              <w:pStyle w:val="Heading4"/>
            </w:pPr>
          </w:p>
          <w:p w14:paraId="0AD0285B" w14:textId="505ACF6F" w:rsidR="00347266" w:rsidRPr="00102B7A" w:rsidRDefault="008A52DA" w:rsidP="006638B0">
            <w:pPr>
              <w:pStyle w:val="Heading4"/>
            </w:pPr>
            <w:r w:rsidRPr="006638B0">
              <w:t>TAFEs’ third</w:t>
            </w:r>
            <w:r w:rsidR="009733E0" w:rsidRPr="006638B0">
              <w:t>-</w:t>
            </w:r>
            <w:r w:rsidRPr="006638B0">
              <w:t>party revenue and commercial activity is strategic and supports essential TAFE delivery</w:t>
            </w:r>
          </w:p>
        </w:tc>
        <w:tc>
          <w:tcPr>
            <w:tcW w:w="0" w:type="dxa"/>
          </w:tcPr>
          <w:p w14:paraId="05668B4A" w14:textId="36177ABB" w:rsidR="00801C71" w:rsidRPr="00102B7A" w:rsidRDefault="00801C71" w:rsidP="006638B0">
            <w:pPr>
              <w:pStyle w:val="Heading3"/>
            </w:pPr>
            <w:r w:rsidRPr="00102B7A">
              <w:t>OTCD led:</w:t>
            </w:r>
          </w:p>
          <w:p w14:paraId="2A506A98" w14:textId="784FECA0" w:rsidR="00801C71" w:rsidRPr="00102B7A" w:rsidRDefault="00801C71" w:rsidP="006638B0">
            <w:pPr>
              <w:pStyle w:val="Heading5"/>
            </w:pPr>
            <w:r w:rsidRPr="00102B7A">
              <w:t xml:space="preserve">TAFEs work with the OTCD towards achieving viable service delivery in terms of course scope and student enrolments – including working with the OTCD to identify and reach agreement on courses delivered to meet strategic priorities or access expectations, where viability cannot be </w:t>
            </w:r>
            <w:r w:rsidR="00D131B6" w:rsidRPr="00102B7A">
              <w:t>achieved,</w:t>
            </w:r>
            <w:r w:rsidRPr="00102B7A">
              <w:t xml:space="preserve"> and other funding sources may be required to support delivery. </w:t>
            </w:r>
          </w:p>
          <w:p w14:paraId="3104551C" w14:textId="074D5F7E" w:rsidR="00801C71" w:rsidRPr="00102B7A" w:rsidRDefault="00801C71" w:rsidP="006638B0">
            <w:pPr>
              <w:pStyle w:val="Heading5"/>
            </w:pPr>
            <w:r w:rsidRPr="00102B7A">
              <w:t>TAFEs work together, and with the OTCD to identify opportunities for shared approaches to services, administrative systems and platforms and support implementation of agreed ini</w:t>
            </w:r>
            <w:r w:rsidR="00127D8A" w:rsidRPr="00102B7A">
              <w:t>ti</w:t>
            </w:r>
            <w:r w:rsidRPr="00102B7A">
              <w:t>atives.</w:t>
            </w:r>
          </w:p>
          <w:p w14:paraId="1DA6052F" w14:textId="43511E60" w:rsidR="00801C71" w:rsidRPr="00102B7A" w:rsidRDefault="00801C71" w:rsidP="006638B0">
            <w:pPr>
              <w:pStyle w:val="Heading5"/>
            </w:pPr>
            <w:r w:rsidRPr="00102B7A">
              <w:t xml:space="preserve">The TAFE Network continues to work with the OTCD to develop and adopt </w:t>
            </w:r>
            <w:proofErr w:type="spellStart"/>
            <w:r w:rsidRPr="00102B7A">
              <w:t>standardised</w:t>
            </w:r>
            <w:proofErr w:type="spellEnd"/>
            <w:r w:rsidRPr="00102B7A">
              <w:t xml:space="preserve"> approaches to financial reporting and responding to DTF’s Asset Management and Accountability Framework.</w:t>
            </w:r>
          </w:p>
          <w:p w14:paraId="1CAF6080" w14:textId="18C21217" w:rsidR="00801C71" w:rsidRPr="00102B7A" w:rsidRDefault="00801C71" w:rsidP="006638B0">
            <w:pPr>
              <w:pStyle w:val="Heading3"/>
            </w:pPr>
            <w:r w:rsidRPr="00102B7A">
              <w:t>TAFE institute led:</w:t>
            </w:r>
          </w:p>
          <w:p w14:paraId="2B93C30E" w14:textId="0A8758CE" w:rsidR="008A52DA" w:rsidRPr="00102B7A" w:rsidRDefault="008A52DA" w:rsidP="006638B0">
            <w:pPr>
              <w:pStyle w:val="Heading5"/>
            </w:pPr>
            <w:r w:rsidRPr="00102B7A">
              <w:t xml:space="preserve">TAFEs’ corporate planning and budgets include strategies and clear pathways to achieving balanced or positive </w:t>
            </w:r>
            <w:r w:rsidR="009B2835" w:rsidRPr="00102B7A">
              <w:t>EBITDA (excluding capital)</w:t>
            </w:r>
            <w:r w:rsidRPr="00102B7A">
              <w:t xml:space="preserve">. </w:t>
            </w:r>
          </w:p>
          <w:p w14:paraId="462323DF" w14:textId="7E0D373B" w:rsidR="00347266" w:rsidRPr="006638B0" w:rsidRDefault="008A52DA" w:rsidP="006638B0">
            <w:pPr>
              <w:pStyle w:val="Heading5"/>
            </w:pPr>
            <w:r w:rsidRPr="00102B7A">
              <w:t>TAFEs operate within financial risk parameters established by the OTCD</w:t>
            </w:r>
            <w:r w:rsidR="00034FFC" w:rsidRPr="00102B7A">
              <w:t xml:space="preserve"> in </w:t>
            </w:r>
            <w:r w:rsidR="001D20BD" w:rsidRPr="00102B7A">
              <w:t xml:space="preserve">the </w:t>
            </w:r>
            <w:r w:rsidR="00034FFC" w:rsidRPr="00102B7A">
              <w:t>TAFE</w:t>
            </w:r>
            <w:r w:rsidR="001D20BD" w:rsidRPr="00102B7A">
              <w:t xml:space="preserve"> Network</w:t>
            </w:r>
            <w:r w:rsidR="00034FFC" w:rsidRPr="00102B7A">
              <w:t xml:space="preserve"> budget planning process</w:t>
            </w:r>
            <w:r w:rsidRPr="00102B7A">
              <w:t>.</w:t>
            </w:r>
          </w:p>
        </w:tc>
      </w:tr>
    </w:tbl>
    <w:p w14:paraId="0324756D" w14:textId="77777777" w:rsidR="004F47F1" w:rsidRDefault="004F47F1" w:rsidP="006638B0">
      <w:pPr>
        <w:pStyle w:val="Heading4"/>
      </w:pPr>
    </w:p>
    <w:p w14:paraId="1231BB60" w14:textId="763BA23A" w:rsidR="004F47F1" w:rsidRDefault="008A52DA" w:rsidP="006638B0">
      <w:pPr>
        <w:pStyle w:val="Heading4"/>
      </w:pPr>
      <w:r w:rsidRPr="006638B0">
        <w:t>*Note the financial sustainability indicators do not apply to Dual Sector Universities due to their different governance, reporting and financial arrangements.</w:t>
      </w:r>
    </w:p>
    <w:p w14:paraId="68CB868D" w14:textId="77777777" w:rsidR="004F47F1" w:rsidRDefault="004F47F1">
      <w:pPr>
        <w:suppressAutoHyphens w:val="0"/>
        <w:autoSpaceDE/>
        <w:autoSpaceDN/>
        <w:adjustRightInd/>
        <w:spacing w:after="0" w:line="240" w:lineRule="auto"/>
        <w:jc w:val="left"/>
        <w:textAlignment w:val="auto"/>
        <w:rPr>
          <w:color w:val="auto"/>
        </w:rPr>
      </w:pPr>
      <w:r>
        <w:br w:type="page"/>
      </w:r>
    </w:p>
    <w:p w14:paraId="100BCFB5" w14:textId="70F56BB4" w:rsidR="008A52DA" w:rsidRPr="00102B7A" w:rsidRDefault="000E3434" w:rsidP="006638B0">
      <w:pPr>
        <w:pStyle w:val="Heading4"/>
        <w:rPr>
          <w:b/>
          <w:bCs/>
        </w:rPr>
      </w:pPr>
      <w:r w:rsidRPr="00102B7A">
        <w:rPr>
          <w:b/>
          <w:bCs/>
        </w:rPr>
        <w:lastRenderedPageBreak/>
        <w:t>Environmental sustainability and climate change adaptation</w:t>
      </w:r>
      <w:r w:rsidR="00E572D9" w:rsidRPr="00102B7A">
        <w:rPr>
          <w:b/>
          <w:bCs/>
        </w:rPr>
        <w:t>: what will success look like?</w:t>
      </w:r>
    </w:p>
    <w:tbl>
      <w:tblPr>
        <w:tblStyle w:val="DJSIR"/>
        <w:tblpPr w:leftFromText="180" w:rightFromText="180" w:vertAnchor="text" w:horzAnchor="margin" w:tblpY="32"/>
        <w:tblW w:w="9214" w:type="dxa"/>
        <w:tblBorders>
          <w:left w:val="single" w:sz="4" w:space="0" w:color="auto"/>
          <w:right w:val="single" w:sz="4" w:space="0" w:color="auto"/>
          <w:insideV w:val="single" w:sz="4" w:space="0" w:color="auto"/>
        </w:tblBorders>
        <w:tblLayout w:type="fixed"/>
        <w:tblLook w:val="0620" w:firstRow="1" w:lastRow="0" w:firstColumn="0" w:lastColumn="0" w:noHBand="1" w:noVBand="1"/>
      </w:tblPr>
      <w:tblGrid>
        <w:gridCol w:w="2694"/>
        <w:gridCol w:w="6520"/>
      </w:tblGrid>
      <w:tr w:rsidR="00102B7A" w:rsidRPr="00102B7A" w14:paraId="6338CAFF" w14:textId="77777777" w:rsidTr="009D2F4C">
        <w:trPr>
          <w:cnfStyle w:val="100000000000" w:firstRow="1" w:lastRow="0" w:firstColumn="0" w:lastColumn="0" w:oddVBand="0" w:evenVBand="0" w:oddHBand="0" w:evenHBand="0" w:firstRowFirstColumn="0" w:firstRowLastColumn="0" w:lastRowFirstColumn="0" w:lastRowLastColumn="0"/>
          <w:cantSplit w:val="0"/>
          <w:trHeight w:hRule="exact" w:val="453"/>
          <w:tblHeader/>
        </w:trPr>
        <w:tc>
          <w:tcPr>
            <w:tcW w:w="2694" w:type="dxa"/>
            <w:shd w:val="clear" w:color="auto" w:fill="auto"/>
          </w:tcPr>
          <w:p w14:paraId="43030463" w14:textId="77777777" w:rsidR="000E3434" w:rsidRPr="00102B7A" w:rsidRDefault="000E3434" w:rsidP="006638B0">
            <w:pPr>
              <w:pStyle w:val="Heading3"/>
            </w:pPr>
            <w:r w:rsidRPr="00102B7A">
              <w:t>Priority</w:t>
            </w:r>
          </w:p>
        </w:tc>
        <w:tc>
          <w:tcPr>
            <w:tcW w:w="6520" w:type="dxa"/>
            <w:shd w:val="clear" w:color="auto" w:fill="auto"/>
          </w:tcPr>
          <w:p w14:paraId="65CC21C7" w14:textId="0CCBF865" w:rsidR="000E3434" w:rsidRPr="00102B7A" w:rsidRDefault="00411496" w:rsidP="006638B0">
            <w:pPr>
              <w:pStyle w:val="Heading3"/>
            </w:pPr>
            <w:r w:rsidRPr="00102B7A">
              <w:t xml:space="preserve">What will success </w:t>
            </w:r>
            <w:r w:rsidR="000E3434" w:rsidRPr="00102B7A">
              <w:t xml:space="preserve">for the TAFE </w:t>
            </w:r>
            <w:r w:rsidR="00061A62" w:rsidRPr="00102B7A">
              <w:t>Network</w:t>
            </w:r>
            <w:r w:rsidR="000E3434" w:rsidRPr="00102B7A">
              <w:t xml:space="preserve"> </w:t>
            </w:r>
            <w:r w:rsidRPr="00102B7A">
              <w:t xml:space="preserve">look like </w:t>
            </w:r>
            <w:r w:rsidR="000E3434" w:rsidRPr="00102B7A">
              <w:t xml:space="preserve">in </w:t>
            </w:r>
            <w:r w:rsidR="00D549BE" w:rsidRPr="00102B7A">
              <w:t>2024</w:t>
            </w:r>
            <w:r w:rsidRPr="00102B7A">
              <w:t>?</w:t>
            </w:r>
          </w:p>
        </w:tc>
      </w:tr>
      <w:tr w:rsidR="00102B7A" w:rsidRPr="00102B7A" w14:paraId="0A67624F" w14:textId="77777777" w:rsidTr="0084267F">
        <w:trPr>
          <w:cantSplit w:val="0"/>
          <w:trHeight w:hRule="exact" w:val="6653"/>
        </w:trPr>
        <w:tc>
          <w:tcPr>
            <w:tcW w:w="0" w:type="dxa"/>
          </w:tcPr>
          <w:p w14:paraId="318D2239" w14:textId="6DFAB983" w:rsidR="009B0119" w:rsidRPr="006638B0" w:rsidRDefault="008A3229" w:rsidP="006638B0">
            <w:pPr>
              <w:pStyle w:val="Heading4"/>
            </w:pPr>
            <w:r w:rsidRPr="006638B0">
              <w:t xml:space="preserve">TAFEs </w:t>
            </w:r>
            <w:r w:rsidR="006E03C2" w:rsidRPr="006638B0">
              <w:t xml:space="preserve">are </w:t>
            </w:r>
            <w:r w:rsidR="006E12AE" w:rsidRPr="006638B0">
              <w:t xml:space="preserve">supporting the skills development required for </w:t>
            </w:r>
            <w:r w:rsidRPr="006638B0">
              <w:t>energy transition.</w:t>
            </w:r>
          </w:p>
          <w:p w14:paraId="27579411" w14:textId="77777777" w:rsidR="009B0119" w:rsidRPr="006638B0" w:rsidRDefault="009B0119" w:rsidP="006638B0">
            <w:pPr>
              <w:pStyle w:val="Heading4"/>
            </w:pPr>
          </w:p>
          <w:p w14:paraId="24B6EDC9" w14:textId="37706EAC" w:rsidR="000E3434" w:rsidRPr="006638B0" w:rsidRDefault="000E3434" w:rsidP="006638B0">
            <w:pPr>
              <w:pStyle w:val="Heading4"/>
            </w:pPr>
            <w:r w:rsidRPr="006638B0">
              <w:t xml:space="preserve">TAFEs are </w:t>
            </w:r>
            <w:r w:rsidR="00E54E01" w:rsidRPr="006638B0">
              <w:t xml:space="preserve">working towards environmental sustainability, </w:t>
            </w:r>
            <w:r w:rsidR="00165DAB" w:rsidRPr="006638B0">
              <w:t xml:space="preserve">by building climate change adaptation skills and capability and </w:t>
            </w:r>
            <w:r w:rsidRPr="006638B0">
              <w:t>identify</w:t>
            </w:r>
            <w:r w:rsidR="00F34FC9" w:rsidRPr="006638B0">
              <w:t>ing</w:t>
            </w:r>
            <w:r w:rsidRPr="006638B0">
              <w:t xml:space="preserve"> and manag</w:t>
            </w:r>
            <w:r w:rsidR="00F34FC9" w:rsidRPr="006638B0">
              <w:t>ing</w:t>
            </w:r>
            <w:r w:rsidRPr="006638B0">
              <w:t xml:space="preserve"> risks associated with the impacts of climate change</w:t>
            </w:r>
            <w:r w:rsidR="006638B0" w:rsidRPr="006638B0">
              <w:t>.</w:t>
            </w:r>
          </w:p>
        </w:tc>
        <w:tc>
          <w:tcPr>
            <w:tcW w:w="0" w:type="dxa"/>
          </w:tcPr>
          <w:p w14:paraId="528E15F9" w14:textId="625C5010" w:rsidR="00411496" w:rsidRPr="006638B0" w:rsidRDefault="00411496" w:rsidP="006638B0">
            <w:pPr>
              <w:pStyle w:val="Heading3"/>
            </w:pPr>
            <w:r w:rsidRPr="006638B0">
              <w:t>OTCD led:</w:t>
            </w:r>
          </w:p>
          <w:p w14:paraId="6B22C0DD" w14:textId="5EC5685D" w:rsidR="00411496" w:rsidRPr="006638B0" w:rsidRDefault="00FC5EAA" w:rsidP="0084267F">
            <w:pPr>
              <w:pStyle w:val="Heading5"/>
            </w:pPr>
            <w:r w:rsidRPr="006638B0">
              <w:t xml:space="preserve">The </w:t>
            </w:r>
            <w:r w:rsidR="00411496" w:rsidRPr="006638B0">
              <w:t>OTCD supports a key strategic role for the TAFE Network in supporting and developing a Clean Economy for Victoria</w:t>
            </w:r>
            <w:r w:rsidR="004C3F95" w:rsidRPr="006638B0">
              <w:t>, in line with the Clean Economy Workforce Development Strategy</w:t>
            </w:r>
            <w:r w:rsidR="005F3DDA" w:rsidRPr="006638B0">
              <w:t>.</w:t>
            </w:r>
          </w:p>
          <w:p w14:paraId="5AFDA40C" w14:textId="259E00FE" w:rsidR="005F3DDA" w:rsidRPr="006638B0" w:rsidRDefault="00E82D52" w:rsidP="0084267F">
            <w:pPr>
              <w:pStyle w:val="Heading5"/>
            </w:pPr>
            <w:r w:rsidRPr="006638B0">
              <w:t>The OTCD is developing grant guidelines for the TAFE Clean Energy Fund to finance TAFE capital projects that support skills development for the clean economy</w:t>
            </w:r>
            <w:r w:rsidR="000967B4" w:rsidRPr="006638B0">
              <w:t xml:space="preserve"> and transition to renewable energy</w:t>
            </w:r>
            <w:r w:rsidRPr="006638B0">
              <w:t>.</w:t>
            </w:r>
          </w:p>
          <w:p w14:paraId="0A785B58" w14:textId="1A13F12C" w:rsidR="00411496" w:rsidRPr="006638B0" w:rsidRDefault="00411496" w:rsidP="0084267F">
            <w:pPr>
              <w:pStyle w:val="Heading5"/>
            </w:pPr>
            <w:r w:rsidRPr="006638B0">
              <w:t xml:space="preserve">The OTCD supports sharing of </w:t>
            </w:r>
            <w:r w:rsidR="00E72FB1" w:rsidRPr="006638B0">
              <w:t xml:space="preserve">good practice tools, </w:t>
            </w:r>
            <w:proofErr w:type="gramStart"/>
            <w:r w:rsidR="00E72FB1" w:rsidRPr="006638B0">
              <w:t>templates</w:t>
            </w:r>
            <w:proofErr w:type="gramEnd"/>
            <w:r w:rsidR="00E72FB1" w:rsidRPr="006638B0">
              <w:t xml:space="preserve"> and frameworks to support climate adaptation</w:t>
            </w:r>
            <w:r w:rsidR="00112227" w:rsidRPr="006638B0">
              <w:t>.</w:t>
            </w:r>
            <w:r w:rsidRPr="006638B0">
              <w:t xml:space="preserve"> </w:t>
            </w:r>
          </w:p>
          <w:p w14:paraId="7184B789" w14:textId="0171BD5B" w:rsidR="00411496" w:rsidRPr="006638B0" w:rsidRDefault="00411496" w:rsidP="006638B0">
            <w:pPr>
              <w:pStyle w:val="Heading3"/>
            </w:pPr>
            <w:r w:rsidRPr="006638B0">
              <w:t>TAFE institutes and dual sector</w:t>
            </w:r>
            <w:r w:rsidR="00183733" w:rsidRPr="006638B0">
              <w:t xml:space="preserve"> university</w:t>
            </w:r>
            <w:r w:rsidRPr="006638B0">
              <w:t xml:space="preserve"> led:</w:t>
            </w:r>
          </w:p>
          <w:p w14:paraId="4E51D2EF" w14:textId="195B5665" w:rsidR="00281F8C" w:rsidRPr="006638B0" w:rsidRDefault="00281F8C" w:rsidP="0084267F">
            <w:pPr>
              <w:pStyle w:val="Heading5"/>
            </w:pPr>
            <w:r w:rsidRPr="006638B0">
              <w:t xml:space="preserve">TAFEs develop </w:t>
            </w:r>
            <w:proofErr w:type="spellStart"/>
            <w:r w:rsidRPr="006638B0">
              <w:t>organisation</w:t>
            </w:r>
            <w:proofErr w:type="spellEnd"/>
            <w:r w:rsidRPr="006638B0">
              <w:t>-wide incentives to motivate staff to progress an environmentally sustainable agenda</w:t>
            </w:r>
            <w:r w:rsidR="00112227" w:rsidRPr="006638B0">
              <w:t>.</w:t>
            </w:r>
            <w:r w:rsidRPr="006638B0">
              <w:t xml:space="preserve"> </w:t>
            </w:r>
          </w:p>
          <w:p w14:paraId="1FA50EC4" w14:textId="02F3640C" w:rsidR="000E3434" w:rsidRPr="006638B0" w:rsidRDefault="000E3434" w:rsidP="0084267F">
            <w:pPr>
              <w:pStyle w:val="Heading5"/>
            </w:pPr>
            <w:r w:rsidRPr="006638B0">
              <w:t>Climate change adaptation is embedded into TAFE risk management framework</w:t>
            </w:r>
            <w:r w:rsidR="00575DB0" w:rsidRPr="006638B0">
              <w:t>s</w:t>
            </w:r>
            <w:r w:rsidRPr="006638B0">
              <w:t xml:space="preserve"> and emergency management cycle</w:t>
            </w:r>
            <w:r w:rsidR="00575DB0" w:rsidRPr="006638B0">
              <w:t>s</w:t>
            </w:r>
            <w:r w:rsidRPr="006638B0">
              <w:t>.</w:t>
            </w:r>
          </w:p>
          <w:p w14:paraId="1A342562" w14:textId="600E27A6" w:rsidR="000E3434" w:rsidRPr="006638B0" w:rsidRDefault="000E3434" w:rsidP="0084267F">
            <w:pPr>
              <w:pStyle w:val="Heading5"/>
            </w:pPr>
            <w:r w:rsidRPr="006638B0">
              <w:t xml:space="preserve">TAFEs embed </w:t>
            </w:r>
            <w:r w:rsidR="00575DB0" w:rsidRPr="006638B0">
              <w:t xml:space="preserve">an </w:t>
            </w:r>
            <w:r w:rsidRPr="006638B0">
              <w:t xml:space="preserve">environmental sustainability and climate change adaptation lens </w:t>
            </w:r>
            <w:r w:rsidR="00575DB0" w:rsidRPr="006638B0">
              <w:t>across</w:t>
            </w:r>
            <w:r w:rsidRPr="006638B0">
              <w:t xml:space="preserve"> all </w:t>
            </w:r>
            <w:proofErr w:type="spellStart"/>
            <w:r w:rsidRPr="006638B0">
              <w:t>organisational</w:t>
            </w:r>
            <w:proofErr w:type="spellEnd"/>
            <w:r w:rsidRPr="006638B0">
              <w:t xml:space="preserve"> policies</w:t>
            </w:r>
            <w:r w:rsidR="00112227" w:rsidRPr="006638B0">
              <w:t>.</w:t>
            </w:r>
          </w:p>
          <w:p w14:paraId="18CCF889" w14:textId="01043469" w:rsidR="000E3434" w:rsidRPr="006638B0" w:rsidRDefault="000E3434" w:rsidP="0084267F">
            <w:pPr>
              <w:pStyle w:val="Heading5"/>
            </w:pPr>
            <w:r w:rsidRPr="006638B0">
              <w:t>Business tools, corporate templates and frameworks are updated to facilitate staff consideration of environmental sustainability in all aspects of thei</w:t>
            </w:r>
            <w:r w:rsidR="00112227" w:rsidRPr="006638B0">
              <w:t>r work.</w:t>
            </w:r>
          </w:p>
        </w:tc>
      </w:tr>
      <w:tr w:rsidR="00102B7A" w:rsidRPr="00102B7A" w14:paraId="1C5E7EEC" w14:textId="77777777" w:rsidTr="00C05108">
        <w:trPr>
          <w:cantSplit w:val="0"/>
          <w:trHeight w:hRule="exact" w:val="4323"/>
        </w:trPr>
        <w:tc>
          <w:tcPr>
            <w:tcW w:w="2694" w:type="dxa"/>
          </w:tcPr>
          <w:p w14:paraId="10B8E950" w14:textId="667C899E" w:rsidR="000E3434" w:rsidRPr="006638B0" w:rsidRDefault="000E3434" w:rsidP="006638B0">
            <w:pPr>
              <w:pStyle w:val="Heading4"/>
            </w:pPr>
            <w:r w:rsidRPr="006638B0">
              <w:t>TAFEs take steps to strengthen the climate resilience of assets and infrastructure</w:t>
            </w:r>
          </w:p>
        </w:tc>
        <w:tc>
          <w:tcPr>
            <w:tcW w:w="6520" w:type="dxa"/>
          </w:tcPr>
          <w:p w14:paraId="5AAAC1E0" w14:textId="77777777" w:rsidR="00E166ED" w:rsidRPr="006638B0" w:rsidRDefault="00E166ED" w:rsidP="006638B0">
            <w:pPr>
              <w:pStyle w:val="Heading3"/>
            </w:pPr>
            <w:r w:rsidRPr="006638B0">
              <w:t>OTCD led:</w:t>
            </w:r>
          </w:p>
          <w:p w14:paraId="67D94D3D" w14:textId="585F7782" w:rsidR="00CB6F6D" w:rsidRPr="006638B0" w:rsidRDefault="00E166ED" w:rsidP="0084267F">
            <w:pPr>
              <w:pStyle w:val="Heading5"/>
            </w:pPr>
            <w:r w:rsidRPr="006638B0">
              <w:t>The OTCD leads on Action 14 of the Education and Training Climate Change Adaptation Plan 2022-26, undertaking "Targeted activities with the TAFE sector to improve understanding of the impacts of climate change on TAFE buildings and infrastructure".</w:t>
            </w:r>
          </w:p>
          <w:p w14:paraId="11159C66" w14:textId="70EA4EAE" w:rsidR="00E72FB1" w:rsidRPr="006638B0" w:rsidRDefault="00E72FB1" w:rsidP="006638B0">
            <w:pPr>
              <w:pStyle w:val="Heading3"/>
            </w:pPr>
            <w:r w:rsidRPr="006638B0">
              <w:t>TAFE institutes and dual sector</w:t>
            </w:r>
            <w:r w:rsidR="00183733" w:rsidRPr="006638B0">
              <w:t xml:space="preserve"> university</w:t>
            </w:r>
            <w:r w:rsidRPr="006638B0">
              <w:t xml:space="preserve"> led:</w:t>
            </w:r>
          </w:p>
          <w:p w14:paraId="52B8500F" w14:textId="37D78B6C" w:rsidR="000E3434" w:rsidRPr="006638B0" w:rsidRDefault="000E3434" w:rsidP="0084267F">
            <w:pPr>
              <w:pStyle w:val="Heading5"/>
            </w:pPr>
            <w:r w:rsidRPr="006638B0">
              <w:t>Climate change considerations are reflected in all stages of the asset lifecycle (planning, acquisition, operation, and maintenance and disposal)</w:t>
            </w:r>
            <w:r w:rsidR="00EC3BF2" w:rsidRPr="006638B0">
              <w:t>.</w:t>
            </w:r>
          </w:p>
          <w:p w14:paraId="20DB692C" w14:textId="372D0FEF" w:rsidR="000E3434" w:rsidRPr="006638B0" w:rsidRDefault="000E3434" w:rsidP="0084267F">
            <w:pPr>
              <w:pStyle w:val="Heading5"/>
            </w:pPr>
            <w:r w:rsidRPr="006638B0">
              <w:t xml:space="preserve">Capital works projects to upgrade TAFE infrastructure include considerations to improve resilience to climate change impacts </w:t>
            </w:r>
            <w:r w:rsidR="00575DB0" w:rsidRPr="006638B0">
              <w:t>(</w:t>
            </w:r>
            <w:r w:rsidRPr="006638B0">
              <w:t>e.g.</w:t>
            </w:r>
            <w:r w:rsidR="002D09B9" w:rsidRPr="006638B0">
              <w:t>,</w:t>
            </w:r>
            <w:r w:rsidRPr="006638B0">
              <w:t xml:space="preserve"> </w:t>
            </w:r>
            <w:r w:rsidR="00575DB0" w:rsidRPr="006638B0">
              <w:t xml:space="preserve">the impact of </w:t>
            </w:r>
            <w:r w:rsidRPr="006638B0">
              <w:t xml:space="preserve">flood </w:t>
            </w:r>
            <w:r w:rsidR="00575DB0" w:rsidRPr="006638B0">
              <w:t>and</w:t>
            </w:r>
            <w:r w:rsidRPr="006638B0">
              <w:t xml:space="preserve"> high temp</w:t>
            </w:r>
            <w:r w:rsidR="00575DB0" w:rsidRPr="006638B0">
              <w:t>erature</w:t>
            </w:r>
            <w:r w:rsidRPr="006638B0">
              <w:t xml:space="preserve">s </w:t>
            </w:r>
            <w:r w:rsidR="00575DB0" w:rsidRPr="006638B0">
              <w:t xml:space="preserve">on </w:t>
            </w:r>
            <w:r w:rsidRPr="006638B0">
              <w:t>public safety</w:t>
            </w:r>
            <w:r w:rsidR="00575DB0" w:rsidRPr="006638B0">
              <w:t xml:space="preserve"> and the </w:t>
            </w:r>
            <w:r w:rsidRPr="006638B0">
              <w:t>risk to assets) to address/mitigate negative health impacts.</w:t>
            </w:r>
          </w:p>
        </w:tc>
      </w:tr>
    </w:tbl>
    <w:p w14:paraId="0DB52C9A" w14:textId="77777777" w:rsidR="004F47F1" w:rsidRDefault="004F47F1">
      <w:pPr>
        <w:suppressAutoHyphens w:val="0"/>
        <w:autoSpaceDE/>
        <w:autoSpaceDN/>
        <w:adjustRightInd/>
        <w:spacing w:after="0" w:line="240" w:lineRule="auto"/>
        <w:jc w:val="left"/>
        <w:textAlignment w:val="auto"/>
        <w:rPr>
          <w:b/>
          <w:bCs/>
          <w:color w:val="auto"/>
        </w:rPr>
      </w:pPr>
      <w:r>
        <w:br w:type="page"/>
      </w:r>
    </w:p>
    <w:p w14:paraId="7AE92743" w14:textId="29DFE732" w:rsidR="00C278B9" w:rsidRPr="006638B0" w:rsidRDefault="00C278B9" w:rsidP="006638B0">
      <w:pPr>
        <w:pStyle w:val="Heading3"/>
      </w:pPr>
      <w:r w:rsidRPr="006638B0">
        <w:lastRenderedPageBreak/>
        <w:t xml:space="preserve">Sustainability: How </w:t>
      </w:r>
      <w:r w:rsidR="00E72FB1" w:rsidRPr="006638B0">
        <w:t>Government</w:t>
      </w:r>
      <w:r w:rsidRPr="006638B0">
        <w:t xml:space="preserve"> will support these priorities</w:t>
      </w:r>
    </w:p>
    <w:p w14:paraId="5C705E7C" w14:textId="7B3CFE0F" w:rsidR="00F524E8" w:rsidRPr="00102B7A" w:rsidRDefault="00F524E8" w:rsidP="006638B0">
      <w:pPr>
        <w:pStyle w:val="Heading5"/>
      </w:pPr>
      <w:r w:rsidRPr="00102B7A">
        <w:t>The Government will implement its guarantee of 70 per cent of Vocational Education and Training (VET) funding going to TAFE.</w:t>
      </w:r>
    </w:p>
    <w:p w14:paraId="06381E8F" w14:textId="593271A9" w:rsidR="00C278B9" w:rsidRPr="00102B7A" w:rsidRDefault="00C278B9" w:rsidP="006638B0">
      <w:pPr>
        <w:pStyle w:val="Heading5"/>
      </w:pPr>
      <w:r w:rsidRPr="00102B7A">
        <w:t>The Minister will define the financial expectations for which TAFEs will be held accountable</w:t>
      </w:r>
      <w:r w:rsidR="00F8532E" w:rsidRPr="00102B7A">
        <w:t xml:space="preserve"> through proposed legislative reforms</w:t>
      </w:r>
      <w:r w:rsidRPr="00102B7A">
        <w:t>.</w:t>
      </w:r>
    </w:p>
    <w:p w14:paraId="3A062D9D" w14:textId="6C06DF3A" w:rsidR="00C278B9" w:rsidRPr="00102B7A" w:rsidRDefault="00C278B9" w:rsidP="006638B0">
      <w:pPr>
        <w:pStyle w:val="Heading5"/>
      </w:pPr>
      <w:r w:rsidRPr="00102B7A">
        <w:t xml:space="preserve">The OTCD will identify strong and strategic practices in financial reporting, </w:t>
      </w:r>
      <w:proofErr w:type="gramStart"/>
      <w:r w:rsidRPr="00102B7A">
        <w:t>analysis</w:t>
      </w:r>
      <w:proofErr w:type="gramEnd"/>
      <w:r w:rsidRPr="00102B7A">
        <w:t xml:space="preserve"> and performance and in meeting the requirements of the financial management framework</w:t>
      </w:r>
      <w:r w:rsidR="00575DB0" w:rsidRPr="00102B7A">
        <w:t>,</w:t>
      </w:r>
      <w:r w:rsidRPr="00102B7A">
        <w:t xml:space="preserve"> and will share these among the </w:t>
      </w:r>
      <w:r w:rsidR="00061A62" w:rsidRPr="00102B7A">
        <w:t>Network</w:t>
      </w:r>
      <w:r w:rsidRPr="00102B7A">
        <w:t>, supporting all TAFEs to adopt them.</w:t>
      </w:r>
    </w:p>
    <w:p w14:paraId="1A10BE86" w14:textId="151EE1D3" w:rsidR="00C278B9" w:rsidRPr="00102B7A" w:rsidRDefault="00C278B9" w:rsidP="006638B0">
      <w:pPr>
        <w:pStyle w:val="Heading5"/>
      </w:pPr>
      <w:r w:rsidRPr="00102B7A">
        <w:t xml:space="preserve">The OTCD will </w:t>
      </w:r>
      <w:r w:rsidR="0011415F" w:rsidRPr="00102B7A">
        <w:t>maintain</w:t>
      </w:r>
      <w:r w:rsidRPr="00102B7A">
        <w:t xml:space="preserve"> a consistent approach across the </w:t>
      </w:r>
      <w:r w:rsidR="00061A62" w:rsidRPr="00102B7A">
        <w:t>Network</w:t>
      </w:r>
      <w:r w:rsidRPr="00102B7A">
        <w:t xml:space="preserve"> to financial reporting and planning, including through an agreed financial performance and accountability cycle. </w:t>
      </w:r>
    </w:p>
    <w:p w14:paraId="0F69D008" w14:textId="67E1983F" w:rsidR="00C278B9" w:rsidRPr="00102B7A" w:rsidRDefault="00C278B9" w:rsidP="006638B0">
      <w:pPr>
        <w:pStyle w:val="Heading5"/>
      </w:pPr>
      <w:r w:rsidRPr="00102B7A">
        <w:t xml:space="preserve">The new financial performance framework will </w:t>
      </w:r>
      <w:r w:rsidR="00C10785" w:rsidRPr="00102B7A">
        <w:t xml:space="preserve">be refined to ensure it reflects a </w:t>
      </w:r>
      <w:r w:rsidRPr="00102B7A">
        <w:t xml:space="preserve">concise suite of financial reporting metrics and targets that measure the financial performance of the TAFE </w:t>
      </w:r>
      <w:r w:rsidR="00061A62" w:rsidRPr="00102B7A">
        <w:t>Network</w:t>
      </w:r>
      <w:r w:rsidRPr="00102B7A">
        <w:t xml:space="preserve"> and individual TAFE institutes</w:t>
      </w:r>
      <w:r w:rsidR="00575DB0" w:rsidRPr="00102B7A">
        <w:t xml:space="preserve">. It will </w:t>
      </w:r>
      <w:r w:rsidRPr="00102B7A">
        <w:t xml:space="preserve">provide a clear picture of both the financial sustainability and operating efficiency of the TAFE </w:t>
      </w:r>
      <w:r w:rsidR="00061A62" w:rsidRPr="00102B7A">
        <w:t>Network</w:t>
      </w:r>
      <w:r w:rsidRPr="00102B7A">
        <w:t xml:space="preserve"> and each TAFE institute, as well as the overall financial health of the </w:t>
      </w:r>
      <w:proofErr w:type="spellStart"/>
      <w:r w:rsidRPr="00102B7A">
        <w:t>organisation</w:t>
      </w:r>
      <w:proofErr w:type="spellEnd"/>
      <w:r w:rsidRPr="00102B7A">
        <w:t xml:space="preserve">. </w:t>
      </w:r>
    </w:p>
    <w:p w14:paraId="695E82F8" w14:textId="7BC78BD5" w:rsidR="00C278B9" w:rsidRPr="00102B7A" w:rsidRDefault="00C278B9" w:rsidP="006638B0">
      <w:pPr>
        <w:pStyle w:val="Heading5"/>
      </w:pPr>
      <w:r w:rsidRPr="00102B7A">
        <w:t xml:space="preserve">The OTCD will monitor costs associated with course delivery, Multiple Enterprise Agreement (MEA), workforce transition and asset </w:t>
      </w:r>
      <w:proofErr w:type="spellStart"/>
      <w:r w:rsidRPr="00102B7A">
        <w:t>utilisation</w:t>
      </w:r>
      <w:proofErr w:type="spellEnd"/>
      <w:r w:rsidRPr="00102B7A">
        <w:t xml:space="preserve"> at </w:t>
      </w:r>
      <w:r w:rsidR="00061A62" w:rsidRPr="00102B7A">
        <w:t>Network</w:t>
      </w:r>
      <w:r w:rsidRPr="00102B7A">
        <w:t xml:space="preserve"> and individual </w:t>
      </w:r>
      <w:r w:rsidR="00C96D38" w:rsidRPr="00102B7A">
        <w:t xml:space="preserve">institute </w:t>
      </w:r>
      <w:r w:rsidRPr="00102B7A">
        <w:t xml:space="preserve">levels. These outcomes will form the basis of the approach to financial performance management including additional </w:t>
      </w:r>
      <w:r w:rsidR="0090173E" w:rsidRPr="00102B7A">
        <w:t>advice to Government</w:t>
      </w:r>
      <w:r w:rsidRPr="00102B7A">
        <w:t xml:space="preserve"> on TAFE financial and budgetary matters.</w:t>
      </w:r>
    </w:p>
    <w:p w14:paraId="4CC28B54" w14:textId="30390C4A" w:rsidR="002F4610" w:rsidRPr="00102B7A" w:rsidRDefault="000C6535" w:rsidP="006638B0">
      <w:pPr>
        <w:pStyle w:val="Heading5"/>
      </w:pPr>
      <w:r w:rsidRPr="00102B7A">
        <w:t>Using</w:t>
      </w:r>
      <w:r w:rsidR="004A6AB1" w:rsidRPr="00102B7A">
        <w:t xml:space="preserve"> </w:t>
      </w:r>
      <w:r w:rsidRPr="00102B7A">
        <w:t>the</w:t>
      </w:r>
      <w:r w:rsidR="004A6AB1" w:rsidRPr="00102B7A">
        <w:t xml:space="preserve"> </w:t>
      </w:r>
      <w:r w:rsidR="004A6AB1" w:rsidRPr="00D53893">
        <w:t>Clean Economy Workforce Development Strategy</w:t>
      </w:r>
      <w:r w:rsidRPr="00102B7A">
        <w:t xml:space="preserve"> </w:t>
      </w:r>
      <w:r w:rsidR="004A6AB1" w:rsidRPr="00102B7A">
        <w:t>t</w:t>
      </w:r>
      <w:r w:rsidR="00BB45D3" w:rsidRPr="00102B7A">
        <w:t>he OTCD will support TAFEs to</w:t>
      </w:r>
      <w:r w:rsidR="00564596" w:rsidRPr="00102B7A">
        <w:t xml:space="preserve"> plan the training pathways </w:t>
      </w:r>
      <w:r w:rsidR="007E6FE6" w:rsidRPr="00102B7A">
        <w:t>and cross</w:t>
      </w:r>
      <w:r w:rsidR="007E6FE6" w:rsidRPr="00102B7A">
        <w:rPr>
          <w:rFonts w:ascii="Cambria Math" w:hAnsi="Cambria Math" w:cs="Cambria Math"/>
        </w:rPr>
        <w:t>‑</w:t>
      </w:r>
      <w:r w:rsidR="007E6FE6" w:rsidRPr="00102B7A">
        <w:t xml:space="preserve">disciplinary approaches </w:t>
      </w:r>
      <w:r w:rsidR="00564596" w:rsidRPr="00102B7A">
        <w:t>needed to meet the growing demand for skills as Victoria moves towards net-zero emissions by 2045</w:t>
      </w:r>
      <w:r w:rsidR="00015D68" w:rsidRPr="00102B7A">
        <w:t>.</w:t>
      </w:r>
      <w:r w:rsidR="005E656A" w:rsidRPr="00102B7A">
        <w:t xml:space="preserve"> </w:t>
      </w:r>
    </w:p>
    <w:p w14:paraId="3D71FBE6" w14:textId="319663F7" w:rsidR="00F8532E" w:rsidRPr="00102B7A" w:rsidRDefault="00C04850" w:rsidP="006638B0">
      <w:pPr>
        <w:pStyle w:val="Heading5"/>
      </w:pPr>
      <w:r w:rsidRPr="006638B0">
        <w:t>The OTCD will undertake analysis of climate forecasts to better understand climate risks to TAFE assets.</w:t>
      </w:r>
    </w:p>
    <w:p w14:paraId="73E73B1C" w14:textId="77777777" w:rsidR="00F8532E" w:rsidRPr="00102B7A" w:rsidRDefault="00F8532E" w:rsidP="00102B7A">
      <w:pPr>
        <w:pStyle w:val="Heading1"/>
      </w:pPr>
      <w:r w:rsidRPr="00102B7A">
        <w:br w:type="page"/>
      </w:r>
    </w:p>
    <w:p w14:paraId="51CEC66B" w14:textId="3E2690D5" w:rsidR="00C278B9" w:rsidRPr="00102B7A" w:rsidRDefault="00D549BE" w:rsidP="006638B0">
      <w:pPr>
        <w:pStyle w:val="Heading2"/>
      </w:pPr>
      <w:bookmarkStart w:id="34" w:name="_Toc148100332"/>
      <w:r w:rsidRPr="00102B7A">
        <w:lastRenderedPageBreak/>
        <w:t>2024</w:t>
      </w:r>
      <w:r w:rsidR="00E72FB1" w:rsidRPr="00102B7A">
        <w:t xml:space="preserve"> TAFE Network </w:t>
      </w:r>
      <w:r w:rsidR="00C278B9" w:rsidRPr="00102B7A">
        <w:t>Priorit</w:t>
      </w:r>
      <w:r w:rsidR="00E72FB1" w:rsidRPr="00102B7A">
        <w:t>ies</w:t>
      </w:r>
      <w:r w:rsidR="00C278B9" w:rsidRPr="00102B7A">
        <w:t xml:space="preserve">: Staff </w:t>
      </w:r>
      <w:bookmarkEnd w:id="34"/>
    </w:p>
    <w:p w14:paraId="3365F065" w14:textId="2DFFE64E" w:rsidR="00C278B9" w:rsidRPr="00102B7A" w:rsidRDefault="00C278B9" w:rsidP="006638B0">
      <w:pPr>
        <w:pStyle w:val="Heading4"/>
        <w:rPr>
          <w:lang w:val="en-AU"/>
        </w:rPr>
      </w:pPr>
      <w:r w:rsidRPr="00102B7A">
        <w:rPr>
          <w:lang w:val="en-AU"/>
        </w:rPr>
        <w:t xml:space="preserve">TAFEs will build staff capability, </w:t>
      </w:r>
      <w:proofErr w:type="gramStart"/>
      <w:r w:rsidRPr="00102B7A">
        <w:rPr>
          <w:lang w:val="en-AU"/>
        </w:rPr>
        <w:t>capacity</w:t>
      </w:r>
      <w:proofErr w:type="gramEnd"/>
      <w:r w:rsidRPr="00102B7A">
        <w:rPr>
          <w:lang w:val="en-AU"/>
        </w:rPr>
        <w:t xml:space="preserve"> and confidence through a </w:t>
      </w:r>
      <w:r w:rsidR="00061A62" w:rsidRPr="00102B7A">
        <w:rPr>
          <w:lang w:val="en-AU"/>
        </w:rPr>
        <w:t>Network</w:t>
      </w:r>
      <w:r w:rsidRPr="00102B7A">
        <w:rPr>
          <w:lang w:val="en-AU"/>
        </w:rPr>
        <w:t>-wide approach to workforce development, support and continuous improvement</w:t>
      </w:r>
      <w:r w:rsidR="007B5B06" w:rsidRPr="00102B7A">
        <w:rPr>
          <w:lang w:val="en-AU"/>
        </w:rPr>
        <w:t xml:space="preserve">, encompassing all areas of TAFEs’ workforce, including teaching and non-teaching staff. </w:t>
      </w:r>
    </w:p>
    <w:p w14:paraId="68C40EDB" w14:textId="77777777" w:rsidR="00C278B9" w:rsidRPr="006638B0" w:rsidRDefault="00C278B9" w:rsidP="006638B0">
      <w:pPr>
        <w:pStyle w:val="Heading3"/>
      </w:pPr>
      <w:r w:rsidRPr="006638B0">
        <w:t xml:space="preserve">Staff: Key priorities </w:t>
      </w:r>
    </w:p>
    <w:p w14:paraId="447AE24B" w14:textId="4A13EBAC" w:rsidR="00C278B9" w:rsidRPr="00102B7A" w:rsidRDefault="00C278B9" w:rsidP="006638B0">
      <w:pPr>
        <w:pStyle w:val="Heading5"/>
      </w:pPr>
      <w:r w:rsidRPr="00102B7A">
        <w:t>TAFE is an employer of choice for highly skilled staff and teachers, including those from diverse backgrounds.</w:t>
      </w:r>
    </w:p>
    <w:p w14:paraId="464D2AE0" w14:textId="5C406733" w:rsidR="00C61A16" w:rsidRPr="00102B7A" w:rsidRDefault="00C61A16" w:rsidP="006638B0">
      <w:pPr>
        <w:pStyle w:val="Heading5"/>
      </w:pPr>
      <w:r w:rsidRPr="00102B7A">
        <w:t xml:space="preserve">TAFE is a culturally safe employer for Aboriginal Victorians. The TAFE Network will develop and adopt a Network-wide approach to supporting and increasing the Aboriginal workforce, including in leadership roles. The Network will work together to build the skills of its workforce to effectively engage with Victorian Aboriginal communities, and to embed the self-determination enablers and guiding principles in policies and programs to ensure this is part of core business. </w:t>
      </w:r>
    </w:p>
    <w:p w14:paraId="0DDD4D14" w14:textId="77777777" w:rsidR="00575DB0" w:rsidRPr="00102B7A" w:rsidRDefault="00C278B9" w:rsidP="006638B0">
      <w:pPr>
        <w:pStyle w:val="Heading5"/>
      </w:pPr>
      <w:r w:rsidRPr="00102B7A">
        <w:t xml:space="preserve">TAFE institutes will </w:t>
      </w:r>
      <w:r w:rsidR="00C10785" w:rsidRPr="00102B7A">
        <w:t>identify</w:t>
      </w:r>
      <w:r w:rsidRPr="00102B7A">
        <w:t xml:space="preserve"> </w:t>
      </w:r>
      <w:r w:rsidR="00061A62" w:rsidRPr="00102B7A">
        <w:t>Network</w:t>
      </w:r>
      <w:r w:rsidRPr="00102B7A">
        <w:t xml:space="preserve"> initiatives to ensure increased staff satisfaction and wellbeing, including through</w:t>
      </w:r>
      <w:r w:rsidR="00575DB0" w:rsidRPr="00102B7A">
        <w:t>:</w:t>
      </w:r>
    </w:p>
    <w:p w14:paraId="77A236AC" w14:textId="77777777" w:rsidR="005F042F" w:rsidRPr="00102B7A" w:rsidRDefault="00C278B9" w:rsidP="006638B0">
      <w:pPr>
        <w:pStyle w:val="Heading6"/>
      </w:pPr>
      <w:r w:rsidRPr="00102B7A">
        <w:t xml:space="preserve">focused and purposeful actions to deepen diversity and inclusion at TAFE </w:t>
      </w:r>
      <w:proofErr w:type="gramStart"/>
      <w:r w:rsidRPr="00102B7A">
        <w:t>workplaces;</w:t>
      </w:r>
      <w:proofErr w:type="gramEnd"/>
      <w:r w:rsidRPr="00102B7A">
        <w:t xml:space="preserve"> </w:t>
      </w:r>
    </w:p>
    <w:p w14:paraId="60227215" w14:textId="5D202480" w:rsidR="00575DB0" w:rsidRPr="00102B7A" w:rsidRDefault="005F042F" w:rsidP="006638B0">
      <w:pPr>
        <w:pStyle w:val="Heading6"/>
      </w:pPr>
      <w:r w:rsidRPr="00102B7A">
        <w:t>actions to promote physically and mentally healthy workplaces</w:t>
      </w:r>
      <w:r w:rsidR="00A77831" w:rsidRPr="00102B7A">
        <w:t>;</w:t>
      </w:r>
      <w:r w:rsidRPr="00102B7A">
        <w:t xml:space="preserve"> </w:t>
      </w:r>
      <w:r w:rsidR="00C278B9" w:rsidRPr="00102B7A">
        <w:t xml:space="preserve">and </w:t>
      </w:r>
    </w:p>
    <w:p w14:paraId="39481EF4" w14:textId="7D05BCA1" w:rsidR="00C278B9" w:rsidRPr="00102B7A" w:rsidRDefault="00C278B9" w:rsidP="006638B0">
      <w:pPr>
        <w:pStyle w:val="Heading6"/>
      </w:pPr>
      <w:r w:rsidRPr="00102B7A">
        <w:t xml:space="preserve">increased support for industry engagement and professional development to help staff to maintain professional currency and pursue innovation in teaching practice. </w:t>
      </w:r>
    </w:p>
    <w:p w14:paraId="61238F1E" w14:textId="6BB30B4A" w:rsidR="00281560" w:rsidRPr="00102B7A" w:rsidRDefault="006545EE" w:rsidP="006638B0">
      <w:pPr>
        <w:pStyle w:val="Heading5"/>
      </w:pPr>
      <w:r w:rsidRPr="00102B7A">
        <w:t xml:space="preserve">Through </w:t>
      </w:r>
      <w:r w:rsidR="00FF6D7B" w:rsidRPr="00102B7A">
        <w:t>participation</w:t>
      </w:r>
      <w:r w:rsidRPr="00102B7A">
        <w:t xml:space="preserve"> in the TAFE Wor</w:t>
      </w:r>
      <w:r w:rsidR="00FF6D7B" w:rsidRPr="00102B7A">
        <w:t>k</w:t>
      </w:r>
      <w:r w:rsidRPr="00102B7A">
        <w:t xml:space="preserve">force Taskforce, </w:t>
      </w:r>
      <w:r w:rsidR="00281560" w:rsidRPr="00102B7A">
        <w:t>TAFE</w:t>
      </w:r>
      <w:r w:rsidR="00E05FA3" w:rsidRPr="00102B7A">
        <w:t>s</w:t>
      </w:r>
      <w:r w:rsidR="00281560" w:rsidRPr="00102B7A">
        <w:t xml:space="preserve"> will </w:t>
      </w:r>
      <w:r w:rsidR="00973BB2" w:rsidRPr="00102B7A">
        <w:t xml:space="preserve">work with the OTCD to </w:t>
      </w:r>
      <w:r w:rsidR="00281560" w:rsidRPr="00102B7A">
        <w:t xml:space="preserve">develop </w:t>
      </w:r>
      <w:r w:rsidR="00E05FA3" w:rsidRPr="00102B7A">
        <w:t xml:space="preserve">Network-wide </w:t>
      </w:r>
      <w:r w:rsidR="00281560" w:rsidRPr="00102B7A">
        <w:t>workforce strateg</w:t>
      </w:r>
      <w:r w:rsidR="00BB3489" w:rsidRPr="00102B7A">
        <w:t>ies</w:t>
      </w:r>
      <w:r w:rsidR="00281560" w:rsidRPr="00102B7A">
        <w:t xml:space="preserve"> </w:t>
      </w:r>
      <w:r w:rsidR="00E05FA3" w:rsidRPr="00102B7A">
        <w:t>aim</w:t>
      </w:r>
      <w:r w:rsidR="00F23547" w:rsidRPr="00102B7A">
        <w:t>ed</w:t>
      </w:r>
      <w:r w:rsidR="00E05FA3" w:rsidRPr="00102B7A">
        <w:t xml:space="preserve"> </w:t>
      </w:r>
      <w:r w:rsidR="00545D86" w:rsidRPr="00102B7A">
        <w:t>at supporting collaboration and</w:t>
      </w:r>
      <w:r w:rsidR="00E05FA3" w:rsidRPr="00102B7A">
        <w:t xml:space="preserve"> </w:t>
      </w:r>
      <w:r w:rsidR="00C5203B" w:rsidRPr="00102B7A">
        <w:t xml:space="preserve">increasing network capacity, </w:t>
      </w:r>
      <w:r w:rsidR="00E05FA3" w:rsidRPr="00102B7A">
        <w:t xml:space="preserve">attracting </w:t>
      </w:r>
      <w:r w:rsidR="00C5203B" w:rsidRPr="00102B7A">
        <w:t>talent,</w:t>
      </w:r>
      <w:r w:rsidR="00E05FA3" w:rsidRPr="00102B7A">
        <w:t xml:space="preserve"> and supporting retention</w:t>
      </w:r>
      <w:r w:rsidR="00F23547" w:rsidRPr="00102B7A">
        <w:t xml:space="preserve"> in priority areas where there are skills shortages</w:t>
      </w:r>
      <w:r w:rsidR="00E05FA3" w:rsidRPr="00102B7A">
        <w:t>,</w:t>
      </w:r>
      <w:r w:rsidR="00F23547" w:rsidRPr="00102B7A">
        <w:t xml:space="preserve"> as well as supporting</w:t>
      </w:r>
      <w:r w:rsidR="00E05FA3" w:rsidRPr="00102B7A">
        <w:t xml:space="preserve"> job satisfaction, career development, wellbeing and</w:t>
      </w:r>
      <w:r w:rsidR="00973BB2" w:rsidRPr="00102B7A">
        <w:t xml:space="preserve"> diversity and inclusion.</w:t>
      </w:r>
      <w:r w:rsidR="009B01F7" w:rsidRPr="00102B7A">
        <w:t xml:space="preserve"> </w:t>
      </w:r>
      <w:r w:rsidR="007B65E7" w:rsidRPr="00102B7A">
        <w:t xml:space="preserve">TAFE Network </w:t>
      </w:r>
      <w:r w:rsidR="003C21FA" w:rsidRPr="00102B7A">
        <w:t xml:space="preserve">workforce </w:t>
      </w:r>
      <w:r w:rsidR="00D00026" w:rsidRPr="00102B7A">
        <w:t>strategies</w:t>
      </w:r>
      <w:r w:rsidR="007B65E7" w:rsidRPr="00102B7A">
        <w:t xml:space="preserve"> will </w:t>
      </w:r>
      <w:r w:rsidR="003545AA" w:rsidRPr="00102B7A">
        <w:t>align</w:t>
      </w:r>
      <w:r w:rsidR="007B65E7" w:rsidRPr="00102B7A">
        <w:t xml:space="preserve"> </w:t>
      </w:r>
      <w:r w:rsidR="003545AA" w:rsidRPr="00102B7A">
        <w:t xml:space="preserve">with broader VET workforce </w:t>
      </w:r>
      <w:r w:rsidR="00D00026" w:rsidRPr="00102B7A">
        <w:t>plans</w:t>
      </w:r>
      <w:r w:rsidR="003545AA" w:rsidRPr="00102B7A">
        <w:t xml:space="preserve"> including </w:t>
      </w:r>
      <w:r w:rsidR="001D679B" w:rsidRPr="00102B7A">
        <w:t>the VSA’s VET Workforce Strategy and the Australian Government’s VET Workf</w:t>
      </w:r>
      <w:r w:rsidR="002F1A07" w:rsidRPr="00102B7A">
        <w:t>or</w:t>
      </w:r>
      <w:r w:rsidR="001D679B" w:rsidRPr="00102B7A">
        <w:t>ce Blueprint</w:t>
      </w:r>
      <w:r w:rsidR="002F1A07" w:rsidRPr="00102B7A">
        <w:t>.</w:t>
      </w:r>
    </w:p>
    <w:p w14:paraId="4A7D6922" w14:textId="3736163F" w:rsidR="005F7F65" w:rsidRPr="00102B7A" w:rsidRDefault="005F7F65" w:rsidP="006638B0">
      <w:pPr>
        <w:pStyle w:val="Heading5"/>
      </w:pPr>
      <w:r w:rsidRPr="00102B7A">
        <w:t>TAFEs will actively work towards addressing recommendations in the Commission for Gender Equality in the Public Sector’s baseline report through their gender equality action plans.</w:t>
      </w:r>
    </w:p>
    <w:p w14:paraId="6A9A3B9B" w14:textId="7AF59BDF" w:rsidR="00C278B9" w:rsidRPr="00102B7A" w:rsidRDefault="00C278B9" w:rsidP="006638B0">
      <w:pPr>
        <w:pStyle w:val="Heading5"/>
      </w:pPr>
      <w:r w:rsidRPr="00102B7A">
        <w:t xml:space="preserve">TAFEs will work with the OTCD to develop, </w:t>
      </w:r>
      <w:proofErr w:type="gramStart"/>
      <w:r w:rsidRPr="00102B7A">
        <w:t>maintain</w:t>
      </w:r>
      <w:proofErr w:type="gramEnd"/>
      <w:r w:rsidRPr="00102B7A">
        <w:t xml:space="preserve"> and share best practice teaching and assessment materials to support teaching staff to apply the best available strategies and resources in their teaching practice. This will support students to achieve their </w:t>
      </w:r>
      <w:r w:rsidR="00E902CB" w:rsidRPr="00102B7A">
        <w:t xml:space="preserve">best </w:t>
      </w:r>
      <w:r w:rsidRPr="00102B7A">
        <w:t xml:space="preserve">and the TAFE </w:t>
      </w:r>
      <w:r w:rsidR="00061A62" w:rsidRPr="00102B7A">
        <w:t>Network</w:t>
      </w:r>
      <w:r w:rsidRPr="00102B7A">
        <w:t xml:space="preserve"> to set the benchmark for quality in applied learning in Victoria</w:t>
      </w:r>
      <w:r w:rsidR="00F37A6E" w:rsidRPr="00102B7A">
        <w:t>, enhancing its reputation both as an employer and an educa</w:t>
      </w:r>
      <w:r w:rsidR="00EA0429" w:rsidRPr="00102B7A">
        <w:t>tion</w:t>
      </w:r>
      <w:r w:rsidR="00F37A6E" w:rsidRPr="00102B7A">
        <w:t xml:space="preserve"> provider of choice</w:t>
      </w:r>
      <w:r w:rsidRPr="00102B7A">
        <w:t>.</w:t>
      </w:r>
    </w:p>
    <w:p w14:paraId="39ED8FF6" w14:textId="5954F6B4" w:rsidR="00C278B9" w:rsidRPr="00102B7A" w:rsidRDefault="00C278B9" w:rsidP="006638B0">
      <w:pPr>
        <w:pStyle w:val="Heading5"/>
      </w:pPr>
      <w:r w:rsidRPr="00102B7A">
        <w:t>TAFEs will undertake targeted activities to improve staff understanding of the impacts of climate change, to support the teaching workforce to prepare learners to understand climate change and its impact on them and the world</w:t>
      </w:r>
      <w:r w:rsidR="00E346F4" w:rsidRPr="00102B7A">
        <w:t xml:space="preserve"> around them</w:t>
      </w:r>
      <w:r w:rsidRPr="00102B7A">
        <w:t>.</w:t>
      </w:r>
    </w:p>
    <w:p w14:paraId="72542838" w14:textId="77777777" w:rsidR="006638B0" w:rsidRDefault="007B5B06" w:rsidP="006A1EB9">
      <w:pPr>
        <w:pStyle w:val="Heading5"/>
      </w:pPr>
      <w:r w:rsidRPr="00102B7A">
        <w:t xml:space="preserve">TAFEs implement workplace relations changes arising from the new Fair Work Legislation (Secure Jobs, Better Pay) Act 2022 aimed at </w:t>
      </w:r>
      <w:proofErr w:type="spellStart"/>
      <w:r w:rsidRPr="00102B7A">
        <w:t>modernising</w:t>
      </w:r>
      <w:proofErr w:type="spellEnd"/>
      <w:r w:rsidRPr="00102B7A">
        <w:t xml:space="preserve"> the bargaining system, improving job security and workplace conditions, promoting gender equity and legislating changes related to compliance and enforcement.</w:t>
      </w:r>
    </w:p>
    <w:p w14:paraId="5CB68477" w14:textId="77777777" w:rsidR="006638B0" w:rsidRDefault="006638B0">
      <w:pPr>
        <w:suppressAutoHyphens w:val="0"/>
        <w:autoSpaceDE/>
        <w:autoSpaceDN/>
        <w:adjustRightInd/>
        <w:spacing w:after="0" w:line="240" w:lineRule="auto"/>
        <w:jc w:val="left"/>
        <w:textAlignment w:val="auto"/>
        <w:rPr>
          <w:color w:val="auto"/>
        </w:rPr>
      </w:pPr>
      <w:r>
        <w:br w:type="page"/>
      </w:r>
    </w:p>
    <w:p w14:paraId="77C0BF59" w14:textId="2197EEF2" w:rsidR="00BE5644" w:rsidRPr="006638B0" w:rsidRDefault="00BE5644" w:rsidP="006638B0">
      <w:pPr>
        <w:pStyle w:val="Heading3"/>
      </w:pPr>
      <w:r w:rsidRPr="006638B0">
        <w:lastRenderedPageBreak/>
        <w:t>Staff</w:t>
      </w:r>
      <w:r w:rsidR="00E572D9" w:rsidRPr="006638B0">
        <w:t>: what will success look like?</w:t>
      </w:r>
    </w:p>
    <w:tbl>
      <w:tblPr>
        <w:tblStyle w:val="DJSIR"/>
        <w:tblpPr w:leftFromText="180" w:rightFromText="180" w:vertAnchor="text" w:horzAnchor="margin" w:tblpY="32"/>
        <w:tblW w:w="9214" w:type="dxa"/>
        <w:tblBorders>
          <w:left w:val="single" w:sz="4" w:space="0" w:color="auto"/>
          <w:right w:val="single" w:sz="4" w:space="0" w:color="auto"/>
          <w:insideV w:val="single" w:sz="4" w:space="0" w:color="auto"/>
        </w:tblBorders>
        <w:tblLayout w:type="fixed"/>
        <w:tblLook w:val="0620" w:firstRow="1" w:lastRow="0" w:firstColumn="0" w:lastColumn="0" w:noHBand="1" w:noVBand="1"/>
      </w:tblPr>
      <w:tblGrid>
        <w:gridCol w:w="2694"/>
        <w:gridCol w:w="6520"/>
      </w:tblGrid>
      <w:tr w:rsidR="00102B7A" w:rsidRPr="00102B7A" w14:paraId="05339BC6" w14:textId="77777777" w:rsidTr="006638B0">
        <w:trPr>
          <w:cnfStyle w:val="100000000000" w:firstRow="1" w:lastRow="0" w:firstColumn="0" w:lastColumn="0" w:oddVBand="0" w:evenVBand="0" w:oddHBand="0" w:evenHBand="0" w:firstRowFirstColumn="0" w:firstRowLastColumn="0" w:lastRowFirstColumn="0" w:lastRowLastColumn="0"/>
          <w:cantSplit w:val="0"/>
          <w:trHeight w:hRule="exact" w:val="453"/>
          <w:tblHeader/>
        </w:trPr>
        <w:tc>
          <w:tcPr>
            <w:tcW w:w="2694" w:type="dxa"/>
            <w:shd w:val="clear" w:color="auto" w:fill="auto"/>
          </w:tcPr>
          <w:p w14:paraId="4B233054" w14:textId="77777777" w:rsidR="00BE5644" w:rsidRPr="00102B7A" w:rsidRDefault="00BE5644" w:rsidP="006638B0">
            <w:pPr>
              <w:pStyle w:val="Heading3"/>
            </w:pPr>
            <w:r w:rsidRPr="00102B7A">
              <w:t>Priority</w:t>
            </w:r>
          </w:p>
        </w:tc>
        <w:tc>
          <w:tcPr>
            <w:tcW w:w="6520" w:type="dxa"/>
            <w:shd w:val="clear" w:color="auto" w:fill="auto"/>
          </w:tcPr>
          <w:p w14:paraId="2001EED1" w14:textId="51877589" w:rsidR="00BE5644" w:rsidRPr="00102B7A" w:rsidRDefault="00E72FB1" w:rsidP="006638B0">
            <w:pPr>
              <w:pStyle w:val="Heading3"/>
            </w:pPr>
            <w:r w:rsidRPr="00102B7A">
              <w:t xml:space="preserve">What will success for the TAFE Network look like in </w:t>
            </w:r>
            <w:r w:rsidR="00D549BE" w:rsidRPr="00102B7A">
              <w:t>2024</w:t>
            </w:r>
            <w:r w:rsidRPr="00102B7A">
              <w:t>?</w:t>
            </w:r>
          </w:p>
        </w:tc>
      </w:tr>
      <w:tr w:rsidR="00102B7A" w:rsidRPr="00102B7A" w14:paraId="0731E4A4" w14:textId="77777777" w:rsidTr="006638B0">
        <w:trPr>
          <w:cantSplit w:val="0"/>
          <w:trHeight w:hRule="exact" w:val="7632"/>
        </w:trPr>
        <w:tc>
          <w:tcPr>
            <w:tcW w:w="0" w:type="dxa"/>
          </w:tcPr>
          <w:p w14:paraId="27EBB839" w14:textId="3ABA6D4B" w:rsidR="00BE5644" w:rsidRPr="006638B0" w:rsidRDefault="00BE5644" w:rsidP="006638B0">
            <w:pPr>
              <w:pStyle w:val="Heading4"/>
            </w:pPr>
            <w:r w:rsidRPr="006638B0">
              <w:t xml:space="preserve">TAFEs work with Government to adopt a </w:t>
            </w:r>
            <w:r w:rsidR="00061A62" w:rsidRPr="006638B0">
              <w:t>Network</w:t>
            </w:r>
            <w:r w:rsidRPr="006638B0">
              <w:t xml:space="preserve"> approach to TAFE staff development to drive improved outcomes including excellence in teaching and student support.</w:t>
            </w:r>
          </w:p>
        </w:tc>
        <w:tc>
          <w:tcPr>
            <w:tcW w:w="0" w:type="dxa"/>
          </w:tcPr>
          <w:p w14:paraId="3A542DC7" w14:textId="1A1148B8" w:rsidR="00E72FB1" w:rsidRPr="006638B0" w:rsidRDefault="00E72FB1" w:rsidP="006638B0">
            <w:pPr>
              <w:pStyle w:val="Heading3"/>
            </w:pPr>
            <w:r w:rsidRPr="006638B0">
              <w:t>OTCD led:</w:t>
            </w:r>
          </w:p>
          <w:p w14:paraId="5F152A30" w14:textId="5EB07804" w:rsidR="00C72996" w:rsidRPr="006638B0" w:rsidRDefault="006832AF" w:rsidP="006638B0">
            <w:pPr>
              <w:pStyle w:val="Heading5"/>
            </w:pPr>
            <w:r w:rsidRPr="006638B0">
              <w:t xml:space="preserve">TAFE institutes will work with the OTCD to develop Network </w:t>
            </w:r>
            <w:r w:rsidR="00D9297E" w:rsidRPr="006638B0">
              <w:t>strategies that</w:t>
            </w:r>
            <w:r w:rsidRPr="006638B0">
              <w:t xml:space="preserve"> </w:t>
            </w:r>
            <w:r w:rsidR="00E653EE" w:rsidRPr="006638B0">
              <w:t xml:space="preserve">support </w:t>
            </w:r>
            <w:r w:rsidRPr="006638B0">
              <w:t>TAFE</w:t>
            </w:r>
            <w:r w:rsidR="00E653EE" w:rsidRPr="006638B0">
              <w:t>s</w:t>
            </w:r>
            <w:r w:rsidRPr="006638B0">
              <w:t xml:space="preserve"> to attract and </w:t>
            </w:r>
            <w:r w:rsidR="00E653EE" w:rsidRPr="006638B0">
              <w:t>retain quality staff</w:t>
            </w:r>
            <w:r w:rsidRPr="006638B0">
              <w:t xml:space="preserve">, support </w:t>
            </w:r>
            <w:r w:rsidR="00362A09" w:rsidRPr="006638B0">
              <w:t xml:space="preserve">professional and </w:t>
            </w:r>
            <w:r w:rsidRPr="006638B0">
              <w:t xml:space="preserve">leadership </w:t>
            </w:r>
            <w:proofErr w:type="gramStart"/>
            <w:r w:rsidRPr="006638B0">
              <w:t>development</w:t>
            </w:r>
            <w:proofErr w:type="gramEnd"/>
            <w:r w:rsidRPr="006638B0">
              <w:t xml:space="preserve"> and </w:t>
            </w:r>
            <w:r w:rsidR="00362A09" w:rsidRPr="006638B0">
              <w:t>support increased</w:t>
            </w:r>
            <w:r w:rsidRPr="006638B0">
              <w:t xml:space="preserve"> job satisfaction, career </w:t>
            </w:r>
            <w:r w:rsidR="00362A09" w:rsidRPr="006638B0">
              <w:t>progression</w:t>
            </w:r>
            <w:r w:rsidRPr="006638B0">
              <w:t>, wellbeing, and diversity and inclusion</w:t>
            </w:r>
            <w:r w:rsidR="00362A09" w:rsidRPr="006638B0">
              <w:t xml:space="preserve"> among the TAFE Network workforces</w:t>
            </w:r>
            <w:r w:rsidRPr="006638B0">
              <w:t xml:space="preserve">. </w:t>
            </w:r>
            <w:r w:rsidR="00C72996" w:rsidRPr="006638B0">
              <w:t xml:space="preserve">For example, the OTCD will support the rollout of a TAFE Network Career Pathway (WorkSafe) Program </w:t>
            </w:r>
            <w:r w:rsidR="00BC53DC" w:rsidRPr="006638B0">
              <w:t xml:space="preserve">that </w:t>
            </w:r>
            <w:r w:rsidR="002A6DB2" w:rsidRPr="006638B0">
              <w:t>provi</w:t>
            </w:r>
            <w:r w:rsidR="00BC53DC" w:rsidRPr="006638B0">
              <w:t>des</w:t>
            </w:r>
            <w:r w:rsidR="002A6DB2" w:rsidRPr="006638B0">
              <w:t xml:space="preserve"> a supported pathway for people recovering from work-related injury to start new careers as TAFE</w:t>
            </w:r>
            <w:r w:rsidR="00BC53DC" w:rsidRPr="006638B0">
              <w:t xml:space="preserve"> </w:t>
            </w:r>
            <w:r w:rsidR="002A6DB2" w:rsidRPr="006638B0">
              <w:t>trainers. The program aims to overcome some of the existing barriers to recruiting TAFE teachers, while providing opportunities for</w:t>
            </w:r>
            <w:r w:rsidR="00150B2F" w:rsidRPr="006638B0">
              <w:t xml:space="preserve"> </w:t>
            </w:r>
            <w:r w:rsidR="002A6DB2" w:rsidRPr="006638B0">
              <w:t>injured workers who are unable to return to their previous jobs, to undertake a meaningful career transition by retraining as TAFE</w:t>
            </w:r>
            <w:r w:rsidR="00150B2F" w:rsidRPr="006638B0">
              <w:t xml:space="preserve"> </w:t>
            </w:r>
            <w:r w:rsidR="002A6DB2" w:rsidRPr="006638B0">
              <w:t>teachers in their existing skill areas.</w:t>
            </w:r>
          </w:p>
          <w:p w14:paraId="16F99082" w14:textId="77777777" w:rsidR="002A4F49" w:rsidRPr="006638B0" w:rsidRDefault="002A4F49" w:rsidP="006638B0">
            <w:pPr>
              <w:pStyle w:val="Heading5"/>
            </w:pPr>
            <w:r w:rsidRPr="006638B0">
              <w:t>TAFE institutes will share VET workforce data to support the VSA’s VET Workforce Development strategy project and support the development of the VET Development Centre’s professional learning workplan to ensure staff needs are reflected in the learning suite.</w:t>
            </w:r>
          </w:p>
          <w:p w14:paraId="08CE8054" w14:textId="0105D8CD" w:rsidR="00E72FB1" w:rsidRPr="006638B0" w:rsidRDefault="00E72FB1" w:rsidP="006638B0">
            <w:pPr>
              <w:pStyle w:val="Heading3"/>
            </w:pPr>
            <w:r w:rsidRPr="006638B0">
              <w:t xml:space="preserve">TAFE institutes and dual sector </w:t>
            </w:r>
            <w:r w:rsidR="00183733" w:rsidRPr="006638B0">
              <w:t xml:space="preserve">university </w:t>
            </w:r>
            <w:r w:rsidRPr="006638B0">
              <w:t>led:</w:t>
            </w:r>
          </w:p>
          <w:p w14:paraId="65A50807" w14:textId="597ED96C" w:rsidR="00471C1B" w:rsidRPr="006638B0" w:rsidRDefault="006832AF" w:rsidP="006638B0">
            <w:pPr>
              <w:pStyle w:val="Heading5"/>
            </w:pPr>
            <w:r w:rsidRPr="006638B0">
              <w:t xml:space="preserve">TAFEs </w:t>
            </w:r>
            <w:r w:rsidR="00A9727E" w:rsidRPr="006638B0">
              <w:t>will</w:t>
            </w:r>
            <w:r w:rsidRPr="006638B0">
              <w:t xml:space="preserve"> build cultural capability across their institutions and work towards increasing workplace diversity, including in senior leadership and on governing boards and will work towards pay equity and addressing recommendations in the Commission for Gender Equality in the Public</w:t>
            </w:r>
            <w:r w:rsidR="00F143B2" w:rsidRPr="006638B0">
              <w:t xml:space="preserve"> </w:t>
            </w:r>
            <w:r w:rsidRPr="006638B0">
              <w:t xml:space="preserve">Sector’s workplace gender audit data analysis Baseline Report, aligned to TAFEs’ gender Equality Action Plans.  </w:t>
            </w:r>
          </w:p>
        </w:tc>
      </w:tr>
    </w:tbl>
    <w:p w14:paraId="259D9FE1" w14:textId="1BE28AC1" w:rsidR="00BE5644" w:rsidRPr="00102B7A" w:rsidRDefault="00BE5644" w:rsidP="00C278B9">
      <w:pPr>
        <w:rPr>
          <w:b/>
          <w:bCs/>
          <w:color w:val="auto"/>
        </w:rPr>
      </w:pPr>
    </w:p>
    <w:p w14:paraId="5CF1C928" w14:textId="342689C2" w:rsidR="00246AA3" w:rsidRPr="00102B7A" w:rsidRDefault="00246AA3" w:rsidP="003B0D28">
      <w:pPr>
        <w:pStyle w:val="Heading3"/>
      </w:pPr>
      <w:r w:rsidRPr="00102B7A">
        <w:t xml:space="preserve">Staff: How </w:t>
      </w:r>
      <w:r w:rsidR="00E72FB1" w:rsidRPr="00102B7A">
        <w:t xml:space="preserve">Government will support </w:t>
      </w:r>
      <w:r w:rsidRPr="00102B7A">
        <w:t>these priorities</w:t>
      </w:r>
    </w:p>
    <w:p w14:paraId="36D1517A" w14:textId="5A9E6E1F" w:rsidR="001E07A2" w:rsidRPr="00102B7A" w:rsidRDefault="001E07A2" w:rsidP="003B0D28">
      <w:pPr>
        <w:pStyle w:val="Heading5"/>
      </w:pPr>
      <w:r w:rsidRPr="00102B7A">
        <w:t xml:space="preserve">The OCTD will support the </w:t>
      </w:r>
      <w:r w:rsidRPr="00D53893">
        <w:t>TAFE Workforce Taskforce</w:t>
      </w:r>
      <w:r w:rsidRPr="00102B7A">
        <w:t xml:space="preserve"> which has membership from all TAFEs and a workplan that pursues innovative programs and strategies to support TAFEs to attract and retain highly skilled staff</w:t>
      </w:r>
      <w:r w:rsidR="00493157" w:rsidRPr="00102B7A">
        <w:t xml:space="preserve"> who are supported to </w:t>
      </w:r>
      <w:r w:rsidRPr="00102B7A">
        <w:t>provide high quality services including teaching.</w:t>
      </w:r>
      <w:r w:rsidR="00A37FB8" w:rsidRPr="00102B7A">
        <w:t xml:space="preserve"> The </w:t>
      </w:r>
      <w:r w:rsidR="000A5412" w:rsidRPr="00102B7A">
        <w:t xml:space="preserve">OTCD will provide support for the Taskforce’s workplan, including </w:t>
      </w:r>
      <w:r w:rsidR="00A37FB8" w:rsidRPr="00102B7A">
        <w:t xml:space="preserve">the </w:t>
      </w:r>
      <w:r w:rsidR="00A37FB8" w:rsidRPr="00D53893">
        <w:t>TAFE Network Career Pathway (WorkSafe) Program</w:t>
      </w:r>
      <w:r w:rsidR="000A5412" w:rsidRPr="00D53893">
        <w:t>.</w:t>
      </w:r>
    </w:p>
    <w:p w14:paraId="3CD6D454" w14:textId="620A50FC" w:rsidR="00A627D2" w:rsidRPr="00102B7A" w:rsidRDefault="00173FA8" w:rsidP="003B0D28">
      <w:pPr>
        <w:pStyle w:val="Heading5"/>
      </w:pPr>
      <w:r w:rsidRPr="00102B7A">
        <w:t>During 2024, the</w:t>
      </w:r>
      <w:r w:rsidR="001D679B" w:rsidRPr="00102B7A">
        <w:t xml:space="preserve"> VSA</w:t>
      </w:r>
      <w:r w:rsidR="00D76B07" w:rsidRPr="00102B7A">
        <w:t xml:space="preserve"> wi</w:t>
      </w:r>
      <w:r w:rsidRPr="00102B7A">
        <w:t>l</w:t>
      </w:r>
      <w:r w:rsidR="00D76B07" w:rsidRPr="00102B7A">
        <w:t>l develop a</w:t>
      </w:r>
      <w:r w:rsidR="001D679B" w:rsidRPr="00102B7A">
        <w:t xml:space="preserve"> </w:t>
      </w:r>
      <w:r w:rsidR="001D679B" w:rsidRPr="00D53893">
        <w:t>VET Workforce Strategy</w:t>
      </w:r>
      <w:r w:rsidR="001D679B" w:rsidRPr="00102B7A">
        <w:t xml:space="preserve"> which will examine workforce issues relating to all roles with a direct impact on VET students’ teaching and learning experiences</w:t>
      </w:r>
      <w:r w:rsidRPr="00102B7A">
        <w:t>.</w:t>
      </w:r>
      <w:r w:rsidR="003B0D28">
        <w:t xml:space="preserve"> </w:t>
      </w:r>
      <w:r w:rsidR="00D37142" w:rsidRPr="00102B7A">
        <w:t>The</w:t>
      </w:r>
      <w:r w:rsidR="001D679B" w:rsidRPr="00102B7A">
        <w:t xml:space="preserve"> Australian Government’s </w:t>
      </w:r>
      <w:r w:rsidR="001D679B" w:rsidRPr="00D53893">
        <w:t>VET Workforce Blueprint</w:t>
      </w:r>
      <w:r w:rsidR="001D679B" w:rsidRPr="00102B7A">
        <w:t xml:space="preserve"> will identify strategies for addressing VET workforce issues such as attraction, retention, career development and succession planning.</w:t>
      </w:r>
      <w:r w:rsidR="00284206" w:rsidRPr="00102B7A">
        <w:t xml:space="preserve"> The OTCD will support </w:t>
      </w:r>
      <w:r w:rsidR="00DC4DE5" w:rsidRPr="00102B7A">
        <w:t>the TAFE Network</w:t>
      </w:r>
      <w:r w:rsidR="00003554" w:rsidRPr="00102B7A">
        <w:t>’s work to align</w:t>
      </w:r>
      <w:r w:rsidR="00284206" w:rsidRPr="00102B7A">
        <w:t xml:space="preserve"> with </w:t>
      </w:r>
      <w:r w:rsidR="00003554" w:rsidRPr="00102B7A">
        <w:t>and be supported by</w:t>
      </w:r>
      <w:r w:rsidR="00C5762F" w:rsidRPr="00102B7A">
        <w:t xml:space="preserve"> </w:t>
      </w:r>
      <w:r w:rsidR="00284206" w:rsidRPr="00102B7A">
        <w:t>these strategies</w:t>
      </w:r>
      <w:r w:rsidR="00DC4DE5" w:rsidRPr="00102B7A">
        <w:t>.</w:t>
      </w:r>
    </w:p>
    <w:p w14:paraId="71226BA9" w14:textId="4DA0C68C" w:rsidR="00A627D2" w:rsidRPr="00102B7A" w:rsidRDefault="00A627D2" w:rsidP="00097880">
      <w:pPr>
        <w:pStyle w:val="Heading5"/>
      </w:pPr>
      <w:r w:rsidRPr="00102B7A">
        <w:br w:type="page"/>
      </w:r>
    </w:p>
    <w:p w14:paraId="16D62B79" w14:textId="0F1451CF" w:rsidR="00A627D2" w:rsidRPr="00102B7A" w:rsidRDefault="00A627D2" w:rsidP="003B0D28">
      <w:pPr>
        <w:pStyle w:val="Heading2"/>
      </w:pPr>
      <w:bookmarkStart w:id="35" w:name="_Toc148100333"/>
      <w:r w:rsidRPr="00102B7A">
        <w:lastRenderedPageBreak/>
        <w:t>Signing page</w:t>
      </w:r>
      <w:bookmarkEnd w:id="35"/>
    </w:p>
    <w:p w14:paraId="0B21D9C1" w14:textId="77777777" w:rsidR="009932FF" w:rsidRDefault="009932FF" w:rsidP="00756CF5">
      <w:pPr>
        <w:pStyle w:val="Heading4"/>
        <w:rPr>
          <w:noProof/>
        </w:rPr>
      </w:pPr>
      <w:bookmarkStart w:id="36" w:name="_Hlk171344623"/>
    </w:p>
    <w:p w14:paraId="5D56639E" w14:textId="77777777" w:rsidR="008A2F7E" w:rsidRDefault="008A2F7E" w:rsidP="00756CF5">
      <w:pPr>
        <w:pStyle w:val="Heading4"/>
      </w:pPr>
      <w:r>
        <w:t>[signed]</w:t>
      </w:r>
    </w:p>
    <w:p w14:paraId="36F8CC50" w14:textId="0F41173A" w:rsidR="00991730" w:rsidRPr="00102B7A" w:rsidRDefault="00991730" w:rsidP="00756CF5">
      <w:pPr>
        <w:pStyle w:val="Heading4"/>
      </w:pPr>
      <w:r w:rsidRPr="00102B7A">
        <w:t>The Hon Gayle Tierney MP</w:t>
      </w:r>
      <w:r w:rsidRPr="00102B7A">
        <w:tab/>
      </w:r>
    </w:p>
    <w:p w14:paraId="26CBC480" w14:textId="636A3E5B" w:rsidR="004B32E0" w:rsidRPr="00102B7A" w:rsidRDefault="00991730" w:rsidP="00756CF5">
      <w:pPr>
        <w:pStyle w:val="Heading4"/>
      </w:pPr>
      <w:r w:rsidRPr="00102B7A">
        <w:t>Minister for Skills</w:t>
      </w:r>
      <w:r w:rsidR="002A4F49" w:rsidRPr="00102B7A">
        <w:t xml:space="preserve"> and TAFE</w:t>
      </w:r>
    </w:p>
    <w:p w14:paraId="4ED57A93" w14:textId="77777777" w:rsidR="009932FF" w:rsidRDefault="009932FF" w:rsidP="00756CF5">
      <w:pPr>
        <w:pStyle w:val="Heading4"/>
      </w:pPr>
    </w:p>
    <w:p w14:paraId="461E537F" w14:textId="77777777" w:rsidR="00756CF5" w:rsidRDefault="00756CF5" w:rsidP="00756CF5">
      <w:pPr>
        <w:pStyle w:val="Heading4"/>
      </w:pPr>
      <w:r>
        <w:t>[signed]</w:t>
      </w:r>
    </w:p>
    <w:p w14:paraId="72B77A39" w14:textId="77777777" w:rsidR="00756CF5" w:rsidRPr="00756CF5" w:rsidRDefault="00756CF5" w:rsidP="00756CF5">
      <w:pPr>
        <w:pStyle w:val="Heading4"/>
      </w:pPr>
      <w:r w:rsidRPr="00756CF5">
        <w:t>Margaret O’Rourke</w:t>
      </w:r>
    </w:p>
    <w:p w14:paraId="03D8CD8E" w14:textId="77777777" w:rsidR="00756CF5" w:rsidRPr="00756CF5" w:rsidRDefault="00756CF5" w:rsidP="00756CF5">
      <w:pPr>
        <w:pStyle w:val="Heading4"/>
      </w:pPr>
      <w:r w:rsidRPr="00756CF5">
        <w:t>Board Chair</w:t>
      </w:r>
    </w:p>
    <w:p w14:paraId="1470C991" w14:textId="2F5262FB" w:rsidR="009932FF" w:rsidRDefault="00756CF5" w:rsidP="00756CF5">
      <w:pPr>
        <w:pStyle w:val="Heading4"/>
      </w:pPr>
      <w:r w:rsidRPr="00756CF5">
        <w:t>Bendigo Kangan Institute</w:t>
      </w:r>
    </w:p>
    <w:p w14:paraId="48BE9BA3" w14:textId="31B99126" w:rsidR="007E3294" w:rsidRPr="00102B7A" w:rsidRDefault="00756CF5" w:rsidP="00756CF5">
      <w:pPr>
        <w:pStyle w:val="Heading4"/>
        <w:rPr>
          <w:rFonts w:asciiTheme="majorHAnsi" w:hAnsiTheme="majorHAnsi" w:cstheme="majorHAnsi"/>
          <w:sz w:val="18"/>
          <w:szCs w:val="18"/>
        </w:rPr>
      </w:pPr>
      <w:r w:rsidRPr="00102B7A">
        <w:rPr>
          <w:noProof/>
        </w:rPr>
        <w:drawing>
          <wp:inline distT="0" distB="0" distL="0" distR="0" wp14:anchorId="37023A98" wp14:editId="42CFA9AE">
            <wp:extent cx="1390948" cy="456565"/>
            <wp:effectExtent l="0" t="0" r="0" b="635"/>
            <wp:docPr id="1025" name="Picture 1025" descr="Bendigo Kangan Institu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025" descr="Bendigo Kangan Institut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0948" cy="456565"/>
                    </a:xfrm>
                    <a:prstGeom prst="rect">
                      <a:avLst/>
                    </a:prstGeom>
                    <a:noFill/>
                    <a:ln>
                      <a:noFill/>
                    </a:ln>
                  </pic:spPr>
                </pic:pic>
              </a:graphicData>
            </a:graphic>
          </wp:inline>
        </w:drawing>
      </w:r>
    </w:p>
    <w:p w14:paraId="53659395" w14:textId="0648EC9C" w:rsidR="007E3294" w:rsidRPr="00102B7A" w:rsidRDefault="007E3294" w:rsidP="00756CF5">
      <w:pPr>
        <w:pStyle w:val="Heading4"/>
      </w:pPr>
    </w:p>
    <w:p w14:paraId="337C643D" w14:textId="77777777" w:rsidR="00756CF5" w:rsidRDefault="00756CF5" w:rsidP="00756CF5">
      <w:pPr>
        <w:pStyle w:val="Heading4"/>
      </w:pPr>
      <w:r>
        <w:t>[signed]</w:t>
      </w:r>
    </w:p>
    <w:p w14:paraId="3A42CF65" w14:textId="77777777" w:rsidR="00756CF5" w:rsidRPr="00756CF5" w:rsidRDefault="00756CF5" w:rsidP="00756CF5">
      <w:pPr>
        <w:pStyle w:val="Heading4"/>
      </w:pPr>
      <w:r w:rsidRPr="00756CF5">
        <w:t>Tracey Cooper</w:t>
      </w:r>
    </w:p>
    <w:p w14:paraId="301B2B56" w14:textId="77777777" w:rsidR="00756CF5" w:rsidRPr="00756CF5" w:rsidRDefault="00756CF5" w:rsidP="00756CF5">
      <w:pPr>
        <w:pStyle w:val="Heading4"/>
      </w:pPr>
      <w:r w:rsidRPr="00756CF5">
        <w:t>Board Chair</w:t>
      </w:r>
    </w:p>
    <w:p w14:paraId="53BE0D79" w14:textId="1D5A4D53" w:rsidR="007E3294" w:rsidRPr="00102B7A" w:rsidRDefault="00756CF5" w:rsidP="00756CF5">
      <w:pPr>
        <w:pStyle w:val="Heading4"/>
      </w:pPr>
      <w:r w:rsidRPr="00756CF5">
        <w:t>Box Hill Institute</w:t>
      </w:r>
    </w:p>
    <w:p w14:paraId="3D17C32F" w14:textId="4333A71E" w:rsidR="007E3294" w:rsidRPr="00102B7A" w:rsidRDefault="00756CF5" w:rsidP="00756CF5">
      <w:pPr>
        <w:pStyle w:val="Heading4"/>
      </w:pPr>
      <w:r w:rsidRPr="00756CF5">
        <w:rPr>
          <w:noProof/>
        </w:rPr>
        <w:t xml:space="preserve"> </w:t>
      </w:r>
      <w:r w:rsidRPr="00102B7A">
        <w:rPr>
          <w:noProof/>
        </w:rPr>
        <w:drawing>
          <wp:inline distT="0" distB="0" distL="0" distR="0" wp14:anchorId="436C6946" wp14:editId="1A2E7E06">
            <wp:extent cx="1003300" cy="332740"/>
            <wp:effectExtent l="0" t="0" r="6350" b="0"/>
            <wp:docPr id="1029" name="Picture 1029" descr="Box Hill Institu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1029" descr="Box Hill Institute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3300" cy="332740"/>
                    </a:xfrm>
                    <a:prstGeom prst="rect">
                      <a:avLst/>
                    </a:prstGeom>
                    <a:noFill/>
                    <a:ln>
                      <a:noFill/>
                    </a:ln>
                  </pic:spPr>
                </pic:pic>
              </a:graphicData>
            </a:graphic>
          </wp:inline>
        </w:drawing>
      </w:r>
    </w:p>
    <w:p w14:paraId="53A7AEF3" w14:textId="45EFA36F" w:rsidR="007E3294" w:rsidRDefault="007E3294" w:rsidP="00756CF5">
      <w:pPr>
        <w:pStyle w:val="Heading4"/>
      </w:pPr>
    </w:p>
    <w:p w14:paraId="1B01EA0B" w14:textId="77777777" w:rsidR="00756CF5" w:rsidRDefault="00756CF5" w:rsidP="00756CF5">
      <w:pPr>
        <w:pStyle w:val="Heading4"/>
      </w:pPr>
      <w:r>
        <w:t>[signed]</w:t>
      </w:r>
    </w:p>
    <w:p w14:paraId="094893FA" w14:textId="77777777" w:rsidR="00756CF5" w:rsidRPr="00756CF5" w:rsidRDefault="00756CF5" w:rsidP="00756CF5">
      <w:pPr>
        <w:pStyle w:val="Heading4"/>
      </w:pPr>
      <w:r w:rsidRPr="00756CF5">
        <w:t>Prue Digby</w:t>
      </w:r>
    </w:p>
    <w:p w14:paraId="40619019" w14:textId="77777777" w:rsidR="00756CF5" w:rsidRPr="00756CF5" w:rsidRDefault="00756CF5" w:rsidP="00756CF5">
      <w:pPr>
        <w:pStyle w:val="Heading4"/>
      </w:pPr>
      <w:r w:rsidRPr="00756CF5">
        <w:t>Board Chair</w:t>
      </w:r>
    </w:p>
    <w:p w14:paraId="62EF880D" w14:textId="79E1E459" w:rsidR="007E3294" w:rsidRPr="00102B7A" w:rsidRDefault="00756CF5" w:rsidP="00756CF5">
      <w:pPr>
        <w:pStyle w:val="Heading4"/>
      </w:pPr>
      <w:r w:rsidRPr="00756CF5">
        <w:t>Chisholm Institute</w:t>
      </w:r>
    </w:p>
    <w:p w14:paraId="1A434A85" w14:textId="04A6EE35" w:rsidR="007E3294" w:rsidRPr="00102B7A" w:rsidRDefault="00756CF5" w:rsidP="00756CF5">
      <w:pPr>
        <w:pStyle w:val="Heading4"/>
      </w:pPr>
      <w:r w:rsidRPr="00102B7A">
        <w:rPr>
          <w:noProof/>
        </w:rPr>
        <w:drawing>
          <wp:inline distT="0" distB="0" distL="0" distR="0" wp14:anchorId="60B5BB0D" wp14:editId="5AC8D9DF">
            <wp:extent cx="1302986" cy="215900"/>
            <wp:effectExtent l="0" t="0" r="0" b="0"/>
            <wp:docPr id="1028" name="Picture 1028" descr="Chisholm Institu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1028" descr="Chisholm Institute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2986" cy="215900"/>
                    </a:xfrm>
                    <a:prstGeom prst="rect">
                      <a:avLst/>
                    </a:prstGeom>
                    <a:noFill/>
                    <a:ln>
                      <a:noFill/>
                    </a:ln>
                  </pic:spPr>
                </pic:pic>
              </a:graphicData>
            </a:graphic>
          </wp:inline>
        </w:drawing>
      </w:r>
      <w:r w:rsidRPr="00102B7A">
        <w:rPr>
          <w:rFonts w:asciiTheme="majorHAnsi" w:hAnsiTheme="majorHAnsi" w:cstheme="majorHAnsi"/>
          <w:b/>
          <w:noProof/>
        </w:rPr>
        <w:t xml:space="preserve"> </w:t>
      </w:r>
    </w:p>
    <w:p w14:paraId="5A71F040" w14:textId="77777777" w:rsidR="00756CF5" w:rsidRDefault="00756CF5" w:rsidP="00756CF5">
      <w:pPr>
        <w:pStyle w:val="Heading4"/>
      </w:pPr>
    </w:p>
    <w:p w14:paraId="555E3AC8" w14:textId="77777777" w:rsidR="00756CF5" w:rsidRDefault="00756CF5" w:rsidP="00756CF5">
      <w:pPr>
        <w:pStyle w:val="Heading4"/>
      </w:pPr>
      <w:r>
        <w:t>[signed]</w:t>
      </w:r>
    </w:p>
    <w:p w14:paraId="5C9EC607" w14:textId="40E63451" w:rsidR="00756CF5" w:rsidRPr="00756CF5" w:rsidRDefault="00756CF5" w:rsidP="00756CF5">
      <w:pPr>
        <w:pStyle w:val="Heading4"/>
      </w:pPr>
      <w:r w:rsidRPr="00756CF5">
        <w:t>Paul Buckley PSM</w:t>
      </w:r>
    </w:p>
    <w:p w14:paraId="521FEA2F" w14:textId="442A0091" w:rsidR="00756CF5" w:rsidRPr="00756CF5" w:rsidRDefault="00756CF5" w:rsidP="00756CF5">
      <w:pPr>
        <w:pStyle w:val="Heading4"/>
      </w:pPr>
      <w:r w:rsidRPr="00756CF5">
        <w:t>Board Chair</w:t>
      </w:r>
    </w:p>
    <w:p w14:paraId="4EE7AA3E" w14:textId="77777777" w:rsidR="005C6936" w:rsidRPr="00225AC9" w:rsidRDefault="00756CF5" w:rsidP="00756CF5">
      <w:pPr>
        <w:pStyle w:val="Heading4"/>
      </w:pPr>
      <w:r w:rsidRPr="00756CF5">
        <w:t>TAFE Gippsland</w:t>
      </w:r>
    </w:p>
    <w:p w14:paraId="2AF3BB5E" w14:textId="678F3551" w:rsidR="00756CF5" w:rsidRPr="00225AC9" w:rsidRDefault="00756CF5" w:rsidP="00756CF5">
      <w:pPr>
        <w:pStyle w:val="Heading4"/>
        <w:rPr>
          <w:rFonts w:asciiTheme="majorHAnsi" w:hAnsiTheme="majorHAnsi" w:cstheme="majorHAnsi"/>
          <w:noProof/>
        </w:rPr>
      </w:pPr>
      <w:r w:rsidRPr="00225AC9">
        <w:rPr>
          <w:noProof/>
        </w:rPr>
        <w:drawing>
          <wp:inline distT="0" distB="0" distL="0" distR="0" wp14:anchorId="2E5E84E7" wp14:editId="63ED62B8">
            <wp:extent cx="909811" cy="311097"/>
            <wp:effectExtent l="0" t="0" r="5080" b="0"/>
            <wp:docPr id="1027" name="Picture 1027" descr="TAFE Gipps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1027" descr="TAFE Gippsland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9811" cy="311097"/>
                    </a:xfrm>
                    <a:prstGeom prst="rect">
                      <a:avLst/>
                    </a:prstGeom>
                    <a:noFill/>
                    <a:ln>
                      <a:noFill/>
                    </a:ln>
                  </pic:spPr>
                </pic:pic>
              </a:graphicData>
            </a:graphic>
          </wp:inline>
        </w:drawing>
      </w:r>
    </w:p>
    <w:p w14:paraId="0A5E0E7B" w14:textId="77777777" w:rsidR="00756CF5" w:rsidRDefault="00756CF5" w:rsidP="00756CF5">
      <w:pPr>
        <w:pStyle w:val="Heading4"/>
      </w:pPr>
      <w:r>
        <w:lastRenderedPageBreak/>
        <w:t>[signed]</w:t>
      </w:r>
    </w:p>
    <w:p w14:paraId="06FC7E46" w14:textId="2E20F8D6" w:rsidR="00756CF5" w:rsidRPr="00D035F1" w:rsidRDefault="00756CF5" w:rsidP="00756CF5">
      <w:pPr>
        <w:pStyle w:val="Heading4"/>
      </w:pPr>
      <w:r w:rsidRPr="00D035F1">
        <w:t>David Bowen</w:t>
      </w:r>
    </w:p>
    <w:p w14:paraId="1F84F196" w14:textId="77777777" w:rsidR="00756CF5" w:rsidRPr="00D035F1" w:rsidRDefault="00756CF5" w:rsidP="00756CF5">
      <w:pPr>
        <w:pStyle w:val="Heading4"/>
      </w:pPr>
      <w:r w:rsidRPr="00D035F1">
        <w:t>Board Chair</w:t>
      </w:r>
    </w:p>
    <w:p w14:paraId="228E8418" w14:textId="0BA5CC49" w:rsidR="007E3294" w:rsidRPr="00102B7A" w:rsidRDefault="00756CF5" w:rsidP="00756CF5">
      <w:pPr>
        <w:pStyle w:val="Heading4"/>
      </w:pPr>
      <w:r w:rsidRPr="00D035F1">
        <w:t>The Gordon Institute of TAFE</w:t>
      </w:r>
    </w:p>
    <w:p w14:paraId="506E53E6" w14:textId="6E3915A6" w:rsidR="007E3294" w:rsidRPr="00102B7A" w:rsidRDefault="00756CF5" w:rsidP="00756CF5">
      <w:pPr>
        <w:pStyle w:val="Heading4"/>
      </w:pPr>
      <w:r w:rsidRPr="00102B7A">
        <w:rPr>
          <w:noProof/>
        </w:rPr>
        <w:drawing>
          <wp:inline distT="0" distB="0" distL="0" distR="0" wp14:anchorId="1F00717A" wp14:editId="590CC35F">
            <wp:extent cx="1096010" cy="520700"/>
            <wp:effectExtent l="0" t="0" r="8890" b="0"/>
            <wp:docPr id="1033" name="Picture 1033" descr="The Gor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1033" descr="The Gordon logo"/>
                    <pic:cNvPicPr>
                      <a:picLocks noChangeAspect="1" noChangeArrowheads="1"/>
                    </pic:cNvPicPr>
                  </pic:nvPicPr>
                  <pic:blipFill rotWithShape="1">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t="27848" b="24684"/>
                    <a:stretch/>
                  </pic:blipFill>
                  <pic:spPr bwMode="auto">
                    <a:xfrm>
                      <a:off x="0" y="0"/>
                      <a:ext cx="1096010" cy="520700"/>
                    </a:xfrm>
                    <a:prstGeom prst="rect">
                      <a:avLst/>
                    </a:prstGeom>
                    <a:noFill/>
                    <a:ln>
                      <a:noFill/>
                    </a:ln>
                    <a:extLst>
                      <a:ext uri="{53640926-AAD7-44D8-BBD7-CCE9431645EC}">
                        <a14:shadowObscured xmlns:a14="http://schemas.microsoft.com/office/drawing/2010/main"/>
                      </a:ext>
                    </a:extLst>
                  </pic:spPr>
                </pic:pic>
              </a:graphicData>
            </a:graphic>
          </wp:inline>
        </w:drawing>
      </w:r>
    </w:p>
    <w:p w14:paraId="79703BBE" w14:textId="77777777" w:rsidR="00756CF5" w:rsidRDefault="00756CF5" w:rsidP="00756CF5">
      <w:pPr>
        <w:pStyle w:val="Heading4"/>
      </w:pPr>
    </w:p>
    <w:p w14:paraId="07029D6D" w14:textId="77777777" w:rsidR="00756CF5" w:rsidRDefault="00756CF5" w:rsidP="00756CF5">
      <w:pPr>
        <w:pStyle w:val="Heading4"/>
      </w:pPr>
      <w:r>
        <w:t>[signed]</w:t>
      </w:r>
    </w:p>
    <w:p w14:paraId="1FEB402C" w14:textId="61B0EFCB" w:rsidR="00756CF5" w:rsidRPr="00756CF5" w:rsidRDefault="00756CF5" w:rsidP="00756CF5">
      <w:pPr>
        <w:pStyle w:val="Heading4"/>
      </w:pPr>
      <w:r w:rsidRPr="00756CF5">
        <w:t>Hon. Candy Broad</w:t>
      </w:r>
    </w:p>
    <w:p w14:paraId="1F09A623" w14:textId="77777777" w:rsidR="00756CF5" w:rsidRPr="00F143B2" w:rsidRDefault="00756CF5" w:rsidP="00756CF5">
      <w:pPr>
        <w:pStyle w:val="Heading4"/>
      </w:pPr>
      <w:r w:rsidRPr="00F143B2">
        <w:t>Board Chair</w:t>
      </w:r>
    </w:p>
    <w:p w14:paraId="50375180" w14:textId="77777777" w:rsidR="00756CF5" w:rsidRDefault="00756CF5" w:rsidP="00756CF5">
      <w:pPr>
        <w:pStyle w:val="Heading4"/>
      </w:pPr>
      <w:r w:rsidRPr="00F143B2">
        <w:t>GOTAFE Institute of TAFE</w:t>
      </w:r>
    </w:p>
    <w:p w14:paraId="33958DD3" w14:textId="15C3F8C2" w:rsidR="007E3294" w:rsidRPr="00102B7A" w:rsidRDefault="00756CF5" w:rsidP="00756CF5">
      <w:pPr>
        <w:pStyle w:val="Heading4"/>
      </w:pPr>
      <w:r w:rsidRPr="00102B7A">
        <w:rPr>
          <w:noProof/>
        </w:rPr>
        <w:drawing>
          <wp:inline distT="0" distB="0" distL="0" distR="0" wp14:anchorId="1A2AD5F0" wp14:editId="41161CAA">
            <wp:extent cx="1092200" cy="399415"/>
            <wp:effectExtent l="0" t="0" r="0" b="635"/>
            <wp:docPr id="1036" name="Picture 1036" descr="GOTAF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036" descr="GOTAFE logo"/>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92200" cy="399415"/>
                    </a:xfrm>
                    <a:prstGeom prst="rect">
                      <a:avLst/>
                    </a:prstGeom>
                    <a:noFill/>
                    <a:ln>
                      <a:noFill/>
                    </a:ln>
                  </pic:spPr>
                </pic:pic>
              </a:graphicData>
            </a:graphic>
          </wp:inline>
        </w:drawing>
      </w:r>
    </w:p>
    <w:p w14:paraId="0B6EA761" w14:textId="5E392F19" w:rsidR="007E3294" w:rsidRPr="00102B7A" w:rsidRDefault="007E3294" w:rsidP="00756CF5">
      <w:pPr>
        <w:pStyle w:val="Heading4"/>
      </w:pPr>
    </w:p>
    <w:p w14:paraId="3F71069A" w14:textId="77777777" w:rsidR="00756CF5" w:rsidRDefault="00756CF5" w:rsidP="00756CF5">
      <w:pPr>
        <w:pStyle w:val="Heading4"/>
      </w:pPr>
    </w:p>
    <w:p w14:paraId="11FF378B" w14:textId="5C302E67" w:rsidR="00756CF5" w:rsidRDefault="00756CF5" w:rsidP="00756CF5">
      <w:pPr>
        <w:pStyle w:val="Heading4"/>
      </w:pPr>
      <w:r>
        <w:t>[signed]</w:t>
      </w:r>
    </w:p>
    <w:p w14:paraId="083CACA5" w14:textId="77777777" w:rsidR="00756CF5" w:rsidRPr="000D51FC" w:rsidRDefault="00756CF5" w:rsidP="00756CF5">
      <w:pPr>
        <w:pStyle w:val="Heading4"/>
      </w:pPr>
      <w:r w:rsidRPr="000D51FC">
        <w:t>Michael Gorton</w:t>
      </w:r>
      <w:r>
        <w:t xml:space="preserve"> AM</w:t>
      </w:r>
    </w:p>
    <w:p w14:paraId="1AB7ED17" w14:textId="77777777" w:rsidR="00756CF5" w:rsidRPr="000D51FC" w:rsidRDefault="00756CF5" w:rsidP="00756CF5">
      <w:pPr>
        <w:pStyle w:val="Heading4"/>
      </w:pPr>
      <w:r w:rsidRPr="000D51FC">
        <w:t>Board Chair</w:t>
      </w:r>
    </w:p>
    <w:p w14:paraId="1D0F5935" w14:textId="77777777" w:rsidR="00756CF5" w:rsidRPr="0066216F" w:rsidRDefault="00756CF5" w:rsidP="00756CF5">
      <w:pPr>
        <w:pStyle w:val="Heading4"/>
      </w:pPr>
      <w:r w:rsidRPr="0066216F">
        <w:t>Holmesglen Institute of TAFE</w:t>
      </w:r>
    </w:p>
    <w:p w14:paraId="2F17F1E8" w14:textId="3B45F528" w:rsidR="007E3294" w:rsidRPr="00102B7A" w:rsidRDefault="00756CF5" w:rsidP="00756CF5">
      <w:pPr>
        <w:pStyle w:val="Heading4"/>
      </w:pPr>
      <w:r w:rsidRPr="00102B7A">
        <w:rPr>
          <w:noProof/>
        </w:rPr>
        <w:drawing>
          <wp:inline distT="0" distB="0" distL="0" distR="0" wp14:anchorId="05DAC19F" wp14:editId="77927776">
            <wp:extent cx="1211630" cy="504190"/>
            <wp:effectExtent l="0" t="0" r="7620" b="0"/>
            <wp:docPr id="1034" name="Picture 1034" descr="Holmesglen Institu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34" descr="Holmesglen Institute logo"/>
                    <pic:cNvPicPr>
                      <a:picLocks noChangeAspect="1" noChangeArrowheads="1"/>
                    </pic:cNvPicPr>
                  </pic:nvPicPr>
                  <pic:blipFill rotWithShape="1">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t="33556" b="24852"/>
                    <a:stretch/>
                  </pic:blipFill>
                  <pic:spPr bwMode="auto">
                    <a:xfrm>
                      <a:off x="0" y="0"/>
                      <a:ext cx="1211630" cy="504190"/>
                    </a:xfrm>
                    <a:prstGeom prst="rect">
                      <a:avLst/>
                    </a:prstGeom>
                    <a:noFill/>
                    <a:ln>
                      <a:noFill/>
                    </a:ln>
                    <a:extLst>
                      <a:ext uri="{53640926-AAD7-44D8-BBD7-CCE9431645EC}">
                        <a14:shadowObscured xmlns:a14="http://schemas.microsoft.com/office/drawing/2010/main"/>
                      </a:ext>
                    </a:extLst>
                  </pic:spPr>
                </pic:pic>
              </a:graphicData>
            </a:graphic>
          </wp:inline>
        </w:drawing>
      </w:r>
    </w:p>
    <w:p w14:paraId="7513622D" w14:textId="77777777" w:rsidR="00756CF5" w:rsidRDefault="00756CF5" w:rsidP="00756CF5">
      <w:pPr>
        <w:pStyle w:val="Heading4"/>
      </w:pPr>
    </w:p>
    <w:p w14:paraId="69DB0297" w14:textId="77777777" w:rsidR="00756CF5" w:rsidRDefault="00756CF5" w:rsidP="00756CF5">
      <w:pPr>
        <w:pStyle w:val="Heading4"/>
      </w:pPr>
      <w:r>
        <w:t>[signed]</w:t>
      </w:r>
    </w:p>
    <w:p w14:paraId="2F689DE8" w14:textId="77777777" w:rsidR="00756CF5" w:rsidRPr="00C60E20" w:rsidRDefault="00756CF5" w:rsidP="00756CF5">
      <w:pPr>
        <w:pStyle w:val="Heading4"/>
      </w:pPr>
      <w:r w:rsidRPr="00C60E20">
        <w:t>Helen Clarke</w:t>
      </w:r>
    </w:p>
    <w:p w14:paraId="5B7E9DC1" w14:textId="77777777" w:rsidR="00756CF5" w:rsidRPr="00C60E20" w:rsidRDefault="00756CF5" w:rsidP="00756CF5">
      <w:pPr>
        <w:pStyle w:val="Heading4"/>
      </w:pPr>
      <w:r w:rsidRPr="00C60E20">
        <w:t>Board Chair</w:t>
      </w:r>
    </w:p>
    <w:p w14:paraId="2376D21A" w14:textId="77777777" w:rsidR="00756CF5" w:rsidRPr="006B3C8C" w:rsidRDefault="00756CF5" w:rsidP="00756CF5">
      <w:pPr>
        <w:pStyle w:val="Heading4"/>
      </w:pPr>
      <w:r w:rsidRPr="00C60E20">
        <w:t>Melbourne Polytechnic</w:t>
      </w:r>
    </w:p>
    <w:p w14:paraId="43A1ECAB" w14:textId="50BF048F" w:rsidR="00756CF5" w:rsidRDefault="00756CF5" w:rsidP="00756CF5">
      <w:pPr>
        <w:pStyle w:val="Heading4"/>
        <w:rPr>
          <w:sz w:val="18"/>
          <w:szCs w:val="18"/>
        </w:rPr>
      </w:pPr>
      <w:r w:rsidRPr="00102B7A">
        <w:rPr>
          <w:noProof/>
        </w:rPr>
        <w:drawing>
          <wp:inline distT="0" distB="0" distL="0" distR="0" wp14:anchorId="4B1ED244" wp14:editId="6038E50D">
            <wp:extent cx="1452198" cy="302455"/>
            <wp:effectExtent l="0" t="0" r="0" b="2540"/>
            <wp:docPr id="1035" name="Picture 1035" descr="Melbourne Polytechn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Picture 1035" descr="Melbourne Polytechnic logo"/>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29622" b="32052"/>
                    <a:stretch/>
                  </pic:blipFill>
                  <pic:spPr bwMode="auto">
                    <a:xfrm>
                      <a:off x="0" y="0"/>
                      <a:ext cx="1452198" cy="302455"/>
                    </a:xfrm>
                    <a:prstGeom prst="rect">
                      <a:avLst/>
                    </a:prstGeom>
                    <a:noFill/>
                    <a:ln>
                      <a:noFill/>
                    </a:ln>
                    <a:extLst>
                      <a:ext uri="{53640926-AAD7-44D8-BBD7-CCE9431645EC}">
                        <a14:shadowObscured xmlns:a14="http://schemas.microsoft.com/office/drawing/2010/main"/>
                      </a:ext>
                    </a:extLst>
                  </pic:spPr>
                </pic:pic>
              </a:graphicData>
            </a:graphic>
          </wp:inline>
        </w:drawing>
      </w:r>
    </w:p>
    <w:p w14:paraId="683AC7A1" w14:textId="77777777" w:rsidR="00756CF5" w:rsidRDefault="00756CF5" w:rsidP="00756CF5">
      <w:pPr>
        <w:pStyle w:val="Heading4"/>
      </w:pPr>
    </w:p>
    <w:p w14:paraId="2E2F626F" w14:textId="77777777" w:rsidR="00756CF5" w:rsidRDefault="00756CF5">
      <w:pPr>
        <w:suppressAutoHyphens w:val="0"/>
        <w:autoSpaceDE/>
        <w:autoSpaceDN/>
        <w:adjustRightInd/>
        <w:spacing w:after="0" w:line="240" w:lineRule="auto"/>
        <w:jc w:val="left"/>
        <w:textAlignment w:val="auto"/>
        <w:rPr>
          <w:color w:val="auto"/>
        </w:rPr>
      </w:pPr>
      <w:r>
        <w:br w:type="page"/>
      </w:r>
    </w:p>
    <w:p w14:paraId="6CF81477" w14:textId="10692EA6" w:rsidR="00756CF5" w:rsidRDefault="00756CF5" w:rsidP="00756CF5">
      <w:pPr>
        <w:pStyle w:val="Heading4"/>
      </w:pPr>
      <w:r>
        <w:lastRenderedPageBreak/>
        <w:t>[signed]</w:t>
      </w:r>
    </w:p>
    <w:p w14:paraId="522D8B03" w14:textId="075F8F90" w:rsidR="00756CF5" w:rsidRPr="00F126C5" w:rsidRDefault="00756CF5" w:rsidP="00756CF5">
      <w:pPr>
        <w:pStyle w:val="Heading4"/>
      </w:pPr>
      <w:r w:rsidRPr="00F126C5">
        <w:t>Steven Waterhouse</w:t>
      </w:r>
    </w:p>
    <w:p w14:paraId="383AE422" w14:textId="77777777" w:rsidR="00756CF5" w:rsidRPr="00F126C5" w:rsidRDefault="00756CF5" w:rsidP="00756CF5">
      <w:pPr>
        <w:pStyle w:val="Heading4"/>
      </w:pPr>
      <w:r w:rsidRPr="00F126C5">
        <w:t>Board Chair</w:t>
      </w:r>
    </w:p>
    <w:p w14:paraId="464EB15C" w14:textId="77777777" w:rsidR="00756CF5" w:rsidRDefault="00756CF5" w:rsidP="00756CF5">
      <w:pPr>
        <w:pStyle w:val="Heading4"/>
      </w:pPr>
      <w:proofErr w:type="gramStart"/>
      <w:r w:rsidRPr="00F126C5">
        <w:t>South West</w:t>
      </w:r>
      <w:proofErr w:type="gramEnd"/>
      <w:r w:rsidRPr="00F126C5">
        <w:t xml:space="preserve"> Institute of TAFE</w:t>
      </w:r>
    </w:p>
    <w:p w14:paraId="44A81790" w14:textId="4AEAFD23" w:rsidR="007E3294" w:rsidRPr="00102B7A" w:rsidRDefault="00756CF5" w:rsidP="00756CF5">
      <w:pPr>
        <w:pStyle w:val="Heading4"/>
      </w:pPr>
      <w:r w:rsidRPr="00102B7A">
        <w:rPr>
          <w:noProof/>
        </w:rPr>
        <w:drawing>
          <wp:inline distT="0" distB="0" distL="0" distR="0" wp14:anchorId="33FDF352" wp14:editId="3DB191F3">
            <wp:extent cx="1059815" cy="464185"/>
            <wp:effectExtent l="0" t="0" r="6985" b="0"/>
            <wp:docPr id="1042" name="Picture 1042" descr="South West TAF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Picture 1042" descr="South West TAFE logo"/>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59815" cy="464185"/>
                    </a:xfrm>
                    <a:prstGeom prst="rect">
                      <a:avLst/>
                    </a:prstGeom>
                  </pic:spPr>
                </pic:pic>
              </a:graphicData>
            </a:graphic>
          </wp:inline>
        </w:drawing>
      </w:r>
    </w:p>
    <w:p w14:paraId="390464A2" w14:textId="77777777" w:rsidR="00756CF5" w:rsidRDefault="00756CF5" w:rsidP="00756CF5">
      <w:pPr>
        <w:pStyle w:val="Heading4"/>
      </w:pPr>
    </w:p>
    <w:p w14:paraId="35508481" w14:textId="77777777" w:rsidR="00756CF5" w:rsidRDefault="00756CF5" w:rsidP="00756CF5">
      <w:pPr>
        <w:pStyle w:val="Heading4"/>
      </w:pPr>
      <w:r>
        <w:t>[signed]</w:t>
      </w:r>
    </w:p>
    <w:p w14:paraId="3E6126C0" w14:textId="75478E8D" w:rsidR="00756CF5" w:rsidRPr="003178D0" w:rsidRDefault="00756CF5" w:rsidP="00756CF5">
      <w:pPr>
        <w:pStyle w:val="Heading4"/>
      </w:pPr>
      <w:r w:rsidRPr="003178D0">
        <w:t>Neth Hinton</w:t>
      </w:r>
    </w:p>
    <w:p w14:paraId="301857C9" w14:textId="77777777" w:rsidR="00756CF5" w:rsidRPr="003178D0" w:rsidRDefault="00756CF5" w:rsidP="00756CF5">
      <w:pPr>
        <w:pStyle w:val="Heading4"/>
      </w:pPr>
      <w:r w:rsidRPr="003178D0">
        <w:t>Board Chair</w:t>
      </w:r>
    </w:p>
    <w:p w14:paraId="30EC912A" w14:textId="6946053D" w:rsidR="00756CF5" w:rsidRPr="006B3C8C" w:rsidRDefault="00756CF5" w:rsidP="00756CF5">
      <w:pPr>
        <w:pStyle w:val="Heading4"/>
      </w:pPr>
      <w:r w:rsidRPr="003178D0">
        <w:t>Suni TAFE</w:t>
      </w:r>
    </w:p>
    <w:p w14:paraId="7F9CD7AF" w14:textId="2D1CA9C8" w:rsidR="007E3294" w:rsidRDefault="00756CF5" w:rsidP="00756CF5">
      <w:pPr>
        <w:pStyle w:val="Heading4"/>
      </w:pPr>
      <w:r w:rsidRPr="00102B7A">
        <w:rPr>
          <w:noProof/>
        </w:rPr>
        <w:drawing>
          <wp:inline distT="0" distB="0" distL="0" distR="0" wp14:anchorId="3FAA2AE8" wp14:editId="3AE5FEE2">
            <wp:extent cx="1295400" cy="316137"/>
            <wp:effectExtent l="0" t="0" r="0" b="8255"/>
            <wp:docPr id="1044" name="Picture 1044" descr="SuniTAF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Picture 1044" descr="SuniTAFE logo"/>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95400" cy="316137"/>
                    </a:xfrm>
                    <a:prstGeom prst="rect">
                      <a:avLst/>
                    </a:prstGeom>
                    <a:noFill/>
                    <a:ln>
                      <a:noFill/>
                    </a:ln>
                  </pic:spPr>
                </pic:pic>
              </a:graphicData>
            </a:graphic>
          </wp:inline>
        </w:drawing>
      </w:r>
    </w:p>
    <w:p w14:paraId="4F9EC8AA" w14:textId="77777777" w:rsidR="00756CF5" w:rsidRDefault="00756CF5" w:rsidP="00756CF5">
      <w:pPr>
        <w:pStyle w:val="Heading4"/>
      </w:pPr>
    </w:p>
    <w:p w14:paraId="1E89A4B0" w14:textId="77777777" w:rsidR="00756CF5" w:rsidRPr="00102B7A" w:rsidRDefault="00756CF5" w:rsidP="00756CF5">
      <w:pPr>
        <w:pStyle w:val="Heading4"/>
      </w:pPr>
    </w:p>
    <w:p w14:paraId="3DDCFB36" w14:textId="77777777" w:rsidR="00756CF5" w:rsidRDefault="00756CF5" w:rsidP="00756CF5">
      <w:pPr>
        <w:pStyle w:val="Heading4"/>
      </w:pPr>
      <w:r>
        <w:t>[signed]</w:t>
      </w:r>
    </w:p>
    <w:p w14:paraId="682F9930" w14:textId="2233F223" w:rsidR="00756CF5" w:rsidRPr="00A7707F" w:rsidRDefault="00756CF5" w:rsidP="00756CF5">
      <w:pPr>
        <w:pStyle w:val="Heading4"/>
      </w:pPr>
      <w:r w:rsidRPr="00A7707F">
        <w:t>Hon. John Pandazopoulos</w:t>
      </w:r>
    </w:p>
    <w:p w14:paraId="0514B58F" w14:textId="77777777" w:rsidR="00756CF5" w:rsidRPr="00A7707F" w:rsidRDefault="00756CF5" w:rsidP="00756CF5">
      <w:pPr>
        <w:pStyle w:val="Heading4"/>
      </w:pPr>
      <w:r w:rsidRPr="00A7707F">
        <w:t>Board Chair</w:t>
      </w:r>
    </w:p>
    <w:p w14:paraId="0685F0BD" w14:textId="77777777" w:rsidR="00756CF5" w:rsidRPr="006B3C8C" w:rsidRDefault="00756CF5" w:rsidP="00756CF5">
      <w:pPr>
        <w:pStyle w:val="Heading4"/>
      </w:pPr>
      <w:r w:rsidRPr="00A7707F">
        <w:t>William Angliss Institute of TAFE</w:t>
      </w:r>
    </w:p>
    <w:p w14:paraId="30E58649" w14:textId="334F448C" w:rsidR="007E3294" w:rsidRPr="00102B7A" w:rsidRDefault="00756CF5" w:rsidP="00756CF5">
      <w:pPr>
        <w:pStyle w:val="Heading4"/>
      </w:pPr>
      <w:r w:rsidRPr="00102B7A">
        <w:rPr>
          <w:noProof/>
        </w:rPr>
        <w:drawing>
          <wp:inline distT="0" distB="0" distL="0" distR="0" wp14:anchorId="0305766C" wp14:editId="4F1CF140">
            <wp:extent cx="1315085" cy="676923"/>
            <wp:effectExtent l="0" t="0" r="0" b="0"/>
            <wp:docPr id="1041" name="Picture 1041" descr="William Angliss Institu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Picture 1041" descr="William Angliss Institute logo"/>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17325" cy="678076"/>
                    </a:xfrm>
                    <a:prstGeom prst="rect">
                      <a:avLst/>
                    </a:prstGeom>
                    <a:noFill/>
                    <a:ln>
                      <a:noFill/>
                    </a:ln>
                  </pic:spPr>
                </pic:pic>
              </a:graphicData>
            </a:graphic>
          </wp:inline>
        </w:drawing>
      </w:r>
    </w:p>
    <w:p w14:paraId="0B104731" w14:textId="77777777" w:rsidR="00756CF5" w:rsidRDefault="00756CF5" w:rsidP="00756CF5">
      <w:pPr>
        <w:pStyle w:val="Heading4"/>
      </w:pPr>
    </w:p>
    <w:p w14:paraId="0A365821" w14:textId="77777777" w:rsidR="00756CF5" w:rsidRDefault="00756CF5" w:rsidP="00756CF5">
      <w:pPr>
        <w:pStyle w:val="Heading4"/>
      </w:pPr>
      <w:r>
        <w:t>[signed]</w:t>
      </w:r>
    </w:p>
    <w:p w14:paraId="69091F86" w14:textId="0A87CDF7" w:rsidR="00756CF5" w:rsidRPr="009C24FA" w:rsidRDefault="00756CF5" w:rsidP="00756CF5">
      <w:pPr>
        <w:pStyle w:val="Heading4"/>
      </w:pPr>
      <w:r w:rsidRPr="009C24FA">
        <w:t>Allison Jenvey</w:t>
      </w:r>
    </w:p>
    <w:p w14:paraId="1E0B4441" w14:textId="77777777" w:rsidR="00756CF5" w:rsidRPr="009C24FA" w:rsidRDefault="00756CF5" w:rsidP="00756CF5">
      <w:pPr>
        <w:pStyle w:val="Heading4"/>
      </w:pPr>
      <w:r w:rsidRPr="009C24FA">
        <w:t>Board Chair</w:t>
      </w:r>
    </w:p>
    <w:p w14:paraId="31462CA8" w14:textId="77777777" w:rsidR="00756CF5" w:rsidRPr="006B3C8C" w:rsidRDefault="00756CF5" w:rsidP="00756CF5">
      <w:pPr>
        <w:pStyle w:val="Heading4"/>
      </w:pPr>
      <w:r w:rsidRPr="009C24FA">
        <w:t>Wodonga Institute of TAFE</w:t>
      </w:r>
    </w:p>
    <w:p w14:paraId="4A866E1F" w14:textId="2A99154E" w:rsidR="007E3294" w:rsidRDefault="00756CF5" w:rsidP="00756CF5">
      <w:pPr>
        <w:pStyle w:val="Heading4"/>
      </w:pPr>
      <w:r w:rsidRPr="00102B7A">
        <w:rPr>
          <w:noProof/>
        </w:rPr>
        <w:drawing>
          <wp:inline distT="0" distB="0" distL="0" distR="0" wp14:anchorId="4DD31838" wp14:editId="1AAB6E42">
            <wp:extent cx="1446155" cy="302455"/>
            <wp:effectExtent l="0" t="0" r="1905" b="2540"/>
            <wp:docPr id="1043" name="Picture 1043" descr="Wodonga TAF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Picture 1043" descr="Wodonga TAFE logo"/>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6155" cy="302455"/>
                    </a:xfrm>
                    <a:prstGeom prst="rect">
                      <a:avLst/>
                    </a:prstGeom>
                    <a:noFill/>
                    <a:ln>
                      <a:noFill/>
                    </a:ln>
                  </pic:spPr>
                </pic:pic>
              </a:graphicData>
            </a:graphic>
          </wp:inline>
        </w:drawing>
      </w:r>
    </w:p>
    <w:p w14:paraId="7A6D372F" w14:textId="77777777" w:rsidR="00756CF5" w:rsidRPr="00102B7A" w:rsidRDefault="00756CF5" w:rsidP="00756CF5">
      <w:pPr>
        <w:pStyle w:val="Heading4"/>
      </w:pPr>
    </w:p>
    <w:p w14:paraId="2097AC9D" w14:textId="77777777" w:rsidR="00A85C0F" w:rsidRDefault="00A85C0F" w:rsidP="00756CF5">
      <w:pPr>
        <w:pStyle w:val="Heading4"/>
        <w:sectPr w:rsidR="00A85C0F" w:rsidSect="005C6936">
          <w:headerReference w:type="even" r:id="rId25"/>
          <w:headerReference w:type="default" r:id="rId26"/>
          <w:footerReference w:type="default" r:id="rId27"/>
          <w:headerReference w:type="first" r:id="rId28"/>
          <w:pgSz w:w="11906" w:h="16838" w:code="9"/>
          <w:pgMar w:top="2268" w:right="1361" w:bottom="1276" w:left="1361" w:header="284" w:footer="340" w:gutter="0"/>
          <w:cols w:space="708"/>
          <w:docGrid w:linePitch="360"/>
        </w:sectPr>
      </w:pPr>
    </w:p>
    <w:p w14:paraId="223B8609" w14:textId="34FEA944" w:rsidR="007E3294" w:rsidRPr="00102B7A" w:rsidRDefault="007E3294" w:rsidP="00A37FA1">
      <w:pPr>
        <w:pStyle w:val="Heading3"/>
      </w:pPr>
      <w:r w:rsidRPr="00102B7A">
        <w:lastRenderedPageBreak/>
        <w:t xml:space="preserve">This TAFE Network Statement of Priorities is also supported by Victoria’s dual sector universities, which provide TAFE services in Victoria with government funding*. </w:t>
      </w:r>
    </w:p>
    <w:p w14:paraId="5495B964" w14:textId="77777777" w:rsidR="008A2F7E" w:rsidRDefault="008A2F7E" w:rsidP="00756CF5">
      <w:pPr>
        <w:pStyle w:val="Heading4"/>
      </w:pPr>
    </w:p>
    <w:p w14:paraId="12D7829C" w14:textId="1ABD440E" w:rsidR="008A2F7E" w:rsidRDefault="008A2F7E" w:rsidP="00756CF5">
      <w:pPr>
        <w:pStyle w:val="Heading4"/>
      </w:pPr>
      <w:r>
        <w:t>[signed]</w:t>
      </w:r>
    </w:p>
    <w:p w14:paraId="249F39DF" w14:textId="0EF61D87" w:rsidR="009932FF" w:rsidRPr="008A2F7E" w:rsidRDefault="009932FF" w:rsidP="00756CF5">
      <w:pPr>
        <w:pStyle w:val="Heading4"/>
      </w:pPr>
      <w:r w:rsidRPr="008A2F7E">
        <w:t>Liam Sloan</w:t>
      </w:r>
    </w:p>
    <w:p w14:paraId="0B7BF85B" w14:textId="77777777" w:rsidR="009932FF" w:rsidRPr="008A2F7E" w:rsidRDefault="009932FF" w:rsidP="00756CF5">
      <w:pPr>
        <w:pStyle w:val="Heading4"/>
      </w:pPr>
      <w:r w:rsidRPr="008A2F7E">
        <w:t>Deputy Vice-Chancellor and Chief Executive TAFE</w:t>
      </w:r>
    </w:p>
    <w:p w14:paraId="6091DAE3" w14:textId="2DF37475" w:rsidR="007E3294" w:rsidRPr="008A2F7E" w:rsidRDefault="009932FF" w:rsidP="00756CF5">
      <w:pPr>
        <w:pStyle w:val="Heading4"/>
      </w:pPr>
      <w:r w:rsidRPr="008A2F7E">
        <w:t>Federation University Australia</w:t>
      </w:r>
    </w:p>
    <w:p w14:paraId="0DC11947" w14:textId="49CA1E38" w:rsidR="00407B1A" w:rsidRPr="008A2F7E" w:rsidRDefault="009932FF" w:rsidP="00756CF5">
      <w:pPr>
        <w:pStyle w:val="Heading4"/>
        <w:rPr>
          <w:rFonts w:asciiTheme="majorHAnsi" w:hAnsiTheme="majorHAnsi" w:cstheme="majorHAnsi"/>
          <w:sz w:val="18"/>
          <w:szCs w:val="18"/>
        </w:rPr>
      </w:pPr>
      <w:r w:rsidRPr="008A2F7E">
        <w:rPr>
          <w:noProof/>
        </w:rPr>
        <w:drawing>
          <wp:inline distT="0" distB="0" distL="0" distR="0" wp14:anchorId="778F430A" wp14:editId="6B93A846">
            <wp:extent cx="1146175" cy="300990"/>
            <wp:effectExtent l="0" t="0" r="0" b="3810"/>
            <wp:docPr id="1047" name="Picture 1047" descr="Federatio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Picture 1047" descr="Federation University logo"/>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6175" cy="300990"/>
                    </a:xfrm>
                    <a:prstGeom prst="rect">
                      <a:avLst/>
                    </a:prstGeom>
                    <a:noFill/>
                    <a:ln>
                      <a:noFill/>
                    </a:ln>
                  </pic:spPr>
                </pic:pic>
              </a:graphicData>
            </a:graphic>
          </wp:inline>
        </w:drawing>
      </w:r>
    </w:p>
    <w:p w14:paraId="6F8A5140" w14:textId="77777777" w:rsidR="009932FF" w:rsidRDefault="009932FF" w:rsidP="00756CF5">
      <w:pPr>
        <w:pStyle w:val="Heading4"/>
      </w:pPr>
    </w:p>
    <w:p w14:paraId="62195AA9" w14:textId="77777777" w:rsidR="008A2F7E" w:rsidRDefault="008A2F7E" w:rsidP="00756CF5">
      <w:pPr>
        <w:pStyle w:val="Heading4"/>
      </w:pPr>
      <w:r>
        <w:t>[signed]</w:t>
      </w:r>
    </w:p>
    <w:p w14:paraId="3530A578" w14:textId="77777777" w:rsidR="009932FF" w:rsidRPr="008A2F7E" w:rsidRDefault="009932FF" w:rsidP="00756CF5">
      <w:pPr>
        <w:pStyle w:val="Heading4"/>
      </w:pPr>
      <w:r w:rsidRPr="008A2F7E">
        <w:t>Mish Eastman</w:t>
      </w:r>
    </w:p>
    <w:p w14:paraId="2648CA55" w14:textId="77777777" w:rsidR="009932FF" w:rsidRPr="008A2F7E" w:rsidRDefault="009932FF" w:rsidP="00756CF5">
      <w:pPr>
        <w:pStyle w:val="Heading4"/>
      </w:pPr>
      <w:r w:rsidRPr="008A2F7E">
        <w:t>Deputy Vice-Chancellor Vocational Education</w:t>
      </w:r>
    </w:p>
    <w:p w14:paraId="5186DB45" w14:textId="77777777" w:rsidR="009932FF" w:rsidRPr="008A2F7E" w:rsidRDefault="009932FF" w:rsidP="00756CF5">
      <w:pPr>
        <w:pStyle w:val="Heading4"/>
      </w:pPr>
      <w:r w:rsidRPr="008A2F7E">
        <w:t xml:space="preserve">Vice President </w:t>
      </w:r>
      <w:r w:rsidRPr="008A2F7E">
        <w:br/>
        <w:t>RMIT University</w:t>
      </w:r>
    </w:p>
    <w:p w14:paraId="6D998282" w14:textId="160AA145" w:rsidR="009932FF" w:rsidRPr="008A2F7E" w:rsidRDefault="009932FF" w:rsidP="00756CF5">
      <w:pPr>
        <w:pStyle w:val="Heading4"/>
        <w:rPr>
          <w:rFonts w:asciiTheme="majorHAnsi" w:hAnsiTheme="majorHAnsi" w:cstheme="majorHAnsi"/>
          <w:sz w:val="18"/>
          <w:szCs w:val="18"/>
        </w:rPr>
      </w:pPr>
      <w:r w:rsidRPr="008A2F7E">
        <w:rPr>
          <w:noProof/>
        </w:rPr>
        <w:drawing>
          <wp:inline distT="0" distB="0" distL="0" distR="0" wp14:anchorId="30D99541" wp14:editId="0047DD3C">
            <wp:extent cx="1096010" cy="384175"/>
            <wp:effectExtent l="0" t="0" r="8890" b="0"/>
            <wp:docPr id="48" name="Picture 48" descr="RMI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RMIT University logo"/>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96010" cy="384175"/>
                    </a:xfrm>
                    <a:prstGeom prst="rect">
                      <a:avLst/>
                    </a:prstGeom>
                    <a:noFill/>
                    <a:ln>
                      <a:noFill/>
                    </a:ln>
                  </pic:spPr>
                </pic:pic>
              </a:graphicData>
            </a:graphic>
          </wp:inline>
        </w:drawing>
      </w:r>
    </w:p>
    <w:p w14:paraId="1DBF553F" w14:textId="50360D14" w:rsidR="00407B1A" w:rsidRPr="008A2F7E" w:rsidRDefault="00407B1A" w:rsidP="00756CF5">
      <w:pPr>
        <w:pStyle w:val="Heading4"/>
      </w:pPr>
    </w:p>
    <w:p w14:paraId="7561239D" w14:textId="77777777" w:rsidR="008A2F7E" w:rsidRDefault="008A2F7E" w:rsidP="00756CF5">
      <w:pPr>
        <w:pStyle w:val="Heading4"/>
      </w:pPr>
      <w:r>
        <w:t>[signed]</w:t>
      </w:r>
    </w:p>
    <w:p w14:paraId="6FA467E1" w14:textId="77777777" w:rsidR="009932FF" w:rsidRPr="008A2F7E" w:rsidRDefault="009932FF" w:rsidP="00756CF5">
      <w:pPr>
        <w:pStyle w:val="Heading4"/>
      </w:pPr>
      <w:r w:rsidRPr="008A2F7E">
        <w:t>Madelyn Bolch</w:t>
      </w:r>
    </w:p>
    <w:p w14:paraId="11321EAC" w14:textId="77777777" w:rsidR="009932FF" w:rsidRPr="008A2F7E" w:rsidRDefault="009932FF" w:rsidP="00756CF5">
      <w:pPr>
        <w:pStyle w:val="Heading4"/>
      </w:pPr>
      <w:r w:rsidRPr="008A2F7E">
        <w:t xml:space="preserve">Pro Vice Chancellor and Chief Executive, Vocational Education and Training </w:t>
      </w:r>
    </w:p>
    <w:p w14:paraId="4ACF70BE" w14:textId="77777777" w:rsidR="009932FF" w:rsidRPr="008A2F7E" w:rsidRDefault="009932FF" w:rsidP="00756CF5">
      <w:pPr>
        <w:pStyle w:val="Heading4"/>
      </w:pPr>
      <w:r w:rsidRPr="008A2F7E">
        <w:t>Swinburne University of Technology</w:t>
      </w:r>
    </w:p>
    <w:p w14:paraId="62401116" w14:textId="727EFEC9" w:rsidR="00407B1A" w:rsidRPr="008A2F7E" w:rsidRDefault="009932FF" w:rsidP="00756CF5">
      <w:pPr>
        <w:pStyle w:val="Heading4"/>
        <w:rPr>
          <w:sz w:val="18"/>
          <w:szCs w:val="18"/>
        </w:rPr>
      </w:pPr>
      <w:r w:rsidRPr="008A2F7E">
        <w:rPr>
          <w:noProof/>
        </w:rPr>
        <w:drawing>
          <wp:inline distT="0" distB="0" distL="0" distR="0" wp14:anchorId="0D016A05" wp14:editId="52CE8CDF">
            <wp:extent cx="914400" cy="385445"/>
            <wp:effectExtent l="0" t="0" r="0" b="0"/>
            <wp:docPr id="1048" name="Picture 1048" descr="Swinburne University of Techn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Picture 1048" descr="Swinburne University of Technology logo"/>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14400" cy="385445"/>
                    </a:xfrm>
                    <a:prstGeom prst="rect">
                      <a:avLst/>
                    </a:prstGeom>
                    <a:noFill/>
                    <a:ln>
                      <a:noFill/>
                    </a:ln>
                  </pic:spPr>
                </pic:pic>
              </a:graphicData>
            </a:graphic>
          </wp:inline>
        </w:drawing>
      </w:r>
    </w:p>
    <w:bookmarkEnd w:id="36"/>
    <w:p w14:paraId="36C7434D" w14:textId="77777777" w:rsidR="00407B1A" w:rsidRPr="008A2F7E" w:rsidRDefault="00407B1A" w:rsidP="00756CF5">
      <w:pPr>
        <w:pStyle w:val="Heading4"/>
      </w:pPr>
    </w:p>
    <w:p w14:paraId="18651ED2" w14:textId="303C75E9" w:rsidR="008A2F7E" w:rsidRDefault="008A2F7E" w:rsidP="00756CF5">
      <w:pPr>
        <w:pStyle w:val="Heading4"/>
      </w:pPr>
      <w:r>
        <w:t>[signed]</w:t>
      </w:r>
    </w:p>
    <w:p w14:paraId="60699DBB" w14:textId="77777777" w:rsidR="009932FF" w:rsidRPr="008A2F7E" w:rsidRDefault="009932FF" w:rsidP="00756CF5">
      <w:pPr>
        <w:pStyle w:val="Heading4"/>
      </w:pPr>
      <w:r w:rsidRPr="008A2F7E">
        <w:t>Wayne Butson</w:t>
      </w:r>
    </w:p>
    <w:p w14:paraId="4ED4F715" w14:textId="77777777" w:rsidR="009932FF" w:rsidRPr="008A2F7E" w:rsidRDefault="009932FF" w:rsidP="00756CF5">
      <w:pPr>
        <w:pStyle w:val="Heading4"/>
      </w:pPr>
      <w:r w:rsidRPr="008A2F7E">
        <w:t>Chief TAFE Officer and CEO of TAFE</w:t>
      </w:r>
    </w:p>
    <w:p w14:paraId="5B17CCE6" w14:textId="77777777" w:rsidR="009932FF" w:rsidRPr="008A2F7E" w:rsidRDefault="009932FF" w:rsidP="00756CF5">
      <w:pPr>
        <w:pStyle w:val="Heading4"/>
      </w:pPr>
      <w:r w:rsidRPr="008A2F7E">
        <w:t xml:space="preserve">Victoria University </w:t>
      </w:r>
    </w:p>
    <w:p w14:paraId="436DA542" w14:textId="1EEE63F7" w:rsidR="009932FF" w:rsidRPr="008A2F7E" w:rsidRDefault="009932FF" w:rsidP="00756CF5">
      <w:pPr>
        <w:pStyle w:val="Heading4"/>
        <w:rPr>
          <w:rFonts w:asciiTheme="majorHAnsi" w:hAnsiTheme="majorHAnsi" w:cstheme="majorHAnsi"/>
          <w:sz w:val="18"/>
          <w:szCs w:val="18"/>
        </w:rPr>
      </w:pPr>
      <w:r w:rsidRPr="008A2F7E">
        <w:rPr>
          <w:noProof/>
        </w:rPr>
        <w:drawing>
          <wp:inline distT="0" distB="0" distL="0" distR="0" wp14:anchorId="3A7DAC55" wp14:editId="4F6833AF">
            <wp:extent cx="1784985" cy="355600"/>
            <wp:effectExtent l="0" t="0" r="5715" b="6350"/>
            <wp:docPr id="1046" name="Picture 1046" descr="Victoria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Picture 1046" descr="Victoria University logo"/>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84985" cy="355600"/>
                    </a:xfrm>
                    <a:prstGeom prst="rect">
                      <a:avLst/>
                    </a:prstGeom>
                    <a:noFill/>
                    <a:ln>
                      <a:noFill/>
                    </a:ln>
                  </pic:spPr>
                </pic:pic>
              </a:graphicData>
            </a:graphic>
          </wp:inline>
        </w:drawing>
      </w:r>
    </w:p>
    <w:p w14:paraId="23A44D97" w14:textId="730C72DB" w:rsidR="009932FF" w:rsidRPr="00102B7A" w:rsidRDefault="009932FF" w:rsidP="00756CF5">
      <w:pPr>
        <w:pStyle w:val="Heading4"/>
        <w:rPr>
          <w:rFonts w:asciiTheme="majorHAnsi" w:hAnsiTheme="majorHAnsi" w:cstheme="majorHAnsi"/>
          <w:sz w:val="18"/>
          <w:szCs w:val="18"/>
        </w:rPr>
      </w:pPr>
      <w:r w:rsidRPr="00B47022">
        <w:t xml:space="preserve">*While their commitment to supporting and developing the skills and students of Victoria mirrors that of the Victorian Government-owned ‘standalone’ TAFEs, </w:t>
      </w:r>
      <w:bookmarkStart w:id="37" w:name="_Hlk82097262"/>
      <w:r w:rsidRPr="00B47022">
        <w:t xml:space="preserve">the governance and financial arrangements of dual sector universities differ </w:t>
      </w:r>
      <w:bookmarkEnd w:id="37"/>
      <w:r w:rsidRPr="00B47022">
        <w:t>and the priorities that specifically relate to sustainability do not apply.</w:t>
      </w:r>
    </w:p>
    <w:sectPr w:rsidR="009932FF" w:rsidRPr="00102B7A" w:rsidSect="00D40E58">
      <w:pgSz w:w="11906" w:h="16838" w:code="9"/>
      <w:pgMar w:top="2268" w:right="1361" w:bottom="1276" w:left="1361"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C7AD4" w14:textId="77777777" w:rsidR="008B72AB" w:rsidRDefault="008B72AB" w:rsidP="00A15617">
      <w:r>
        <w:separator/>
      </w:r>
    </w:p>
    <w:p w14:paraId="5110FB0B" w14:textId="77777777" w:rsidR="008B72AB" w:rsidRDefault="008B72AB" w:rsidP="00A15617"/>
  </w:endnote>
  <w:endnote w:type="continuationSeparator" w:id="0">
    <w:p w14:paraId="0DC098F5" w14:textId="77777777" w:rsidR="008B72AB" w:rsidRDefault="008B72AB" w:rsidP="00A15617">
      <w:r>
        <w:continuationSeparator/>
      </w:r>
    </w:p>
    <w:p w14:paraId="30B8A374" w14:textId="77777777" w:rsidR="008B72AB" w:rsidRDefault="008B72AB" w:rsidP="00A15617"/>
  </w:endnote>
  <w:endnote w:type="continuationNotice" w:id="1">
    <w:p w14:paraId="21194F07" w14:textId="77777777" w:rsidR="008B72AB" w:rsidRDefault="008B72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7A11F" w14:textId="739B8446" w:rsidR="00B2788F" w:rsidRDefault="00407B1A" w:rsidP="00552850">
    <w:pPr>
      <w:pStyle w:val="Footer"/>
      <w:tabs>
        <w:tab w:val="clear" w:pos="9026"/>
        <w:tab w:val="left" w:pos="7851"/>
      </w:tabs>
      <w:jc w:val="both"/>
      <w:rPr>
        <w:b/>
        <w:bCs/>
      </w:rPr>
    </w:pPr>
    <w:r>
      <w:rPr>
        <w:noProof/>
        <w:lang w:val="en-GB" w:eastAsia="en-GB"/>
      </w:rPr>
      <mc:AlternateContent>
        <mc:Choice Requires="wps">
          <w:drawing>
            <wp:anchor distT="0" distB="0" distL="114300" distR="114300" simplePos="0" relativeHeight="251658269" behindDoc="0" locked="0" layoutInCell="0" allowOverlap="1" wp14:anchorId="4FBAD56A" wp14:editId="767C5B2D">
              <wp:simplePos x="0" y="0"/>
              <wp:positionH relativeFrom="page">
                <wp:posOffset>0</wp:posOffset>
              </wp:positionH>
              <wp:positionV relativeFrom="page">
                <wp:posOffset>10248900</wp:posOffset>
              </wp:positionV>
              <wp:extent cx="7560310" cy="252095"/>
              <wp:effectExtent l="0" t="0" r="0" b="14605"/>
              <wp:wrapNone/>
              <wp:docPr id="21" name="Text Box 2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B0B696" w14:textId="7BAAD9FA" w:rsidR="00407B1A" w:rsidRPr="00407B1A" w:rsidRDefault="00407B1A" w:rsidP="00407B1A">
                          <w:pPr>
                            <w:spacing w:after="0"/>
                            <w:jc w:val="center"/>
                            <w:rPr>
                              <w:sz w:val="24"/>
                            </w:rPr>
                          </w:pPr>
                          <w:r w:rsidRPr="00407B1A">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BAD56A" id="_x0000_t202" coordsize="21600,21600" o:spt="202" path="m,l,21600r21600,l21600,xe">
              <v:stroke joinstyle="miter"/>
              <v:path gradientshapeok="t" o:connecttype="rect"/>
            </v:shapetype>
            <v:shape id="Text Box 21" o:spid="_x0000_s1030" type="#_x0000_t202" alt="{&quot;HashCode&quot;:376260202,&quot;Height&quot;:841.0,&quot;Width&quot;:595.0,&quot;Placement&quot;:&quot;Footer&quot;,&quot;Index&quot;:&quot;Primary&quot;,&quot;Section&quot;:2,&quot;Top&quot;:0.0,&quot;Left&quot;:0.0}" style="position:absolute;left:0;text-align:left;margin-left:0;margin-top:807pt;width:595.3pt;height:19.85pt;z-index:25165826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5DGA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Aolz5DGAIAACsEAAAOAAAAAAAAAAAAAAAAAC4CAABkcnMvZTJvRG9jLnhtbFBLAQItABQA&#10;BgAIAAAAIQBeog4O3wAAAAsBAAAPAAAAAAAAAAAAAAAAAHIEAABkcnMvZG93bnJldi54bWxQSwUG&#10;AAAAAAQABADzAAAAfgUAAAAA&#10;" o:allowincell="f" filled="f" stroked="f" strokeweight=".5pt">
              <v:textbox inset=",0,,0">
                <w:txbxContent>
                  <w:p w14:paraId="60B0B696" w14:textId="7BAAD9FA" w:rsidR="00407B1A" w:rsidRPr="00407B1A" w:rsidRDefault="00407B1A" w:rsidP="00407B1A">
                    <w:pPr>
                      <w:spacing w:after="0"/>
                      <w:jc w:val="center"/>
                      <w:rPr>
                        <w:sz w:val="24"/>
                      </w:rPr>
                    </w:pPr>
                    <w:r w:rsidRPr="00407B1A">
                      <w:rPr>
                        <w:sz w:val="24"/>
                      </w:rPr>
                      <w:t>OFFICIAL</w:t>
                    </w:r>
                  </w:p>
                </w:txbxContent>
              </v:textbox>
              <w10:wrap anchorx="page" anchory="page"/>
            </v:shape>
          </w:pict>
        </mc:Fallback>
      </mc:AlternateContent>
    </w:r>
    <w:r w:rsidR="00C3523B">
      <w:rPr>
        <w:noProof/>
        <w:lang w:val="en-GB" w:eastAsia="en-GB"/>
      </w:rPr>
      <mc:AlternateContent>
        <mc:Choice Requires="wps">
          <w:drawing>
            <wp:anchor distT="0" distB="0" distL="114300" distR="114300" simplePos="0" relativeHeight="251658259" behindDoc="0" locked="0" layoutInCell="0" allowOverlap="1" wp14:anchorId="49D2FAC6" wp14:editId="2E3705EF">
              <wp:simplePos x="0" y="0"/>
              <wp:positionH relativeFrom="page">
                <wp:posOffset>0</wp:posOffset>
              </wp:positionH>
              <wp:positionV relativeFrom="page">
                <wp:posOffset>10248900</wp:posOffset>
              </wp:positionV>
              <wp:extent cx="7560310" cy="252095"/>
              <wp:effectExtent l="0" t="0" r="0" b="14605"/>
              <wp:wrapNone/>
              <wp:docPr id="15" name="Text Box 15"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FF77CF" w14:textId="3CDE369F" w:rsidR="00C3523B" w:rsidRPr="00C3523B" w:rsidRDefault="00C3523B" w:rsidP="00C3523B">
                          <w:pPr>
                            <w:spacing w:after="0"/>
                            <w:jc w:val="center"/>
                            <w:rPr>
                              <w:sz w:val="24"/>
                            </w:rPr>
                          </w:pPr>
                          <w:r w:rsidRPr="00C3523B">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9D2FAC6" id="Text Box 15" o:spid="_x0000_s1031" type="#_x0000_t202" alt="{&quot;HashCode&quot;:376260202,&quot;Height&quot;:841.0,&quot;Width&quot;:595.0,&quot;Placement&quot;:&quot;Footer&quot;,&quot;Index&quot;:&quot;Primary&quot;,&quot;Section&quot;:2,&quot;Top&quot;:0.0,&quot;Left&quot;:0.0}" style="position:absolute;left:0;text-align:left;margin-left:0;margin-top:807pt;width:595.3pt;height:19.85pt;z-index:25165825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LFgIAACs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pqa5gGSZwPNAdfzMDAfHF8pnOGB&#10;hfjMPFKNY6N84xMeUgP2gqNFSQv+19/8KR8ZwCglHUqnpuHnjnlBif5ukZub8fV10lq+oOHfejcn&#10;r92ZO0BVjvGBOJ7NlBv1yZQezCuqe5m6YYhZjj1rujmZd3EQMr4OLpbLnISqciw+2LXjqXRCMyH7&#10;0r8y747wRyTuEU7iYtU7FobcgYflLoJUmaILmkfYUZGZ5OPrSZJ/e89Zlze++A0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Bi/yxYCAAArBAAADgAAAAAAAAAAAAAAAAAuAgAAZHJzL2Uyb0RvYy54bWxQSwECLQAUAAYA&#10;CAAAACEAXqIODt8AAAALAQAADwAAAAAAAAAAAAAAAABwBAAAZHJzL2Rvd25yZXYueG1sUEsFBgAA&#10;AAAEAAQA8wAAAHwFAAAAAA==&#10;" o:allowincell="f" filled="f" stroked="f" strokeweight=".5pt">
              <v:textbox inset=",0,,0">
                <w:txbxContent>
                  <w:p w14:paraId="0FFF77CF" w14:textId="3CDE369F" w:rsidR="00C3523B" w:rsidRPr="00C3523B" w:rsidRDefault="00C3523B" w:rsidP="00C3523B">
                    <w:pPr>
                      <w:spacing w:after="0"/>
                      <w:jc w:val="center"/>
                      <w:rPr>
                        <w:sz w:val="24"/>
                      </w:rPr>
                    </w:pPr>
                    <w:r w:rsidRPr="00C3523B">
                      <w:rPr>
                        <w:sz w:val="24"/>
                      </w:rPr>
                      <w:t>OFFICIAL</w:t>
                    </w:r>
                  </w:p>
                </w:txbxContent>
              </v:textbox>
              <w10:wrap anchorx="page" anchory="page"/>
            </v:shape>
          </w:pict>
        </mc:Fallback>
      </mc:AlternateContent>
    </w:r>
    <w:r w:rsidR="003D27CC">
      <w:rPr>
        <w:noProof/>
        <w:lang w:val="en-GB" w:eastAsia="en-GB"/>
      </w:rPr>
      <mc:AlternateContent>
        <mc:Choice Requires="wps">
          <w:drawing>
            <wp:anchor distT="0" distB="0" distL="114300" distR="114300" simplePos="0" relativeHeight="251658256" behindDoc="0" locked="0" layoutInCell="0" allowOverlap="1" wp14:anchorId="18E7286E" wp14:editId="2AA81ACA">
              <wp:simplePos x="0" y="0"/>
              <wp:positionH relativeFrom="page">
                <wp:posOffset>0</wp:posOffset>
              </wp:positionH>
              <wp:positionV relativeFrom="page">
                <wp:posOffset>10248900</wp:posOffset>
              </wp:positionV>
              <wp:extent cx="7560310" cy="252095"/>
              <wp:effectExtent l="0" t="0" r="0" b="14605"/>
              <wp:wrapNone/>
              <wp:docPr id="5" name="Text Box 5"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4AAEC3" w14:textId="4134CB3B" w:rsidR="003D27CC" w:rsidRPr="003D27CC" w:rsidRDefault="003D27CC" w:rsidP="003D27CC">
                          <w:pPr>
                            <w:spacing w:after="0"/>
                            <w:jc w:val="center"/>
                            <w:rPr>
                              <w:sz w:val="24"/>
                            </w:rPr>
                          </w:pPr>
                          <w:r w:rsidRPr="003D27CC">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8E7286E" id="Text Box 5" o:spid="_x0000_s1032" type="#_x0000_t202" alt="{&quot;HashCode&quot;:376260202,&quot;Height&quot;:841.0,&quot;Width&quot;:595.0,&quot;Placement&quot;:&quot;Footer&quot;,&quot;Index&quot;:&quot;Primary&quot;,&quot;Section&quot;:2,&quot;Top&quot;:0.0,&quot;Left&quot;:0.0}" style="position:absolute;left:0;text-align:left;margin-left:0;margin-top:807pt;width:595.3pt;height:19.8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mOTIkXAgAAKwQAAA4AAAAAAAAAAAAAAAAALgIAAGRycy9lMm9Eb2MueG1sUEsBAi0AFAAG&#10;AAgAAAAhAF6iDg7fAAAACwEAAA8AAAAAAAAAAAAAAAAAcQQAAGRycy9kb3ducmV2LnhtbFBLBQYA&#10;AAAABAAEAPMAAAB9BQAAAAA=&#10;" o:allowincell="f" filled="f" stroked="f" strokeweight=".5pt">
              <v:textbox inset=",0,,0">
                <w:txbxContent>
                  <w:p w14:paraId="584AAEC3" w14:textId="4134CB3B" w:rsidR="003D27CC" w:rsidRPr="003D27CC" w:rsidRDefault="003D27CC" w:rsidP="003D27CC">
                    <w:pPr>
                      <w:spacing w:after="0"/>
                      <w:jc w:val="center"/>
                      <w:rPr>
                        <w:sz w:val="24"/>
                      </w:rPr>
                    </w:pPr>
                    <w:r w:rsidRPr="003D27CC">
                      <w:rPr>
                        <w:sz w:val="24"/>
                      </w:rPr>
                      <w:t>OFFICIAL</w:t>
                    </w:r>
                  </w:p>
                </w:txbxContent>
              </v:textbox>
              <w10:wrap anchorx="page" anchory="page"/>
            </v:shape>
          </w:pict>
        </mc:Fallback>
      </mc:AlternateContent>
    </w:r>
    <w:sdt>
      <w:sdtPr>
        <w:id w:val="-1910071747"/>
        <w:docPartObj>
          <w:docPartGallery w:val="Page Numbers (Bottom of Page)"/>
          <w:docPartUnique/>
        </w:docPartObj>
      </w:sdtPr>
      <w:sdtContent>
        <w:sdt>
          <w:sdtPr>
            <w:id w:val="-305698581"/>
            <w:docPartObj>
              <w:docPartGallery w:val="Page Numbers (Top of Page)"/>
              <w:docPartUnique/>
            </w:docPartObj>
          </w:sdtPr>
          <w:sdtContent>
            <w:r w:rsidR="00552850">
              <w:tab/>
            </w:r>
          </w:sdtContent>
        </w:sdt>
      </w:sdtContent>
    </w:sdt>
    <w:r w:rsidR="000E1127">
      <w:rPr>
        <w:b/>
        <w:bCs/>
        <w:sz w:val="24"/>
        <w:szCs w:val="24"/>
      </w:rPr>
      <w:fldChar w:fldCharType="begin"/>
    </w:r>
    <w:r w:rsidR="000E1127">
      <w:rPr>
        <w:b/>
        <w:bCs/>
      </w:rPr>
      <w:instrText xml:space="preserve"> PAGE </w:instrText>
    </w:r>
    <w:r w:rsidR="000E1127">
      <w:rPr>
        <w:b/>
        <w:bCs/>
        <w:sz w:val="24"/>
        <w:szCs w:val="24"/>
      </w:rPr>
      <w:fldChar w:fldCharType="separate"/>
    </w:r>
    <w:r w:rsidR="000E1127">
      <w:rPr>
        <w:b/>
        <w:bCs/>
        <w:sz w:val="24"/>
        <w:szCs w:val="24"/>
      </w:rPr>
      <w:t>1</w:t>
    </w:r>
    <w:r w:rsidR="000E1127">
      <w:rPr>
        <w:b/>
        <w:bCs/>
        <w:sz w:val="24"/>
        <w:szCs w:val="24"/>
      </w:rPr>
      <w:fldChar w:fldCharType="end"/>
    </w:r>
    <w:r w:rsidR="000E1127">
      <w:t xml:space="preserve"> of </w:t>
    </w:r>
    <w:r w:rsidR="00B33DBC">
      <w:rPr>
        <w:b/>
        <w:bCs/>
      </w:rPr>
      <w:t>18</w:t>
    </w:r>
  </w:p>
  <w:p w14:paraId="45DE4FE9" w14:textId="77777777" w:rsidR="003C1E80" w:rsidRDefault="003C1E80" w:rsidP="00552850">
    <w:pPr>
      <w:pStyle w:val="Footer"/>
      <w:tabs>
        <w:tab w:val="clear" w:pos="9026"/>
        <w:tab w:val="left" w:pos="7851"/>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6DDD5" w14:textId="77777777" w:rsidR="008B72AB" w:rsidRDefault="008B72AB" w:rsidP="00A15617">
      <w:r>
        <w:separator/>
      </w:r>
    </w:p>
    <w:p w14:paraId="68092E49" w14:textId="77777777" w:rsidR="008B72AB" w:rsidRDefault="008B72AB" w:rsidP="00A15617"/>
  </w:footnote>
  <w:footnote w:type="continuationSeparator" w:id="0">
    <w:p w14:paraId="45F1180C" w14:textId="77777777" w:rsidR="008B72AB" w:rsidRDefault="008B72AB" w:rsidP="00A15617">
      <w:r>
        <w:continuationSeparator/>
      </w:r>
    </w:p>
    <w:p w14:paraId="4D34597A" w14:textId="77777777" w:rsidR="008B72AB" w:rsidRDefault="008B72AB" w:rsidP="00A15617"/>
  </w:footnote>
  <w:footnote w:type="continuationNotice" w:id="1">
    <w:p w14:paraId="41371ACE" w14:textId="77777777" w:rsidR="008B72AB" w:rsidRDefault="008B72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62D7C" w14:textId="669F5FC3" w:rsidR="0093549C" w:rsidRDefault="0093549C" w:rsidP="00A15617">
    <w:pPr>
      <w:pStyle w:val="Header"/>
    </w:pPr>
  </w:p>
  <w:p w14:paraId="0CC38739" w14:textId="77777777" w:rsidR="00B2788F" w:rsidRDefault="00B2788F" w:rsidP="00A1561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57280" w14:textId="052314A0" w:rsidR="00B60FED" w:rsidRDefault="00407B1A" w:rsidP="00A96286">
    <w:pPr>
      <w:pStyle w:val="Header"/>
      <w:tabs>
        <w:tab w:val="clear" w:pos="4513"/>
        <w:tab w:val="clear" w:pos="9026"/>
        <w:tab w:val="right" w:pos="9184"/>
      </w:tabs>
    </w:pPr>
    <w:r>
      <w:rPr>
        <w:noProof/>
      </w:rPr>
      <mc:AlternateContent>
        <mc:Choice Requires="wps">
          <w:drawing>
            <wp:anchor distT="0" distB="0" distL="114300" distR="114300" simplePos="0" relativeHeight="251658272" behindDoc="0" locked="0" layoutInCell="0" allowOverlap="1" wp14:anchorId="55A7A912" wp14:editId="57ABA303">
              <wp:simplePos x="0" y="0"/>
              <wp:positionH relativeFrom="page">
                <wp:posOffset>0</wp:posOffset>
              </wp:positionH>
              <wp:positionV relativeFrom="page">
                <wp:posOffset>190500</wp:posOffset>
              </wp:positionV>
              <wp:extent cx="7560310" cy="252095"/>
              <wp:effectExtent l="0" t="0" r="0" b="14605"/>
              <wp:wrapNone/>
              <wp:docPr id="32" name="Text Box 32" descr="{&quot;HashCode&quot;:352122633,&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EA3CF3" w14:textId="74992112" w:rsidR="00407B1A" w:rsidRPr="00407B1A" w:rsidRDefault="00407B1A" w:rsidP="00407B1A">
                          <w:pPr>
                            <w:spacing w:after="0"/>
                            <w:jc w:val="center"/>
                            <w:rPr>
                              <w:sz w:val="24"/>
                            </w:rPr>
                          </w:pPr>
                          <w:r w:rsidRPr="00407B1A">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5A7A912" id="_x0000_t202" coordsize="21600,21600" o:spt="202" path="m,l,21600r21600,l21600,xe">
              <v:stroke joinstyle="miter"/>
              <v:path gradientshapeok="t" o:connecttype="rect"/>
            </v:shapetype>
            <v:shape id="Text Box 32" o:spid="_x0000_s1026" type="#_x0000_t202" alt="{&quot;HashCode&quot;:352122633,&quot;Height&quot;:841.0,&quot;Width&quot;:595.0,&quot;Placement&quot;:&quot;Header&quot;,&quot;Index&quot;:&quot;Primary&quot;,&quot;Section&quot;:2,&quot;Top&quot;:0.0,&quot;Left&quot;:0.0}" style="position:absolute;left:0;text-align:left;margin-left:0;margin-top:15pt;width:595.3pt;height:19.85pt;z-index:2516582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7EA3CF3" w14:textId="74992112" w:rsidR="00407B1A" w:rsidRPr="00407B1A" w:rsidRDefault="00407B1A" w:rsidP="00407B1A">
                    <w:pPr>
                      <w:spacing w:after="0"/>
                      <w:jc w:val="center"/>
                      <w:rPr>
                        <w:sz w:val="24"/>
                      </w:rPr>
                    </w:pPr>
                    <w:r w:rsidRPr="00407B1A">
                      <w:rPr>
                        <w:sz w:val="24"/>
                      </w:rPr>
                      <w:t>OFFICIAL</w:t>
                    </w:r>
                  </w:p>
                </w:txbxContent>
              </v:textbox>
              <w10:wrap anchorx="page" anchory="page"/>
            </v:shape>
          </w:pict>
        </mc:Fallback>
      </mc:AlternateContent>
    </w:r>
    <w:r w:rsidR="00CF489E">
      <w:rPr>
        <w:noProof/>
      </w:rPr>
      <mc:AlternateContent>
        <mc:Choice Requires="wps">
          <w:drawing>
            <wp:anchor distT="0" distB="0" distL="114300" distR="114300" simplePos="0" relativeHeight="251658265" behindDoc="0" locked="0" layoutInCell="0" allowOverlap="1" wp14:anchorId="73961218" wp14:editId="13B05B51">
              <wp:simplePos x="0" y="0"/>
              <wp:positionH relativeFrom="page">
                <wp:posOffset>0</wp:posOffset>
              </wp:positionH>
              <wp:positionV relativeFrom="page">
                <wp:posOffset>190500</wp:posOffset>
              </wp:positionV>
              <wp:extent cx="7560310" cy="252095"/>
              <wp:effectExtent l="0" t="0" r="0" b="14605"/>
              <wp:wrapNone/>
              <wp:docPr id="27" name="Text Box 27" descr="{&quot;HashCode&quot;:352122633,&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155B76" w14:textId="0F2E6D8F" w:rsidR="00CF489E" w:rsidRPr="00CF489E" w:rsidRDefault="00CF489E" w:rsidP="00CF489E">
                          <w:pPr>
                            <w:spacing w:after="0"/>
                            <w:jc w:val="center"/>
                            <w:rPr>
                              <w:sz w:val="24"/>
                            </w:rPr>
                          </w:pPr>
                          <w:r w:rsidRPr="00CF489E">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73961218" id="Text Box 27" o:spid="_x0000_s1027" type="#_x0000_t202" alt="{&quot;HashCode&quot;:352122633,&quot;Height&quot;:841.0,&quot;Width&quot;:595.0,&quot;Placement&quot;:&quot;Header&quot;,&quot;Index&quot;:&quot;Primary&quot;,&quot;Section&quot;:2,&quot;Top&quot;:0.0,&quot;Left&quot;:0.0}" style="position:absolute;left:0;text-align:left;margin-left:0;margin-top:15pt;width:595.3pt;height:19.85pt;z-index:25165826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4B155B76" w14:textId="0F2E6D8F" w:rsidR="00CF489E" w:rsidRPr="00CF489E" w:rsidRDefault="00CF489E" w:rsidP="00CF489E">
                    <w:pPr>
                      <w:spacing w:after="0"/>
                      <w:jc w:val="center"/>
                      <w:rPr>
                        <w:sz w:val="24"/>
                      </w:rPr>
                    </w:pPr>
                    <w:r w:rsidRPr="00CF489E">
                      <w:rPr>
                        <w:sz w:val="24"/>
                      </w:rPr>
                      <w:t>OFFICIAL</w:t>
                    </w:r>
                  </w:p>
                </w:txbxContent>
              </v:textbox>
              <w10:wrap anchorx="page" anchory="page"/>
            </v:shape>
          </w:pict>
        </mc:Fallback>
      </mc:AlternateContent>
    </w:r>
    <w:r w:rsidR="00C3523B">
      <w:rPr>
        <w:noProof/>
      </w:rPr>
      <mc:AlternateContent>
        <mc:Choice Requires="wps">
          <w:drawing>
            <wp:anchor distT="0" distB="0" distL="114300" distR="114300" simplePos="0" relativeHeight="251658257" behindDoc="0" locked="0" layoutInCell="0" allowOverlap="1" wp14:anchorId="47F42716" wp14:editId="2F6C2C82">
              <wp:simplePos x="0" y="0"/>
              <wp:positionH relativeFrom="page">
                <wp:posOffset>0</wp:posOffset>
              </wp:positionH>
              <wp:positionV relativeFrom="page">
                <wp:posOffset>190500</wp:posOffset>
              </wp:positionV>
              <wp:extent cx="7560310" cy="252095"/>
              <wp:effectExtent l="0" t="0" r="0" b="14605"/>
              <wp:wrapNone/>
              <wp:docPr id="18" name="Text Box 18" descr="{&quot;HashCode&quot;:352122633,&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D5F3B2" w14:textId="155E01AD" w:rsidR="00C3523B" w:rsidRPr="00C3523B" w:rsidRDefault="00C3523B" w:rsidP="00C3523B">
                          <w:pPr>
                            <w:spacing w:after="0"/>
                            <w:jc w:val="center"/>
                            <w:rPr>
                              <w:sz w:val="24"/>
                            </w:rPr>
                          </w:pPr>
                          <w:r w:rsidRPr="00C3523B">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47F42716" id="Text Box 18" o:spid="_x0000_s1028" type="#_x0000_t202" alt="{&quot;HashCode&quot;:352122633,&quot;Height&quot;:841.0,&quot;Width&quot;:595.0,&quot;Placement&quot;:&quot;Header&quot;,&quot;Index&quot;:&quot;Primary&quot;,&quot;Section&quot;:2,&quot;Top&quot;:0.0,&quot;Left&quot;:0.0}" style="position:absolute;left:0;text-align:left;margin-left:0;margin-top:15pt;width:595.3pt;height:19.85pt;z-index:25165825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74D5F3B2" w14:textId="155E01AD" w:rsidR="00C3523B" w:rsidRPr="00C3523B" w:rsidRDefault="00C3523B" w:rsidP="00C3523B">
                    <w:pPr>
                      <w:spacing w:after="0"/>
                      <w:jc w:val="center"/>
                      <w:rPr>
                        <w:sz w:val="24"/>
                      </w:rPr>
                    </w:pPr>
                    <w:r w:rsidRPr="00C3523B">
                      <w:rPr>
                        <w:sz w:val="24"/>
                      </w:rPr>
                      <w:t>OFFICIAL</w:t>
                    </w:r>
                  </w:p>
                </w:txbxContent>
              </v:textbox>
              <w10:wrap anchorx="page" anchory="page"/>
            </v:shape>
          </w:pict>
        </mc:Fallback>
      </mc:AlternateContent>
    </w:r>
    <w:r w:rsidR="003D27CC">
      <w:rPr>
        <w:noProof/>
      </w:rPr>
      <mc:AlternateContent>
        <mc:Choice Requires="wps">
          <w:drawing>
            <wp:anchor distT="0" distB="0" distL="114300" distR="114300" simplePos="0" relativeHeight="251658252" behindDoc="0" locked="0" layoutInCell="0" allowOverlap="1" wp14:anchorId="5BF6F888" wp14:editId="5C636513">
              <wp:simplePos x="0" y="0"/>
              <wp:positionH relativeFrom="page">
                <wp:posOffset>0</wp:posOffset>
              </wp:positionH>
              <wp:positionV relativeFrom="page">
                <wp:posOffset>190500</wp:posOffset>
              </wp:positionV>
              <wp:extent cx="7560310" cy="252095"/>
              <wp:effectExtent l="0" t="0" r="0" b="14605"/>
              <wp:wrapNone/>
              <wp:docPr id="10" name="Text Box 10" descr="{&quot;HashCode&quot;:352122633,&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991F81" w14:textId="1D7C23CF" w:rsidR="003D27CC" w:rsidRPr="003D27CC" w:rsidRDefault="003D27CC" w:rsidP="003D27CC">
                          <w:pPr>
                            <w:spacing w:after="0"/>
                            <w:jc w:val="center"/>
                            <w:rPr>
                              <w:sz w:val="24"/>
                            </w:rPr>
                          </w:pPr>
                          <w:r w:rsidRPr="003D27CC">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5BF6F888" id="Text Box 10" o:spid="_x0000_s1029" type="#_x0000_t202" alt="{&quot;HashCode&quot;:352122633,&quot;Height&quot;:841.0,&quot;Width&quot;:595.0,&quot;Placement&quot;:&quot;Header&quot;,&quot;Index&quot;:&quot;Primary&quot;,&quot;Section&quot;:2,&quot;Top&quot;:0.0,&quot;Left&quot;:0.0}" style="position:absolute;left:0;text-align:left;margin-left:0;margin-top:15pt;width:595.3pt;height:19.85pt;z-index:2516582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w3Fw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DPEfDcXAgAAKwQAAA4AAAAAAAAAAAAAAAAALgIAAGRycy9lMm9Eb2MueG1sUEsBAi0AFAAGAAgA&#10;AAAhAKCK+GTcAAAABwEAAA8AAAAAAAAAAAAAAAAAcQQAAGRycy9kb3ducmV2LnhtbFBLBQYAAAAA&#10;BAAEAPMAAAB6BQAAAAA=&#10;" o:allowincell="f" filled="f" stroked="f" strokeweight=".5pt">
              <v:textbox inset=",0,,0">
                <w:txbxContent>
                  <w:p w14:paraId="16991F81" w14:textId="1D7C23CF" w:rsidR="003D27CC" w:rsidRPr="003D27CC" w:rsidRDefault="003D27CC" w:rsidP="003D27CC">
                    <w:pPr>
                      <w:spacing w:after="0"/>
                      <w:jc w:val="center"/>
                      <w:rPr>
                        <w:sz w:val="24"/>
                      </w:rPr>
                    </w:pPr>
                    <w:r w:rsidRPr="003D27CC">
                      <w:rPr>
                        <w:sz w:val="24"/>
                      </w:rPr>
                      <w:t>OFFICIAL</w:t>
                    </w:r>
                  </w:p>
                </w:txbxContent>
              </v:textbox>
              <w10:wrap anchorx="page" anchory="page"/>
            </v:shape>
          </w:pict>
        </mc:Fallback>
      </mc:AlternateContent>
    </w:r>
    <w:r w:rsidR="00A96286">
      <w:tab/>
    </w:r>
  </w:p>
  <w:p w14:paraId="0D88D1F9" w14:textId="1D2C133B" w:rsidR="00B2788F" w:rsidRDefault="00B2788F" w:rsidP="00A1561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4D8CB" w14:textId="136407C1" w:rsidR="0093549C" w:rsidRDefault="00407B1A" w:rsidP="00A15617">
    <w:pPr>
      <w:pStyle w:val="Header"/>
    </w:pPr>
    <w:r>
      <w:rPr>
        <w:noProof/>
      </w:rPr>
      <mc:AlternateContent>
        <mc:Choice Requires="wps">
          <w:drawing>
            <wp:anchor distT="0" distB="0" distL="114300" distR="114300" simplePos="1" relativeHeight="251658273" behindDoc="0" locked="0" layoutInCell="0" allowOverlap="1" wp14:anchorId="7F8A3F44" wp14:editId="39D7D950">
              <wp:simplePos x="0" y="190500"/>
              <wp:positionH relativeFrom="page">
                <wp:posOffset>0</wp:posOffset>
              </wp:positionH>
              <wp:positionV relativeFrom="page">
                <wp:posOffset>190500</wp:posOffset>
              </wp:positionV>
              <wp:extent cx="7560310" cy="252095"/>
              <wp:effectExtent l="0" t="0" r="0" b="14605"/>
              <wp:wrapNone/>
              <wp:docPr id="33" name="Text Box 33" descr="{&quot;HashCode&quot;:352122633,&quot;Height&quot;:841.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E74055" w14:textId="3F6EAC23" w:rsidR="00407B1A" w:rsidRPr="00407B1A" w:rsidRDefault="00407B1A" w:rsidP="00407B1A">
                          <w:pPr>
                            <w:spacing w:after="0"/>
                            <w:jc w:val="center"/>
                            <w:rPr>
                              <w:sz w:val="24"/>
                            </w:rPr>
                          </w:pPr>
                          <w:r w:rsidRPr="00407B1A">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F8A3F44" id="_x0000_t202" coordsize="21600,21600" o:spt="202" path="m,l,21600r21600,l21600,xe">
              <v:stroke joinstyle="miter"/>
              <v:path gradientshapeok="t" o:connecttype="rect"/>
            </v:shapetype>
            <v:shape id="Text Box 33" o:spid="_x0000_s1033" type="#_x0000_t202" alt="{&quot;HashCode&quot;:352122633,&quot;Height&quot;:841.0,&quot;Width&quot;:595.0,&quot;Placement&quot;:&quot;Header&quot;,&quot;Index&quot;:&quot;FirstPage&quot;,&quot;Section&quot;:2,&quot;Top&quot;:0.0,&quot;Left&quot;:0.0}" style="position:absolute;left:0;text-align:left;margin-left:0;margin-top:15pt;width:595.3pt;height:19.85pt;z-index:25165827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el4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Rxr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DDx6XgXAgAAKwQAAA4AAAAAAAAAAAAAAAAALgIAAGRycy9lMm9Eb2MueG1sUEsBAi0AFAAGAAgA&#10;AAAhAKCK+GTcAAAABwEAAA8AAAAAAAAAAAAAAAAAcQQAAGRycy9kb3ducmV2LnhtbFBLBQYAAAAA&#10;BAAEAPMAAAB6BQAAAAA=&#10;" o:allowincell="f" filled="f" stroked="f" strokeweight=".5pt">
              <v:textbox inset=",0,,0">
                <w:txbxContent>
                  <w:p w14:paraId="01E74055" w14:textId="3F6EAC23" w:rsidR="00407B1A" w:rsidRPr="00407B1A" w:rsidRDefault="00407B1A" w:rsidP="00407B1A">
                    <w:pPr>
                      <w:spacing w:after="0"/>
                      <w:jc w:val="center"/>
                      <w:rPr>
                        <w:sz w:val="24"/>
                      </w:rPr>
                    </w:pPr>
                    <w:r w:rsidRPr="00407B1A">
                      <w:rPr>
                        <w:sz w:val="24"/>
                      </w:rPr>
                      <w:t>OFFICIAL</w:t>
                    </w:r>
                  </w:p>
                </w:txbxContent>
              </v:textbox>
              <w10:wrap anchorx="page" anchory="page"/>
            </v:shape>
          </w:pict>
        </mc:Fallback>
      </mc:AlternateContent>
    </w:r>
    <w:r w:rsidR="00CF489E">
      <w:rPr>
        <w:noProof/>
      </w:rPr>
      <mc:AlternateContent>
        <mc:Choice Requires="wps">
          <w:drawing>
            <wp:anchor distT="0" distB="0" distL="114300" distR="114300" simplePos="1" relativeHeight="251658266" behindDoc="0" locked="0" layoutInCell="0" allowOverlap="1" wp14:anchorId="4633C510" wp14:editId="09AF69F8">
              <wp:simplePos x="0" y="190500"/>
              <wp:positionH relativeFrom="page">
                <wp:posOffset>0</wp:posOffset>
              </wp:positionH>
              <wp:positionV relativeFrom="page">
                <wp:posOffset>190500</wp:posOffset>
              </wp:positionV>
              <wp:extent cx="7560310" cy="252095"/>
              <wp:effectExtent l="0" t="0" r="0" b="14605"/>
              <wp:wrapNone/>
              <wp:docPr id="28" name="Text Box 28" descr="{&quot;HashCode&quot;:352122633,&quot;Height&quot;:841.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7FB315" w14:textId="347FAAE4" w:rsidR="00CF489E" w:rsidRPr="00CF489E" w:rsidRDefault="00CF489E" w:rsidP="00CF489E">
                          <w:pPr>
                            <w:spacing w:after="0"/>
                            <w:jc w:val="center"/>
                            <w:rPr>
                              <w:sz w:val="24"/>
                            </w:rPr>
                          </w:pPr>
                          <w:r w:rsidRPr="00CF489E">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4633C510" id="Text Box 28" o:spid="_x0000_s1034" type="#_x0000_t202" alt="{&quot;HashCode&quot;:352122633,&quot;Height&quot;:841.0,&quot;Width&quot;:595.0,&quot;Placement&quot;:&quot;Header&quot;,&quot;Index&quot;:&quot;FirstPage&quot;,&quot;Section&quot;:2,&quot;Top&quot;:0.0,&quot;Left&quot;:0.0}" style="position:absolute;left:0;text-align:left;margin-left:0;margin-top:15pt;width:595.3pt;height:19.85pt;z-index:25165826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BkOKXqGAIAACsEAAAOAAAAAAAAAAAAAAAAAC4CAABkcnMvZTJvRG9jLnhtbFBLAQItABQABgAI&#10;AAAAIQCgivhk3AAAAAcBAAAPAAAAAAAAAAAAAAAAAHIEAABkcnMvZG93bnJldi54bWxQSwUGAAAA&#10;AAQABADzAAAAewUAAAAA&#10;" o:allowincell="f" filled="f" stroked="f" strokeweight=".5pt">
              <v:textbox inset=",0,,0">
                <w:txbxContent>
                  <w:p w14:paraId="5E7FB315" w14:textId="347FAAE4" w:rsidR="00CF489E" w:rsidRPr="00CF489E" w:rsidRDefault="00CF489E" w:rsidP="00CF489E">
                    <w:pPr>
                      <w:spacing w:after="0"/>
                      <w:jc w:val="center"/>
                      <w:rPr>
                        <w:sz w:val="24"/>
                      </w:rPr>
                    </w:pPr>
                    <w:r w:rsidRPr="00CF489E">
                      <w:rPr>
                        <w:sz w:val="24"/>
                      </w:rPr>
                      <w:t>OFFICIAL</w:t>
                    </w:r>
                  </w:p>
                </w:txbxContent>
              </v:textbox>
              <w10:wrap anchorx="page" anchory="page"/>
            </v:shape>
          </w:pict>
        </mc:Fallback>
      </mc:AlternateContent>
    </w:r>
    <w:r w:rsidR="00C3523B">
      <w:rPr>
        <w:noProof/>
      </w:rPr>
      <mc:AlternateContent>
        <mc:Choice Requires="wps">
          <w:drawing>
            <wp:anchor distT="0" distB="0" distL="114300" distR="114300" simplePos="1" relativeHeight="251658260" behindDoc="0" locked="0" layoutInCell="0" allowOverlap="1" wp14:anchorId="08DBD303" wp14:editId="0D35AA25">
              <wp:simplePos x="0" y="190500"/>
              <wp:positionH relativeFrom="page">
                <wp:posOffset>0</wp:posOffset>
              </wp:positionH>
              <wp:positionV relativeFrom="page">
                <wp:posOffset>190500</wp:posOffset>
              </wp:positionV>
              <wp:extent cx="7560310" cy="252095"/>
              <wp:effectExtent l="0" t="0" r="0" b="14605"/>
              <wp:wrapNone/>
              <wp:docPr id="19" name="Text Box 19" descr="{&quot;HashCode&quot;:352122633,&quot;Height&quot;:841.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ADAE29" w14:textId="7FC19307" w:rsidR="00C3523B" w:rsidRPr="00C3523B" w:rsidRDefault="00C3523B" w:rsidP="00C3523B">
                          <w:pPr>
                            <w:spacing w:after="0"/>
                            <w:jc w:val="center"/>
                            <w:rPr>
                              <w:sz w:val="24"/>
                            </w:rPr>
                          </w:pPr>
                          <w:r w:rsidRPr="00C3523B">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08DBD303" id="Text Box 19" o:spid="_x0000_s1035" type="#_x0000_t202" alt="{&quot;HashCode&quot;:352122633,&quot;Height&quot;:841.0,&quot;Width&quot;:595.0,&quot;Placement&quot;:&quot;Header&quot;,&quot;Index&quot;:&quot;FirstPage&quot;,&quot;Section&quot;:2,&quot;Top&quot;:0.0,&quot;Left&quot;:0.0}" style="position:absolute;left:0;text-align:left;margin-left:0;margin-top:15pt;width:595.3pt;height:19.85pt;z-index:2516582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JS3JGIXAgAAKwQAAA4AAAAAAAAAAAAAAAAALgIAAGRycy9lMm9Eb2MueG1sUEsBAi0AFAAGAAgA&#10;AAAhAKCK+GTcAAAABwEAAA8AAAAAAAAAAAAAAAAAcQQAAGRycy9kb3ducmV2LnhtbFBLBQYAAAAA&#10;BAAEAPMAAAB6BQAAAAA=&#10;" o:allowincell="f" filled="f" stroked="f" strokeweight=".5pt">
              <v:textbox inset=",0,,0">
                <w:txbxContent>
                  <w:p w14:paraId="3DADAE29" w14:textId="7FC19307" w:rsidR="00C3523B" w:rsidRPr="00C3523B" w:rsidRDefault="00C3523B" w:rsidP="00C3523B">
                    <w:pPr>
                      <w:spacing w:after="0"/>
                      <w:jc w:val="center"/>
                      <w:rPr>
                        <w:sz w:val="24"/>
                      </w:rPr>
                    </w:pPr>
                    <w:r w:rsidRPr="00C3523B">
                      <w:rPr>
                        <w:sz w:val="24"/>
                      </w:rPr>
                      <w:t>OFFICIAL</w:t>
                    </w:r>
                  </w:p>
                </w:txbxContent>
              </v:textbox>
              <w10:wrap anchorx="page" anchory="page"/>
            </v:shape>
          </w:pict>
        </mc:Fallback>
      </mc:AlternateContent>
    </w:r>
    <w:r w:rsidR="003D27CC">
      <w:rPr>
        <w:noProof/>
      </w:rPr>
      <mc:AlternateContent>
        <mc:Choice Requires="wps">
          <w:drawing>
            <wp:anchor distT="0" distB="0" distL="114300" distR="114300" simplePos="1" relativeHeight="251658246" behindDoc="0" locked="0" layoutInCell="0" allowOverlap="1" wp14:anchorId="209B8179" wp14:editId="3F87BF55">
              <wp:simplePos x="0" y="190500"/>
              <wp:positionH relativeFrom="page">
                <wp:posOffset>0</wp:posOffset>
              </wp:positionH>
              <wp:positionV relativeFrom="page">
                <wp:posOffset>190500</wp:posOffset>
              </wp:positionV>
              <wp:extent cx="7560310" cy="252095"/>
              <wp:effectExtent l="0" t="0" r="0" b="14605"/>
              <wp:wrapNone/>
              <wp:docPr id="11" name="Text Box 11" descr="{&quot;HashCode&quot;:352122633,&quot;Height&quot;:841.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9AC08F" w14:textId="3C076B13" w:rsidR="003D27CC" w:rsidRPr="003D27CC" w:rsidRDefault="003D27CC" w:rsidP="003D27CC">
                          <w:pPr>
                            <w:spacing w:after="0"/>
                            <w:jc w:val="center"/>
                            <w:rPr>
                              <w:sz w:val="24"/>
                            </w:rPr>
                          </w:pPr>
                          <w:r w:rsidRPr="003D27CC">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209B8179" id="Text Box 11" o:spid="_x0000_s1036" type="#_x0000_t202" alt="{&quot;HashCode&quot;:352122633,&quot;Height&quot;:841.0,&quot;Width&quot;:595.0,&quot;Placement&quot;:&quot;Header&quot;,&quot;Index&quot;:&quot;FirstPage&quot;,&quot;Section&quot;:2,&quot;Top&quot;:0.0,&quot;Left&quot;:0.0}" style="position:absolute;left:0;text-align:left;margin-left:0;margin-top:15pt;width:595.3pt;height:19.8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untFgIAACw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hrcIzObXBtoDrifh4H64PhK4RAP&#10;LMRn5pFrnBv1G5/wkBqwGRwtSlrwv/7mT/lIAUYp6VA7NQ0/d8wLSvR3i+TcjK+vk9jyBQ3/1rs5&#10;ee3O3AHKcowvxPFsptyoT6b0YF5R3svUDUPMcuxZ03gy7+KgZHweXCyXOQll5Vh8sGvHU+kEZ4L2&#10;pX9l3h3xj8jcI5zUxap3NAy5AxHLXQSpMkcXNI+4oyQzy8fnkzT/9p6zLo988Rs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mkrp7RYCAAAsBAAADgAAAAAAAAAAAAAAAAAuAgAAZHJzL2Uyb0RvYy54bWxQSwECLQAUAAYACAAA&#10;ACEAoIr4ZNwAAAAHAQAADwAAAAAAAAAAAAAAAABwBAAAZHJzL2Rvd25yZXYueG1sUEsFBgAAAAAE&#10;AAQA8wAAAHkFAAAAAA==&#10;" o:allowincell="f" filled="f" stroked="f" strokeweight=".5pt">
              <v:textbox inset=",0,,0">
                <w:txbxContent>
                  <w:p w14:paraId="5B9AC08F" w14:textId="3C076B13" w:rsidR="003D27CC" w:rsidRPr="003D27CC" w:rsidRDefault="003D27CC" w:rsidP="003D27CC">
                    <w:pPr>
                      <w:spacing w:after="0"/>
                      <w:jc w:val="center"/>
                      <w:rPr>
                        <w:sz w:val="24"/>
                      </w:rPr>
                    </w:pPr>
                    <w:r w:rsidRPr="003D27CC">
                      <w:rPr>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D4B0E"/>
    <w:multiLevelType w:val="multilevel"/>
    <w:tmpl w:val="157EF3A4"/>
    <w:lvl w:ilvl="0">
      <w:start w:val="1"/>
      <w:numFmt w:val="bullet"/>
      <w:lvlText w:val=""/>
      <w:lvlJc w:val="left"/>
      <w:pPr>
        <w:tabs>
          <w:tab w:val="num" w:pos="2770"/>
        </w:tabs>
        <w:ind w:left="2770" w:hanging="360"/>
      </w:pPr>
      <w:rPr>
        <w:rFonts w:ascii="Symbol" w:hAnsi="Symbol" w:hint="default"/>
        <w:sz w:val="20"/>
      </w:rPr>
    </w:lvl>
    <w:lvl w:ilvl="1" w:tentative="1">
      <w:start w:val="1"/>
      <w:numFmt w:val="bullet"/>
      <w:lvlText w:val=""/>
      <w:lvlJc w:val="left"/>
      <w:pPr>
        <w:tabs>
          <w:tab w:val="num" w:pos="3490"/>
        </w:tabs>
        <w:ind w:left="3490" w:hanging="360"/>
      </w:pPr>
      <w:rPr>
        <w:rFonts w:ascii="Symbol" w:hAnsi="Symbol" w:hint="default"/>
        <w:sz w:val="20"/>
      </w:rPr>
    </w:lvl>
    <w:lvl w:ilvl="2" w:tentative="1">
      <w:start w:val="1"/>
      <w:numFmt w:val="bullet"/>
      <w:lvlText w:val=""/>
      <w:lvlJc w:val="left"/>
      <w:pPr>
        <w:tabs>
          <w:tab w:val="num" w:pos="4210"/>
        </w:tabs>
        <w:ind w:left="4210" w:hanging="360"/>
      </w:pPr>
      <w:rPr>
        <w:rFonts w:ascii="Symbol" w:hAnsi="Symbol" w:hint="default"/>
        <w:sz w:val="20"/>
      </w:rPr>
    </w:lvl>
    <w:lvl w:ilvl="3" w:tentative="1">
      <w:start w:val="1"/>
      <w:numFmt w:val="bullet"/>
      <w:lvlText w:val=""/>
      <w:lvlJc w:val="left"/>
      <w:pPr>
        <w:tabs>
          <w:tab w:val="num" w:pos="4930"/>
        </w:tabs>
        <w:ind w:left="4930" w:hanging="360"/>
      </w:pPr>
      <w:rPr>
        <w:rFonts w:ascii="Symbol" w:hAnsi="Symbol" w:hint="default"/>
        <w:sz w:val="20"/>
      </w:rPr>
    </w:lvl>
    <w:lvl w:ilvl="4" w:tentative="1">
      <w:start w:val="1"/>
      <w:numFmt w:val="bullet"/>
      <w:lvlText w:val=""/>
      <w:lvlJc w:val="left"/>
      <w:pPr>
        <w:tabs>
          <w:tab w:val="num" w:pos="5650"/>
        </w:tabs>
        <w:ind w:left="5650" w:hanging="360"/>
      </w:pPr>
      <w:rPr>
        <w:rFonts w:ascii="Symbol" w:hAnsi="Symbol" w:hint="default"/>
        <w:sz w:val="20"/>
      </w:rPr>
    </w:lvl>
    <w:lvl w:ilvl="5" w:tentative="1">
      <w:start w:val="1"/>
      <w:numFmt w:val="bullet"/>
      <w:lvlText w:val=""/>
      <w:lvlJc w:val="left"/>
      <w:pPr>
        <w:tabs>
          <w:tab w:val="num" w:pos="6370"/>
        </w:tabs>
        <w:ind w:left="6370" w:hanging="360"/>
      </w:pPr>
      <w:rPr>
        <w:rFonts w:ascii="Symbol" w:hAnsi="Symbol" w:hint="default"/>
        <w:sz w:val="20"/>
      </w:rPr>
    </w:lvl>
    <w:lvl w:ilvl="6" w:tentative="1">
      <w:start w:val="1"/>
      <w:numFmt w:val="bullet"/>
      <w:lvlText w:val=""/>
      <w:lvlJc w:val="left"/>
      <w:pPr>
        <w:tabs>
          <w:tab w:val="num" w:pos="7090"/>
        </w:tabs>
        <w:ind w:left="7090" w:hanging="360"/>
      </w:pPr>
      <w:rPr>
        <w:rFonts w:ascii="Symbol" w:hAnsi="Symbol" w:hint="default"/>
        <w:sz w:val="20"/>
      </w:rPr>
    </w:lvl>
    <w:lvl w:ilvl="7" w:tentative="1">
      <w:start w:val="1"/>
      <w:numFmt w:val="bullet"/>
      <w:lvlText w:val=""/>
      <w:lvlJc w:val="left"/>
      <w:pPr>
        <w:tabs>
          <w:tab w:val="num" w:pos="7810"/>
        </w:tabs>
        <w:ind w:left="7810" w:hanging="360"/>
      </w:pPr>
      <w:rPr>
        <w:rFonts w:ascii="Symbol" w:hAnsi="Symbol" w:hint="default"/>
        <w:sz w:val="20"/>
      </w:rPr>
    </w:lvl>
    <w:lvl w:ilvl="8" w:tentative="1">
      <w:start w:val="1"/>
      <w:numFmt w:val="bullet"/>
      <w:lvlText w:val=""/>
      <w:lvlJc w:val="left"/>
      <w:pPr>
        <w:tabs>
          <w:tab w:val="num" w:pos="8530"/>
        </w:tabs>
        <w:ind w:left="8530" w:hanging="360"/>
      </w:pPr>
      <w:rPr>
        <w:rFonts w:ascii="Symbol" w:hAnsi="Symbol" w:hint="default"/>
        <w:sz w:val="20"/>
      </w:rPr>
    </w:lvl>
  </w:abstractNum>
  <w:abstractNum w:abstractNumId="1" w15:restartNumberingAfterBreak="0">
    <w:nsid w:val="08570F88"/>
    <w:multiLevelType w:val="hybridMultilevel"/>
    <w:tmpl w:val="162CF5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E449AC"/>
    <w:multiLevelType w:val="hybridMultilevel"/>
    <w:tmpl w:val="D0222F44"/>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FFFFFFFF">
      <w:start w:val="1"/>
      <w:numFmt w:val="bullet"/>
      <w:lvlText w:val=""/>
      <w:lvlJc w:val="left"/>
      <w:pPr>
        <w:ind w:left="1080" w:hanging="360"/>
      </w:pPr>
      <w:rPr>
        <w:rFonts w:ascii="Wingdings" w:hAnsi="Wingdings" w:hint="default"/>
      </w:rPr>
    </w:lvl>
    <w:lvl w:ilvl="3" w:tplc="FFFFFFFF">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3" w15:restartNumberingAfterBreak="0">
    <w:nsid w:val="09FD5C0E"/>
    <w:multiLevelType w:val="hybridMultilevel"/>
    <w:tmpl w:val="954AE06A"/>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CB62C0"/>
    <w:multiLevelType w:val="hybridMultilevel"/>
    <w:tmpl w:val="D318DFC8"/>
    <w:lvl w:ilvl="0" w:tplc="E0F49FF4">
      <w:start w:val="1"/>
      <w:numFmt w:val="bullet"/>
      <w:pStyle w:val="bullet1"/>
      <w:lvlText w:val=""/>
      <w:lvlJc w:val="left"/>
      <w:pPr>
        <w:tabs>
          <w:tab w:val="num" w:pos="284"/>
        </w:tabs>
        <w:ind w:left="28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ABE02EB0">
      <w:numFmt w:val="bullet"/>
      <w:lvlText w:val="•"/>
      <w:lvlJc w:val="left"/>
      <w:pPr>
        <w:ind w:left="2160" w:hanging="360"/>
      </w:pPr>
      <w:rPr>
        <w:rFonts w:ascii="Arial" w:eastAsiaTheme="minorHAnsi" w:hAnsi="Arial" w:cs="Arial" w:hint="default"/>
        <w:b/>
        <w:u w:val="single"/>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377B08"/>
    <w:multiLevelType w:val="multilevel"/>
    <w:tmpl w:val="5686C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E5493"/>
    <w:multiLevelType w:val="hybridMultilevel"/>
    <w:tmpl w:val="8FF4FA06"/>
    <w:lvl w:ilvl="0" w:tplc="69F8BC1E">
      <w:start w:val="1"/>
      <w:numFmt w:val="bullet"/>
      <w:lvlText w:val=""/>
      <w:lvlJc w:val="left"/>
      <w:pPr>
        <w:tabs>
          <w:tab w:val="num" w:pos="720"/>
        </w:tabs>
        <w:ind w:left="720" w:hanging="360"/>
      </w:pPr>
      <w:rPr>
        <w:rFonts w:ascii="Symbol" w:hAnsi="Symbol" w:hint="default"/>
      </w:rPr>
    </w:lvl>
    <w:lvl w:ilvl="1" w:tplc="478EAAC4" w:tentative="1">
      <w:start w:val="1"/>
      <w:numFmt w:val="bullet"/>
      <w:lvlText w:val=""/>
      <w:lvlJc w:val="left"/>
      <w:pPr>
        <w:tabs>
          <w:tab w:val="num" w:pos="1440"/>
        </w:tabs>
        <w:ind w:left="1440" w:hanging="360"/>
      </w:pPr>
      <w:rPr>
        <w:rFonts w:ascii="Symbol" w:hAnsi="Symbol" w:hint="default"/>
      </w:rPr>
    </w:lvl>
    <w:lvl w:ilvl="2" w:tplc="CF92BE24" w:tentative="1">
      <w:start w:val="1"/>
      <w:numFmt w:val="bullet"/>
      <w:lvlText w:val=""/>
      <w:lvlJc w:val="left"/>
      <w:pPr>
        <w:tabs>
          <w:tab w:val="num" w:pos="2160"/>
        </w:tabs>
        <w:ind w:left="2160" w:hanging="360"/>
      </w:pPr>
      <w:rPr>
        <w:rFonts w:ascii="Symbol" w:hAnsi="Symbol" w:hint="default"/>
      </w:rPr>
    </w:lvl>
    <w:lvl w:ilvl="3" w:tplc="0D14F694" w:tentative="1">
      <w:start w:val="1"/>
      <w:numFmt w:val="bullet"/>
      <w:lvlText w:val=""/>
      <w:lvlJc w:val="left"/>
      <w:pPr>
        <w:tabs>
          <w:tab w:val="num" w:pos="2880"/>
        </w:tabs>
        <w:ind w:left="2880" w:hanging="360"/>
      </w:pPr>
      <w:rPr>
        <w:rFonts w:ascii="Symbol" w:hAnsi="Symbol" w:hint="default"/>
      </w:rPr>
    </w:lvl>
    <w:lvl w:ilvl="4" w:tplc="4E64BCA4" w:tentative="1">
      <w:start w:val="1"/>
      <w:numFmt w:val="bullet"/>
      <w:lvlText w:val=""/>
      <w:lvlJc w:val="left"/>
      <w:pPr>
        <w:tabs>
          <w:tab w:val="num" w:pos="3600"/>
        </w:tabs>
        <w:ind w:left="3600" w:hanging="360"/>
      </w:pPr>
      <w:rPr>
        <w:rFonts w:ascii="Symbol" w:hAnsi="Symbol" w:hint="default"/>
      </w:rPr>
    </w:lvl>
    <w:lvl w:ilvl="5" w:tplc="55C82A28" w:tentative="1">
      <w:start w:val="1"/>
      <w:numFmt w:val="bullet"/>
      <w:lvlText w:val=""/>
      <w:lvlJc w:val="left"/>
      <w:pPr>
        <w:tabs>
          <w:tab w:val="num" w:pos="4320"/>
        </w:tabs>
        <w:ind w:left="4320" w:hanging="360"/>
      </w:pPr>
      <w:rPr>
        <w:rFonts w:ascii="Symbol" w:hAnsi="Symbol" w:hint="default"/>
      </w:rPr>
    </w:lvl>
    <w:lvl w:ilvl="6" w:tplc="B8062E18" w:tentative="1">
      <w:start w:val="1"/>
      <w:numFmt w:val="bullet"/>
      <w:lvlText w:val=""/>
      <w:lvlJc w:val="left"/>
      <w:pPr>
        <w:tabs>
          <w:tab w:val="num" w:pos="5040"/>
        </w:tabs>
        <w:ind w:left="5040" w:hanging="360"/>
      </w:pPr>
      <w:rPr>
        <w:rFonts w:ascii="Symbol" w:hAnsi="Symbol" w:hint="default"/>
      </w:rPr>
    </w:lvl>
    <w:lvl w:ilvl="7" w:tplc="D9B244C8" w:tentative="1">
      <w:start w:val="1"/>
      <w:numFmt w:val="bullet"/>
      <w:lvlText w:val=""/>
      <w:lvlJc w:val="left"/>
      <w:pPr>
        <w:tabs>
          <w:tab w:val="num" w:pos="5760"/>
        </w:tabs>
        <w:ind w:left="5760" w:hanging="360"/>
      </w:pPr>
      <w:rPr>
        <w:rFonts w:ascii="Symbol" w:hAnsi="Symbol" w:hint="default"/>
      </w:rPr>
    </w:lvl>
    <w:lvl w:ilvl="8" w:tplc="FDCC00F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66404B4"/>
    <w:multiLevelType w:val="hybridMultilevel"/>
    <w:tmpl w:val="375E86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897DD7"/>
    <w:multiLevelType w:val="hybridMultilevel"/>
    <w:tmpl w:val="69D46AFE"/>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9" w15:restartNumberingAfterBreak="0">
    <w:nsid w:val="305F665F"/>
    <w:multiLevelType w:val="hybridMultilevel"/>
    <w:tmpl w:val="3AFC68C4"/>
    <w:lvl w:ilvl="0" w:tplc="FFFFFFFF">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41375D4"/>
    <w:multiLevelType w:val="hybridMultilevel"/>
    <w:tmpl w:val="DE6A475C"/>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FFFFFFFF">
      <w:start w:val="1"/>
      <w:numFmt w:val="bullet"/>
      <w:lvlText w:val=""/>
      <w:lvlJc w:val="left"/>
      <w:pPr>
        <w:ind w:left="1080" w:hanging="360"/>
      </w:pPr>
      <w:rPr>
        <w:rFonts w:ascii="Wingdings" w:hAnsi="Wingdings" w:hint="default"/>
      </w:rPr>
    </w:lvl>
    <w:lvl w:ilvl="3" w:tplc="FFFFFFFF">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11" w15:restartNumberingAfterBreak="0">
    <w:nsid w:val="356B7CD3"/>
    <w:multiLevelType w:val="hybridMultilevel"/>
    <w:tmpl w:val="B01E02C6"/>
    <w:lvl w:ilvl="0" w:tplc="093A77C8">
      <w:start w:val="1"/>
      <w:numFmt w:val="bullet"/>
      <w:pStyle w:val="Bullet2"/>
      <w:lvlText w:val="o"/>
      <w:lvlJc w:val="left"/>
      <w:pPr>
        <w:ind w:left="1080" w:hanging="360"/>
      </w:pPr>
      <w:rPr>
        <w:rFonts w:ascii="Courier New" w:hAnsi="Courier New" w:cs="Courier New"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12" w15:restartNumberingAfterBreak="0">
    <w:nsid w:val="361462EF"/>
    <w:multiLevelType w:val="hybridMultilevel"/>
    <w:tmpl w:val="501A58E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991DA6"/>
    <w:multiLevelType w:val="hybridMultilevel"/>
    <w:tmpl w:val="A95484FE"/>
    <w:lvl w:ilvl="0" w:tplc="1D42E856">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37F10D8"/>
    <w:multiLevelType w:val="hybridMultilevel"/>
    <w:tmpl w:val="BB1833A2"/>
    <w:lvl w:ilvl="0" w:tplc="47F01128">
      <w:start w:val="1"/>
      <w:numFmt w:val="bullet"/>
      <w:pStyle w:val="Heading5"/>
      <w:lvlText w:val=""/>
      <w:lvlJc w:val="left"/>
      <w:pPr>
        <w:ind w:left="720" w:hanging="360"/>
      </w:pPr>
      <w:rPr>
        <w:rFonts w:ascii="Symbol" w:hAnsi="Symbol" w:hint="default"/>
      </w:rPr>
    </w:lvl>
    <w:lvl w:ilvl="1" w:tplc="2E7A6EB4">
      <w:start w:val="1"/>
      <w:numFmt w:val="bullet"/>
      <w:pStyle w:val="Heading6"/>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AA2607"/>
    <w:multiLevelType w:val="hybridMultilevel"/>
    <w:tmpl w:val="2AFC70D8"/>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7" w15:restartNumberingAfterBreak="0">
    <w:nsid w:val="45080758"/>
    <w:multiLevelType w:val="hybridMultilevel"/>
    <w:tmpl w:val="D050219E"/>
    <w:lvl w:ilvl="0" w:tplc="0C090001">
      <w:start w:val="1"/>
      <w:numFmt w:val="bullet"/>
      <w:lvlText w:val=""/>
      <w:lvlJc w:val="left"/>
      <w:pPr>
        <w:tabs>
          <w:tab w:val="num" w:pos="720"/>
        </w:tabs>
        <w:ind w:left="720" w:hanging="360"/>
      </w:pPr>
      <w:rPr>
        <w:rFonts w:ascii="Symbol" w:hAnsi="Symbol" w:hint="default"/>
      </w:rPr>
    </w:lvl>
    <w:lvl w:ilvl="1" w:tplc="0E94A20C">
      <w:start w:val="1"/>
      <w:numFmt w:val="lowerLetter"/>
      <w:lvlText w:val="%2."/>
      <w:lvlJc w:val="left"/>
      <w:pPr>
        <w:tabs>
          <w:tab w:val="num" w:pos="1440"/>
        </w:tabs>
        <w:ind w:left="1440" w:hanging="360"/>
      </w:pPr>
    </w:lvl>
    <w:lvl w:ilvl="2" w:tplc="406A845E" w:tentative="1">
      <w:start w:val="1"/>
      <w:numFmt w:val="decimal"/>
      <w:lvlText w:val="%3."/>
      <w:lvlJc w:val="left"/>
      <w:pPr>
        <w:tabs>
          <w:tab w:val="num" w:pos="2160"/>
        </w:tabs>
        <w:ind w:left="2160" w:hanging="360"/>
      </w:pPr>
    </w:lvl>
    <w:lvl w:ilvl="3" w:tplc="82F2DF2E" w:tentative="1">
      <w:start w:val="1"/>
      <w:numFmt w:val="decimal"/>
      <w:lvlText w:val="%4."/>
      <w:lvlJc w:val="left"/>
      <w:pPr>
        <w:tabs>
          <w:tab w:val="num" w:pos="2880"/>
        </w:tabs>
        <w:ind w:left="2880" w:hanging="360"/>
      </w:pPr>
    </w:lvl>
    <w:lvl w:ilvl="4" w:tplc="79786DCC" w:tentative="1">
      <w:start w:val="1"/>
      <w:numFmt w:val="decimal"/>
      <w:lvlText w:val="%5."/>
      <w:lvlJc w:val="left"/>
      <w:pPr>
        <w:tabs>
          <w:tab w:val="num" w:pos="3600"/>
        </w:tabs>
        <w:ind w:left="3600" w:hanging="360"/>
      </w:pPr>
    </w:lvl>
    <w:lvl w:ilvl="5" w:tplc="9BA8FFF8" w:tentative="1">
      <w:start w:val="1"/>
      <w:numFmt w:val="decimal"/>
      <w:lvlText w:val="%6."/>
      <w:lvlJc w:val="left"/>
      <w:pPr>
        <w:tabs>
          <w:tab w:val="num" w:pos="4320"/>
        </w:tabs>
        <w:ind w:left="4320" w:hanging="360"/>
      </w:pPr>
    </w:lvl>
    <w:lvl w:ilvl="6" w:tplc="6824AFF0" w:tentative="1">
      <w:start w:val="1"/>
      <w:numFmt w:val="decimal"/>
      <w:lvlText w:val="%7."/>
      <w:lvlJc w:val="left"/>
      <w:pPr>
        <w:tabs>
          <w:tab w:val="num" w:pos="5040"/>
        </w:tabs>
        <w:ind w:left="5040" w:hanging="360"/>
      </w:pPr>
    </w:lvl>
    <w:lvl w:ilvl="7" w:tplc="40D6A02C" w:tentative="1">
      <w:start w:val="1"/>
      <w:numFmt w:val="decimal"/>
      <w:lvlText w:val="%8."/>
      <w:lvlJc w:val="left"/>
      <w:pPr>
        <w:tabs>
          <w:tab w:val="num" w:pos="5760"/>
        </w:tabs>
        <w:ind w:left="5760" w:hanging="360"/>
      </w:pPr>
    </w:lvl>
    <w:lvl w:ilvl="8" w:tplc="20FE30A8" w:tentative="1">
      <w:start w:val="1"/>
      <w:numFmt w:val="decimal"/>
      <w:lvlText w:val="%9."/>
      <w:lvlJc w:val="left"/>
      <w:pPr>
        <w:tabs>
          <w:tab w:val="num" w:pos="6480"/>
        </w:tabs>
        <w:ind w:left="6480" w:hanging="360"/>
      </w:pPr>
    </w:lvl>
  </w:abstractNum>
  <w:abstractNum w:abstractNumId="18" w15:restartNumberingAfterBreak="0">
    <w:nsid w:val="45B02464"/>
    <w:multiLevelType w:val="multilevel"/>
    <w:tmpl w:val="72C8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F62751"/>
    <w:multiLevelType w:val="multilevel"/>
    <w:tmpl w:val="9D88D3DE"/>
    <w:lvl w:ilvl="0">
      <w:start w:val="1"/>
      <w:numFmt w:val="decimal"/>
      <w:lvlText w:val="%1."/>
      <w:lvlJc w:val="left"/>
      <w:pPr>
        <w:ind w:left="360" w:hanging="360"/>
      </w:pPr>
    </w:lvl>
    <w:lvl w:ilvl="1">
      <w:start w:val="1"/>
      <w:numFmt w:val="decimal"/>
      <w:lvlText w:val="%1.%2."/>
      <w:lvlJc w:val="left"/>
      <w:pPr>
        <w:ind w:left="792" w:hanging="432"/>
      </w:pPr>
      <w:rPr>
        <w:b/>
        <w:bCs/>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A83904"/>
    <w:multiLevelType w:val="hybridMultilevel"/>
    <w:tmpl w:val="03E26E28"/>
    <w:lvl w:ilvl="0" w:tplc="9A0C54C0">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EC4ED5"/>
    <w:multiLevelType w:val="hybridMultilevel"/>
    <w:tmpl w:val="BB484362"/>
    <w:lvl w:ilvl="0" w:tplc="7B0AAD12">
      <w:start w:val="1"/>
      <w:numFmt w:val="bullet"/>
      <w:pStyle w:val="bullet20"/>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E96594"/>
    <w:multiLevelType w:val="hybridMultilevel"/>
    <w:tmpl w:val="4AAE6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0E2CCE"/>
    <w:multiLevelType w:val="multilevel"/>
    <w:tmpl w:val="2770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9F74D8"/>
    <w:multiLevelType w:val="hybridMultilevel"/>
    <w:tmpl w:val="AA52B7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4B36AF8"/>
    <w:multiLevelType w:val="hybridMultilevel"/>
    <w:tmpl w:val="925A0008"/>
    <w:lvl w:ilvl="0" w:tplc="981E3114">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5CFC9AC6">
      <w:numFmt w:val="bullet"/>
      <w:lvlText w:val="•"/>
      <w:lvlJc w:val="left"/>
      <w:pPr>
        <w:ind w:left="2160" w:hanging="720"/>
      </w:pPr>
      <w:rPr>
        <w:rFonts w:ascii="Arial" w:eastAsiaTheme="minorHAnsi"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E9D5F5F"/>
    <w:multiLevelType w:val="hybridMultilevel"/>
    <w:tmpl w:val="0916F0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F2F1FB7"/>
    <w:multiLevelType w:val="hybridMultilevel"/>
    <w:tmpl w:val="6FFEF90E"/>
    <w:lvl w:ilvl="0" w:tplc="29EA7D68">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F65541E"/>
    <w:multiLevelType w:val="multilevel"/>
    <w:tmpl w:val="B3C2D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9701976"/>
    <w:multiLevelType w:val="hybridMultilevel"/>
    <w:tmpl w:val="CDE45F12"/>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080" w:hanging="360"/>
      </w:pPr>
      <w:rPr>
        <w:rFonts w:ascii="Wingdings" w:hAnsi="Wingdings" w:hint="default"/>
      </w:rPr>
    </w:lvl>
    <w:lvl w:ilvl="3" w:tplc="0C09000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num w:numId="1" w16cid:durableId="101264059">
    <w:abstractNumId w:val="4"/>
  </w:num>
  <w:num w:numId="2" w16cid:durableId="215972853">
    <w:abstractNumId w:val="22"/>
  </w:num>
  <w:num w:numId="3" w16cid:durableId="174081412">
    <w:abstractNumId w:val="21"/>
  </w:num>
  <w:num w:numId="4" w16cid:durableId="515995465">
    <w:abstractNumId w:val="28"/>
  </w:num>
  <w:num w:numId="5" w16cid:durableId="4947280">
    <w:abstractNumId w:val="13"/>
  </w:num>
  <w:num w:numId="6" w16cid:durableId="1549143091">
    <w:abstractNumId w:val="23"/>
  </w:num>
  <w:num w:numId="7" w16cid:durableId="181481121">
    <w:abstractNumId w:val="4"/>
  </w:num>
  <w:num w:numId="8" w16cid:durableId="1694722085">
    <w:abstractNumId w:val="11"/>
  </w:num>
  <w:num w:numId="9" w16cid:durableId="401175289">
    <w:abstractNumId w:val="27"/>
  </w:num>
  <w:num w:numId="10" w16cid:durableId="291636414">
    <w:abstractNumId w:val="9"/>
  </w:num>
  <w:num w:numId="11" w16cid:durableId="1297683961">
    <w:abstractNumId w:val="7"/>
  </w:num>
  <w:num w:numId="12" w16cid:durableId="902451431">
    <w:abstractNumId w:val="8"/>
  </w:num>
  <w:num w:numId="13" w16cid:durableId="1527521922">
    <w:abstractNumId w:val="4"/>
  </w:num>
  <w:num w:numId="14" w16cid:durableId="1040324282">
    <w:abstractNumId w:val="4"/>
  </w:num>
  <w:num w:numId="15" w16cid:durableId="1955360928">
    <w:abstractNumId w:val="1"/>
  </w:num>
  <w:num w:numId="16" w16cid:durableId="1377201927">
    <w:abstractNumId w:val="17"/>
  </w:num>
  <w:num w:numId="17" w16cid:durableId="968822486">
    <w:abstractNumId w:val="4"/>
  </w:num>
  <w:num w:numId="18" w16cid:durableId="1695157333">
    <w:abstractNumId w:val="16"/>
  </w:num>
  <w:num w:numId="19" w16cid:durableId="441076536">
    <w:abstractNumId w:val="29"/>
  </w:num>
  <w:num w:numId="20" w16cid:durableId="1620256962">
    <w:abstractNumId w:val="6"/>
  </w:num>
  <w:num w:numId="21" w16cid:durableId="1641182149">
    <w:abstractNumId w:val="19"/>
  </w:num>
  <w:num w:numId="22" w16cid:durableId="1908108948">
    <w:abstractNumId w:val="4"/>
  </w:num>
  <w:num w:numId="23" w16cid:durableId="1595627180">
    <w:abstractNumId w:val="4"/>
  </w:num>
  <w:num w:numId="24" w16cid:durableId="446659954">
    <w:abstractNumId w:val="20"/>
  </w:num>
  <w:num w:numId="25" w16cid:durableId="1390609455">
    <w:abstractNumId w:val="4"/>
  </w:num>
  <w:num w:numId="26" w16cid:durableId="161429783">
    <w:abstractNumId w:val="4"/>
  </w:num>
  <w:num w:numId="27" w16cid:durableId="516308722">
    <w:abstractNumId w:val="4"/>
  </w:num>
  <w:num w:numId="28" w16cid:durableId="536890204">
    <w:abstractNumId w:val="26"/>
  </w:num>
  <w:num w:numId="29" w16cid:durableId="1202595571">
    <w:abstractNumId w:val="4"/>
  </w:num>
  <w:num w:numId="30" w16cid:durableId="1843738849">
    <w:abstractNumId w:val="4"/>
  </w:num>
  <w:num w:numId="31" w16cid:durableId="1199515756">
    <w:abstractNumId w:val="4"/>
  </w:num>
  <w:num w:numId="32" w16cid:durableId="1141339153">
    <w:abstractNumId w:val="4"/>
  </w:num>
  <w:num w:numId="33" w16cid:durableId="512037607">
    <w:abstractNumId w:val="4"/>
  </w:num>
  <w:num w:numId="34" w16cid:durableId="778183407">
    <w:abstractNumId w:val="4"/>
  </w:num>
  <w:num w:numId="35" w16cid:durableId="682784829">
    <w:abstractNumId w:val="4"/>
  </w:num>
  <w:num w:numId="36" w16cid:durableId="1024747952">
    <w:abstractNumId w:val="3"/>
  </w:num>
  <w:num w:numId="37" w16cid:durableId="917520172">
    <w:abstractNumId w:val="18"/>
  </w:num>
  <w:num w:numId="38" w16cid:durableId="1006790053">
    <w:abstractNumId w:val="25"/>
  </w:num>
  <w:num w:numId="39" w16cid:durableId="1126191874">
    <w:abstractNumId w:val="5"/>
  </w:num>
  <w:num w:numId="40" w16cid:durableId="1021013379">
    <w:abstractNumId w:val="31"/>
  </w:num>
  <w:num w:numId="41" w16cid:durableId="265508488">
    <w:abstractNumId w:val="0"/>
  </w:num>
  <w:num w:numId="42" w16cid:durableId="2022271762">
    <w:abstractNumId w:val="4"/>
  </w:num>
  <w:num w:numId="43" w16cid:durableId="804390519">
    <w:abstractNumId w:val="4"/>
  </w:num>
  <w:num w:numId="44" w16cid:durableId="1599941446">
    <w:abstractNumId w:val="24"/>
  </w:num>
  <w:num w:numId="45" w16cid:durableId="974290825">
    <w:abstractNumId w:val="14"/>
  </w:num>
  <w:num w:numId="46" w16cid:durableId="1059286750">
    <w:abstractNumId w:val="4"/>
  </w:num>
  <w:num w:numId="47" w16cid:durableId="1235168467">
    <w:abstractNumId w:val="15"/>
  </w:num>
  <w:num w:numId="48" w16cid:durableId="1497770239">
    <w:abstractNumId w:val="30"/>
  </w:num>
  <w:num w:numId="49" w16cid:durableId="1127578521">
    <w:abstractNumId w:val="32"/>
  </w:num>
  <w:num w:numId="50" w16cid:durableId="207037021">
    <w:abstractNumId w:val="10"/>
  </w:num>
  <w:num w:numId="51" w16cid:durableId="94984100">
    <w:abstractNumId w:val="2"/>
  </w:num>
  <w:num w:numId="52" w16cid:durableId="1822576919">
    <w:abstractNumId w:val="12"/>
  </w:num>
  <w:num w:numId="53" w16cid:durableId="1659647373">
    <w:abstractNumId w:val="15"/>
  </w:num>
  <w:num w:numId="54" w16cid:durableId="1873885929">
    <w:abstractNumId w:val="15"/>
  </w:num>
  <w:num w:numId="55" w16cid:durableId="1058170073">
    <w:abstractNumId w:val="15"/>
  </w:num>
  <w:num w:numId="56" w16cid:durableId="1589774928">
    <w:abstractNumId w:val="15"/>
  </w:num>
  <w:num w:numId="57" w16cid:durableId="1373924958">
    <w:abstractNumId w:val="15"/>
  </w:num>
  <w:num w:numId="58" w16cid:durableId="1477446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DFA"/>
    <w:rsid w:val="000010EF"/>
    <w:rsid w:val="00001F5B"/>
    <w:rsid w:val="00002C05"/>
    <w:rsid w:val="00003554"/>
    <w:rsid w:val="00003712"/>
    <w:rsid w:val="0000440C"/>
    <w:rsid w:val="00004EE1"/>
    <w:rsid w:val="000069F0"/>
    <w:rsid w:val="0001089C"/>
    <w:rsid w:val="00012FF7"/>
    <w:rsid w:val="00014568"/>
    <w:rsid w:val="00014725"/>
    <w:rsid w:val="0001509E"/>
    <w:rsid w:val="00015340"/>
    <w:rsid w:val="00015D68"/>
    <w:rsid w:val="000167E4"/>
    <w:rsid w:val="00017A46"/>
    <w:rsid w:val="00020D2B"/>
    <w:rsid w:val="000217AA"/>
    <w:rsid w:val="0002296C"/>
    <w:rsid w:val="000239E2"/>
    <w:rsid w:val="00023ED2"/>
    <w:rsid w:val="0002584A"/>
    <w:rsid w:val="00027136"/>
    <w:rsid w:val="000271C1"/>
    <w:rsid w:val="0002751C"/>
    <w:rsid w:val="000303E8"/>
    <w:rsid w:val="00030CA4"/>
    <w:rsid w:val="000315CF"/>
    <w:rsid w:val="00033654"/>
    <w:rsid w:val="000340F1"/>
    <w:rsid w:val="00034FFC"/>
    <w:rsid w:val="00036866"/>
    <w:rsid w:val="0003768D"/>
    <w:rsid w:val="00037D78"/>
    <w:rsid w:val="000401AF"/>
    <w:rsid w:val="00040537"/>
    <w:rsid w:val="00040B1B"/>
    <w:rsid w:val="00040CF3"/>
    <w:rsid w:val="00041333"/>
    <w:rsid w:val="00042BCF"/>
    <w:rsid w:val="00042CCC"/>
    <w:rsid w:val="00043C10"/>
    <w:rsid w:val="000458D8"/>
    <w:rsid w:val="00045E4C"/>
    <w:rsid w:val="00046016"/>
    <w:rsid w:val="000460A7"/>
    <w:rsid w:val="000502B2"/>
    <w:rsid w:val="00050BC9"/>
    <w:rsid w:val="00050DD2"/>
    <w:rsid w:val="000515B4"/>
    <w:rsid w:val="000522E3"/>
    <w:rsid w:val="00053226"/>
    <w:rsid w:val="00053816"/>
    <w:rsid w:val="00057449"/>
    <w:rsid w:val="00057A92"/>
    <w:rsid w:val="00060219"/>
    <w:rsid w:val="00061A62"/>
    <w:rsid w:val="00062AA8"/>
    <w:rsid w:val="000630BA"/>
    <w:rsid w:val="000631B4"/>
    <w:rsid w:val="0006417A"/>
    <w:rsid w:val="00073873"/>
    <w:rsid w:val="00073899"/>
    <w:rsid w:val="0007393B"/>
    <w:rsid w:val="00075757"/>
    <w:rsid w:val="00076912"/>
    <w:rsid w:val="00076B8E"/>
    <w:rsid w:val="000775C8"/>
    <w:rsid w:val="00080F1F"/>
    <w:rsid w:val="00081BB2"/>
    <w:rsid w:val="00082ADD"/>
    <w:rsid w:val="0008478E"/>
    <w:rsid w:val="000858B8"/>
    <w:rsid w:val="000865C3"/>
    <w:rsid w:val="00087D9E"/>
    <w:rsid w:val="000902B2"/>
    <w:rsid w:val="00090399"/>
    <w:rsid w:val="00090413"/>
    <w:rsid w:val="00090C95"/>
    <w:rsid w:val="000913A8"/>
    <w:rsid w:val="00092407"/>
    <w:rsid w:val="00093F20"/>
    <w:rsid w:val="00094376"/>
    <w:rsid w:val="000963D0"/>
    <w:rsid w:val="000963E0"/>
    <w:rsid w:val="0009642D"/>
    <w:rsid w:val="00096570"/>
    <w:rsid w:val="000967B4"/>
    <w:rsid w:val="000A0899"/>
    <w:rsid w:val="000A144B"/>
    <w:rsid w:val="000A21C9"/>
    <w:rsid w:val="000A44F6"/>
    <w:rsid w:val="000A4AC6"/>
    <w:rsid w:val="000A4DA7"/>
    <w:rsid w:val="000A51B9"/>
    <w:rsid w:val="000A5412"/>
    <w:rsid w:val="000A60FE"/>
    <w:rsid w:val="000B2085"/>
    <w:rsid w:val="000B4A26"/>
    <w:rsid w:val="000B57B5"/>
    <w:rsid w:val="000B675F"/>
    <w:rsid w:val="000B72E5"/>
    <w:rsid w:val="000B7AD2"/>
    <w:rsid w:val="000B7D1A"/>
    <w:rsid w:val="000C0369"/>
    <w:rsid w:val="000C18BC"/>
    <w:rsid w:val="000C2AAF"/>
    <w:rsid w:val="000C3590"/>
    <w:rsid w:val="000C461C"/>
    <w:rsid w:val="000C5143"/>
    <w:rsid w:val="000C5AD0"/>
    <w:rsid w:val="000C6535"/>
    <w:rsid w:val="000C6FBD"/>
    <w:rsid w:val="000C74D6"/>
    <w:rsid w:val="000D0B45"/>
    <w:rsid w:val="000D47DB"/>
    <w:rsid w:val="000D50A8"/>
    <w:rsid w:val="000D51FC"/>
    <w:rsid w:val="000D73F8"/>
    <w:rsid w:val="000E1127"/>
    <w:rsid w:val="000E11BA"/>
    <w:rsid w:val="000E1E08"/>
    <w:rsid w:val="000E32A4"/>
    <w:rsid w:val="000E3434"/>
    <w:rsid w:val="000E435C"/>
    <w:rsid w:val="000E53CC"/>
    <w:rsid w:val="000E6941"/>
    <w:rsid w:val="000E6CEE"/>
    <w:rsid w:val="000E6E65"/>
    <w:rsid w:val="000E7238"/>
    <w:rsid w:val="000F0426"/>
    <w:rsid w:val="000F0576"/>
    <w:rsid w:val="000F18B0"/>
    <w:rsid w:val="000F2BF7"/>
    <w:rsid w:val="000F395E"/>
    <w:rsid w:val="000F4C72"/>
    <w:rsid w:val="000F4E97"/>
    <w:rsid w:val="000F7302"/>
    <w:rsid w:val="001006C3"/>
    <w:rsid w:val="00102923"/>
    <w:rsid w:val="00102B7A"/>
    <w:rsid w:val="001049A4"/>
    <w:rsid w:val="00107E01"/>
    <w:rsid w:val="00110BBA"/>
    <w:rsid w:val="001120F5"/>
    <w:rsid w:val="00112227"/>
    <w:rsid w:val="00112E39"/>
    <w:rsid w:val="0011415F"/>
    <w:rsid w:val="00114403"/>
    <w:rsid w:val="00115FD5"/>
    <w:rsid w:val="00116027"/>
    <w:rsid w:val="00116578"/>
    <w:rsid w:val="001166C1"/>
    <w:rsid w:val="001166E2"/>
    <w:rsid w:val="0011688C"/>
    <w:rsid w:val="00116900"/>
    <w:rsid w:val="00117647"/>
    <w:rsid w:val="0012144E"/>
    <w:rsid w:val="00121CFC"/>
    <w:rsid w:val="00121D02"/>
    <w:rsid w:val="00123BB4"/>
    <w:rsid w:val="00123D63"/>
    <w:rsid w:val="001242E8"/>
    <w:rsid w:val="00125491"/>
    <w:rsid w:val="00126E6F"/>
    <w:rsid w:val="00127AFE"/>
    <w:rsid w:val="00127D8A"/>
    <w:rsid w:val="00130459"/>
    <w:rsid w:val="001304FF"/>
    <w:rsid w:val="00131C9A"/>
    <w:rsid w:val="00133560"/>
    <w:rsid w:val="0013361F"/>
    <w:rsid w:val="00135233"/>
    <w:rsid w:val="00135477"/>
    <w:rsid w:val="00135AD9"/>
    <w:rsid w:val="00135E92"/>
    <w:rsid w:val="0013694E"/>
    <w:rsid w:val="00137A2D"/>
    <w:rsid w:val="0014093D"/>
    <w:rsid w:val="00141F3B"/>
    <w:rsid w:val="00144FE2"/>
    <w:rsid w:val="00145CEA"/>
    <w:rsid w:val="0014646F"/>
    <w:rsid w:val="00147C52"/>
    <w:rsid w:val="00150B2F"/>
    <w:rsid w:val="001510C5"/>
    <w:rsid w:val="0015216E"/>
    <w:rsid w:val="00152C1A"/>
    <w:rsid w:val="001557EA"/>
    <w:rsid w:val="00155DB2"/>
    <w:rsid w:val="00156042"/>
    <w:rsid w:val="00160C73"/>
    <w:rsid w:val="00161D3B"/>
    <w:rsid w:val="00162C5C"/>
    <w:rsid w:val="00163B74"/>
    <w:rsid w:val="00164244"/>
    <w:rsid w:val="001646C7"/>
    <w:rsid w:val="00164EBC"/>
    <w:rsid w:val="0016592E"/>
    <w:rsid w:val="00165DAB"/>
    <w:rsid w:val="001665B5"/>
    <w:rsid w:val="00166F84"/>
    <w:rsid w:val="001671B5"/>
    <w:rsid w:val="001723D7"/>
    <w:rsid w:val="00172E93"/>
    <w:rsid w:val="00173FA8"/>
    <w:rsid w:val="00174653"/>
    <w:rsid w:val="00176C86"/>
    <w:rsid w:val="001770C0"/>
    <w:rsid w:val="001776A9"/>
    <w:rsid w:val="00180799"/>
    <w:rsid w:val="001808C8"/>
    <w:rsid w:val="00181EF8"/>
    <w:rsid w:val="0018275F"/>
    <w:rsid w:val="001833A4"/>
    <w:rsid w:val="00183733"/>
    <w:rsid w:val="00183816"/>
    <w:rsid w:val="00184608"/>
    <w:rsid w:val="00187503"/>
    <w:rsid w:val="00187D54"/>
    <w:rsid w:val="001902D6"/>
    <w:rsid w:val="00191383"/>
    <w:rsid w:val="001938BA"/>
    <w:rsid w:val="00195919"/>
    <w:rsid w:val="00195AF6"/>
    <w:rsid w:val="00195C84"/>
    <w:rsid w:val="00196C97"/>
    <w:rsid w:val="00197E90"/>
    <w:rsid w:val="001A0424"/>
    <w:rsid w:val="001A05C4"/>
    <w:rsid w:val="001A1E86"/>
    <w:rsid w:val="001A2751"/>
    <w:rsid w:val="001A45BE"/>
    <w:rsid w:val="001A525D"/>
    <w:rsid w:val="001A60D5"/>
    <w:rsid w:val="001A727F"/>
    <w:rsid w:val="001B1F9B"/>
    <w:rsid w:val="001B276F"/>
    <w:rsid w:val="001B538B"/>
    <w:rsid w:val="001B5D8E"/>
    <w:rsid w:val="001C18B2"/>
    <w:rsid w:val="001C1C22"/>
    <w:rsid w:val="001C213F"/>
    <w:rsid w:val="001C46AF"/>
    <w:rsid w:val="001C55ED"/>
    <w:rsid w:val="001C60B3"/>
    <w:rsid w:val="001C7344"/>
    <w:rsid w:val="001C7BBA"/>
    <w:rsid w:val="001D0042"/>
    <w:rsid w:val="001D0BE0"/>
    <w:rsid w:val="001D20BD"/>
    <w:rsid w:val="001D4477"/>
    <w:rsid w:val="001D47BC"/>
    <w:rsid w:val="001D5B17"/>
    <w:rsid w:val="001D679B"/>
    <w:rsid w:val="001D6BC1"/>
    <w:rsid w:val="001D715A"/>
    <w:rsid w:val="001E07A2"/>
    <w:rsid w:val="001E13FB"/>
    <w:rsid w:val="001E163A"/>
    <w:rsid w:val="001E3C58"/>
    <w:rsid w:val="001E46E8"/>
    <w:rsid w:val="001E6801"/>
    <w:rsid w:val="001E6E01"/>
    <w:rsid w:val="001F11D4"/>
    <w:rsid w:val="001F2AA4"/>
    <w:rsid w:val="001F5DA0"/>
    <w:rsid w:val="0020279A"/>
    <w:rsid w:val="0020383D"/>
    <w:rsid w:val="00205EAE"/>
    <w:rsid w:val="00206B5A"/>
    <w:rsid w:val="00207739"/>
    <w:rsid w:val="002078C6"/>
    <w:rsid w:val="00207B61"/>
    <w:rsid w:val="00211F1C"/>
    <w:rsid w:val="002124B8"/>
    <w:rsid w:val="002140A0"/>
    <w:rsid w:val="0021428A"/>
    <w:rsid w:val="00214788"/>
    <w:rsid w:val="002160A7"/>
    <w:rsid w:val="00216CE0"/>
    <w:rsid w:val="0022088B"/>
    <w:rsid w:val="002209D9"/>
    <w:rsid w:val="002220B5"/>
    <w:rsid w:val="0022275B"/>
    <w:rsid w:val="00223A75"/>
    <w:rsid w:val="00223DF8"/>
    <w:rsid w:val="00224334"/>
    <w:rsid w:val="00224824"/>
    <w:rsid w:val="002252F4"/>
    <w:rsid w:val="00225AC9"/>
    <w:rsid w:val="00226EB6"/>
    <w:rsid w:val="00227ABE"/>
    <w:rsid w:val="00227B7A"/>
    <w:rsid w:val="00227E3A"/>
    <w:rsid w:val="00230E8D"/>
    <w:rsid w:val="00230F83"/>
    <w:rsid w:val="0023181A"/>
    <w:rsid w:val="00232461"/>
    <w:rsid w:val="00232799"/>
    <w:rsid w:val="0023284A"/>
    <w:rsid w:val="00234717"/>
    <w:rsid w:val="00234BF9"/>
    <w:rsid w:val="00236A41"/>
    <w:rsid w:val="00237AA7"/>
    <w:rsid w:val="00240511"/>
    <w:rsid w:val="002405F0"/>
    <w:rsid w:val="00241587"/>
    <w:rsid w:val="002436C8"/>
    <w:rsid w:val="00244C30"/>
    <w:rsid w:val="0024516B"/>
    <w:rsid w:val="002464B2"/>
    <w:rsid w:val="00246AA3"/>
    <w:rsid w:val="002513FD"/>
    <w:rsid w:val="0025372C"/>
    <w:rsid w:val="00253B29"/>
    <w:rsid w:val="00253EEB"/>
    <w:rsid w:val="00256382"/>
    <w:rsid w:val="00256D43"/>
    <w:rsid w:val="00257C4B"/>
    <w:rsid w:val="0026034E"/>
    <w:rsid w:val="002608CB"/>
    <w:rsid w:val="00261104"/>
    <w:rsid w:val="00261B0A"/>
    <w:rsid w:val="00263B3C"/>
    <w:rsid w:val="00264674"/>
    <w:rsid w:val="00264AAC"/>
    <w:rsid w:val="00266BB5"/>
    <w:rsid w:val="00266F4E"/>
    <w:rsid w:val="00270CC2"/>
    <w:rsid w:val="00271610"/>
    <w:rsid w:val="0027454F"/>
    <w:rsid w:val="00274A3F"/>
    <w:rsid w:val="00274EC0"/>
    <w:rsid w:val="00274F8C"/>
    <w:rsid w:val="00281560"/>
    <w:rsid w:val="00281AFF"/>
    <w:rsid w:val="00281F8C"/>
    <w:rsid w:val="002829B6"/>
    <w:rsid w:val="0028300D"/>
    <w:rsid w:val="00283382"/>
    <w:rsid w:val="002840CC"/>
    <w:rsid w:val="00284206"/>
    <w:rsid w:val="00284868"/>
    <w:rsid w:val="00286E9C"/>
    <w:rsid w:val="002908C7"/>
    <w:rsid w:val="00290F46"/>
    <w:rsid w:val="002910EF"/>
    <w:rsid w:val="00292457"/>
    <w:rsid w:val="00292FB0"/>
    <w:rsid w:val="00293C10"/>
    <w:rsid w:val="00294A44"/>
    <w:rsid w:val="00294A65"/>
    <w:rsid w:val="00295BE5"/>
    <w:rsid w:val="002965E6"/>
    <w:rsid w:val="0029675A"/>
    <w:rsid w:val="00297588"/>
    <w:rsid w:val="0029763E"/>
    <w:rsid w:val="002A0A95"/>
    <w:rsid w:val="002A0E79"/>
    <w:rsid w:val="002A305A"/>
    <w:rsid w:val="002A3B9D"/>
    <w:rsid w:val="002A3BE5"/>
    <w:rsid w:val="002A47DD"/>
    <w:rsid w:val="002A49B8"/>
    <w:rsid w:val="002A4C60"/>
    <w:rsid w:val="002A4F49"/>
    <w:rsid w:val="002A6165"/>
    <w:rsid w:val="002A6DB2"/>
    <w:rsid w:val="002A7060"/>
    <w:rsid w:val="002B0B71"/>
    <w:rsid w:val="002B1D81"/>
    <w:rsid w:val="002B2845"/>
    <w:rsid w:val="002B48F0"/>
    <w:rsid w:val="002B565B"/>
    <w:rsid w:val="002B5F61"/>
    <w:rsid w:val="002B61D9"/>
    <w:rsid w:val="002B6C0D"/>
    <w:rsid w:val="002B79EA"/>
    <w:rsid w:val="002C09EE"/>
    <w:rsid w:val="002C1338"/>
    <w:rsid w:val="002C2361"/>
    <w:rsid w:val="002C4633"/>
    <w:rsid w:val="002C5852"/>
    <w:rsid w:val="002C6229"/>
    <w:rsid w:val="002C7A7D"/>
    <w:rsid w:val="002D09B9"/>
    <w:rsid w:val="002D1DB2"/>
    <w:rsid w:val="002D1FFA"/>
    <w:rsid w:val="002D2F96"/>
    <w:rsid w:val="002D30A2"/>
    <w:rsid w:val="002D7BEF"/>
    <w:rsid w:val="002E0C34"/>
    <w:rsid w:val="002E11FD"/>
    <w:rsid w:val="002E17D8"/>
    <w:rsid w:val="002E2035"/>
    <w:rsid w:val="002E273D"/>
    <w:rsid w:val="002E551D"/>
    <w:rsid w:val="002E5AB6"/>
    <w:rsid w:val="002E7BF1"/>
    <w:rsid w:val="002F01F7"/>
    <w:rsid w:val="002F08FD"/>
    <w:rsid w:val="002F0918"/>
    <w:rsid w:val="002F0CB5"/>
    <w:rsid w:val="002F1A07"/>
    <w:rsid w:val="002F32B8"/>
    <w:rsid w:val="002F4610"/>
    <w:rsid w:val="002F5983"/>
    <w:rsid w:val="002F6398"/>
    <w:rsid w:val="002F7A83"/>
    <w:rsid w:val="003014E9"/>
    <w:rsid w:val="0030205A"/>
    <w:rsid w:val="00304C10"/>
    <w:rsid w:val="00304D0D"/>
    <w:rsid w:val="00305262"/>
    <w:rsid w:val="00305823"/>
    <w:rsid w:val="003065C5"/>
    <w:rsid w:val="0030778B"/>
    <w:rsid w:val="00307AC4"/>
    <w:rsid w:val="003104B8"/>
    <w:rsid w:val="003105B1"/>
    <w:rsid w:val="00310E8E"/>
    <w:rsid w:val="00311B03"/>
    <w:rsid w:val="003128A7"/>
    <w:rsid w:val="003130A9"/>
    <w:rsid w:val="0031316D"/>
    <w:rsid w:val="00314936"/>
    <w:rsid w:val="00314D47"/>
    <w:rsid w:val="00314FEE"/>
    <w:rsid w:val="00316C6E"/>
    <w:rsid w:val="00316D41"/>
    <w:rsid w:val="00317712"/>
    <w:rsid w:val="003178D0"/>
    <w:rsid w:val="00324DCC"/>
    <w:rsid w:val="0032596B"/>
    <w:rsid w:val="0032722F"/>
    <w:rsid w:val="00332B4C"/>
    <w:rsid w:val="003333FB"/>
    <w:rsid w:val="0033519D"/>
    <w:rsid w:val="00335534"/>
    <w:rsid w:val="00340043"/>
    <w:rsid w:val="0034222C"/>
    <w:rsid w:val="00343069"/>
    <w:rsid w:val="00343900"/>
    <w:rsid w:val="00343993"/>
    <w:rsid w:val="00344E05"/>
    <w:rsid w:val="00345290"/>
    <w:rsid w:val="003453D7"/>
    <w:rsid w:val="00346A2B"/>
    <w:rsid w:val="00347266"/>
    <w:rsid w:val="003475BE"/>
    <w:rsid w:val="00350139"/>
    <w:rsid w:val="00351F48"/>
    <w:rsid w:val="003521B4"/>
    <w:rsid w:val="003528C8"/>
    <w:rsid w:val="0035303D"/>
    <w:rsid w:val="003545AA"/>
    <w:rsid w:val="00355237"/>
    <w:rsid w:val="00357598"/>
    <w:rsid w:val="00357BB8"/>
    <w:rsid w:val="0036171D"/>
    <w:rsid w:val="00362425"/>
    <w:rsid w:val="00362A09"/>
    <w:rsid w:val="00365E8D"/>
    <w:rsid w:val="003717AB"/>
    <w:rsid w:val="00371CA5"/>
    <w:rsid w:val="003731F6"/>
    <w:rsid w:val="00373566"/>
    <w:rsid w:val="00373B71"/>
    <w:rsid w:val="00373CAE"/>
    <w:rsid w:val="00374704"/>
    <w:rsid w:val="00376434"/>
    <w:rsid w:val="00376AD6"/>
    <w:rsid w:val="003842BF"/>
    <w:rsid w:val="0038791D"/>
    <w:rsid w:val="00387C7E"/>
    <w:rsid w:val="00390EE4"/>
    <w:rsid w:val="00394D06"/>
    <w:rsid w:val="003958DF"/>
    <w:rsid w:val="00397A30"/>
    <w:rsid w:val="003A3323"/>
    <w:rsid w:val="003A47DD"/>
    <w:rsid w:val="003A7BED"/>
    <w:rsid w:val="003A7C8A"/>
    <w:rsid w:val="003B066E"/>
    <w:rsid w:val="003B06E6"/>
    <w:rsid w:val="003B0D1D"/>
    <w:rsid w:val="003B0D28"/>
    <w:rsid w:val="003B30D4"/>
    <w:rsid w:val="003B418D"/>
    <w:rsid w:val="003B56FC"/>
    <w:rsid w:val="003B64AE"/>
    <w:rsid w:val="003B7670"/>
    <w:rsid w:val="003B7A71"/>
    <w:rsid w:val="003C1E80"/>
    <w:rsid w:val="003C21FA"/>
    <w:rsid w:val="003C2343"/>
    <w:rsid w:val="003C2751"/>
    <w:rsid w:val="003C29FE"/>
    <w:rsid w:val="003C2AB9"/>
    <w:rsid w:val="003C2DEB"/>
    <w:rsid w:val="003C548E"/>
    <w:rsid w:val="003C6C4F"/>
    <w:rsid w:val="003D0E72"/>
    <w:rsid w:val="003D155C"/>
    <w:rsid w:val="003D1CCD"/>
    <w:rsid w:val="003D1D6A"/>
    <w:rsid w:val="003D27CC"/>
    <w:rsid w:val="003D2DB6"/>
    <w:rsid w:val="003D36E8"/>
    <w:rsid w:val="003D4304"/>
    <w:rsid w:val="003D4AD6"/>
    <w:rsid w:val="003D5188"/>
    <w:rsid w:val="003D69DC"/>
    <w:rsid w:val="003D6CFD"/>
    <w:rsid w:val="003D6DD8"/>
    <w:rsid w:val="003D7639"/>
    <w:rsid w:val="003E0D8E"/>
    <w:rsid w:val="003E10D8"/>
    <w:rsid w:val="003E4AB1"/>
    <w:rsid w:val="003E7576"/>
    <w:rsid w:val="003F0B0C"/>
    <w:rsid w:val="003F12EE"/>
    <w:rsid w:val="003F152E"/>
    <w:rsid w:val="003F1607"/>
    <w:rsid w:val="003F1BBB"/>
    <w:rsid w:val="003F3187"/>
    <w:rsid w:val="003F387D"/>
    <w:rsid w:val="003F38E4"/>
    <w:rsid w:val="003F535B"/>
    <w:rsid w:val="004005E9"/>
    <w:rsid w:val="00400912"/>
    <w:rsid w:val="00402A7C"/>
    <w:rsid w:val="00403BFD"/>
    <w:rsid w:val="004040CA"/>
    <w:rsid w:val="00405F12"/>
    <w:rsid w:val="004075CB"/>
    <w:rsid w:val="00407B1A"/>
    <w:rsid w:val="00410D5E"/>
    <w:rsid w:val="00411496"/>
    <w:rsid w:val="00413035"/>
    <w:rsid w:val="00414961"/>
    <w:rsid w:val="004155E4"/>
    <w:rsid w:val="00415B9C"/>
    <w:rsid w:val="00417892"/>
    <w:rsid w:val="00417984"/>
    <w:rsid w:val="0042032A"/>
    <w:rsid w:val="004203C2"/>
    <w:rsid w:val="00421CDE"/>
    <w:rsid w:val="00423090"/>
    <w:rsid w:val="004241F7"/>
    <w:rsid w:val="00424362"/>
    <w:rsid w:val="004278F2"/>
    <w:rsid w:val="00427FC4"/>
    <w:rsid w:val="004300DA"/>
    <w:rsid w:val="00430F62"/>
    <w:rsid w:val="00431696"/>
    <w:rsid w:val="00434D85"/>
    <w:rsid w:val="00436041"/>
    <w:rsid w:val="0043639A"/>
    <w:rsid w:val="00436D2C"/>
    <w:rsid w:val="0043756E"/>
    <w:rsid w:val="00437F7E"/>
    <w:rsid w:val="00441252"/>
    <w:rsid w:val="00441838"/>
    <w:rsid w:val="004425B4"/>
    <w:rsid w:val="0044286F"/>
    <w:rsid w:val="00442F54"/>
    <w:rsid w:val="0044350D"/>
    <w:rsid w:val="00443A84"/>
    <w:rsid w:val="00445377"/>
    <w:rsid w:val="00445F49"/>
    <w:rsid w:val="00446218"/>
    <w:rsid w:val="00446318"/>
    <w:rsid w:val="00446FA5"/>
    <w:rsid w:val="00447E23"/>
    <w:rsid w:val="0045041D"/>
    <w:rsid w:val="004504C4"/>
    <w:rsid w:val="0045345D"/>
    <w:rsid w:val="004535BF"/>
    <w:rsid w:val="004545CD"/>
    <w:rsid w:val="00454FF8"/>
    <w:rsid w:val="00455155"/>
    <w:rsid w:val="0045619A"/>
    <w:rsid w:val="00460C84"/>
    <w:rsid w:val="004618A6"/>
    <w:rsid w:val="0046198E"/>
    <w:rsid w:val="00461FFB"/>
    <w:rsid w:val="00462335"/>
    <w:rsid w:val="00463EC0"/>
    <w:rsid w:val="004641A1"/>
    <w:rsid w:val="00464260"/>
    <w:rsid w:val="00464F08"/>
    <w:rsid w:val="0046583D"/>
    <w:rsid w:val="00465AA8"/>
    <w:rsid w:val="004709A7"/>
    <w:rsid w:val="00471C1B"/>
    <w:rsid w:val="00472317"/>
    <w:rsid w:val="0047287B"/>
    <w:rsid w:val="00473697"/>
    <w:rsid w:val="004736C3"/>
    <w:rsid w:val="0047378C"/>
    <w:rsid w:val="00473932"/>
    <w:rsid w:val="00473F09"/>
    <w:rsid w:val="00475CDF"/>
    <w:rsid w:val="00476C34"/>
    <w:rsid w:val="00477880"/>
    <w:rsid w:val="00480859"/>
    <w:rsid w:val="00480EB2"/>
    <w:rsid w:val="00481089"/>
    <w:rsid w:val="0048156F"/>
    <w:rsid w:val="00481B18"/>
    <w:rsid w:val="004827C5"/>
    <w:rsid w:val="00483061"/>
    <w:rsid w:val="00483FA8"/>
    <w:rsid w:val="00484ADA"/>
    <w:rsid w:val="00485EDB"/>
    <w:rsid w:val="00493157"/>
    <w:rsid w:val="00493827"/>
    <w:rsid w:val="00494B5D"/>
    <w:rsid w:val="00494F77"/>
    <w:rsid w:val="004969D1"/>
    <w:rsid w:val="0049738D"/>
    <w:rsid w:val="00497B6B"/>
    <w:rsid w:val="004A05A1"/>
    <w:rsid w:val="004A075E"/>
    <w:rsid w:val="004A0EF5"/>
    <w:rsid w:val="004A0F86"/>
    <w:rsid w:val="004A12B3"/>
    <w:rsid w:val="004A173E"/>
    <w:rsid w:val="004A2025"/>
    <w:rsid w:val="004A2855"/>
    <w:rsid w:val="004A2F94"/>
    <w:rsid w:val="004A3349"/>
    <w:rsid w:val="004A3BE9"/>
    <w:rsid w:val="004A467A"/>
    <w:rsid w:val="004A4877"/>
    <w:rsid w:val="004A4DD1"/>
    <w:rsid w:val="004A59BE"/>
    <w:rsid w:val="004A6AB1"/>
    <w:rsid w:val="004B0B0B"/>
    <w:rsid w:val="004B109E"/>
    <w:rsid w:val="004B32E0"/>
    <w:rsid w:val="004B6596"/>
    <w:rsid w:val="004B661B"/>
    <w:rsid w:val="004C0BAE"/>
    <w:rsid w:val="004C3AC5"/>
    <w:rsid w:val="004C3F95"/>
    <w:rsid w:val="004C5595"/>
    <w:rsid w:val="004C568C"/>
    <w:rsid w:val="004C57E9"/>
    <w:rsid w:val="004C5EA1"/>
    <w:rsid w:val="004C617B"/>
    <w:rsid w:val="004D3344"/>
    <w:rsid w:val="004D371E"/>
    <w:rsid w:val="004D411D"/>
    <w:rsid w:val="004D7222"/>
    <w:rsid w:val="004E10FB"/>
    <w:rsid w:val="004E15F5"/>
    <w:rsid w:val="004E1E7E"/>
    <w:rsid w:val="004E22D9"/>
    <w:rsid w:val="004E2D10"/>
    <w:rsid w:val="004E2D5C"/>
    <w:rsid w:val="004E3311"/>
    <w:rsid w:val="004E7E6E"/>
    <w:rsid w:val="004F0C16"/>
    <w:rsid w:val="004F0E01"/>
    <w:rsid w:val="004F30CC"/>
    <w:rsid w:val="004F3A43"/>
    <w:rsid w:val="004F47F1"/>
    <w:rsid w:val="004F4E2B"/>
    <w:rsid w:val="004F52FA"/>
    <w:rsid w:val="004F599C"/>
    <w:rsid w:val="0050173A"/>
    <w:rsid w:val="00502447"/>
    <w:rsid w:val="00504CCE"/>
    <w:rsid w:val="0050548A"/>
    <w:rsid w:val="00505D52"/>
    <w:rsid w:val="00505F17"/>
    <w:rsid w:val="00506434"/>
    <w:rsid w:val="00507C2E"/>
    <w:rsid w:val="00511A36"/>
    <w:rsid w:val="0051218C"/>
    <w:rsid w:val="00512418"/>
    <w:rsid w:val="005134D9"/>
    <w:rsid w:val="00513813"/>
    <w:rsid w:val="005155D7"/>
    <w:rsid w:val="0051595B"/>
    <w:rsid w:val="005162D6"/>
    <w:rsid w:val="00516E06"/>
    <w:rsid w:val="00522E0B"/>
    <w:rsid w:val="005235F6"/>
    <w:rsid w:val="00524675"/>
    <w:rsid w:val="00525990"/>
    <w:rsid w:val="00525C71"/>
    <w:rsid w:val="005269CF"/>
    <w:rsid w:val="0053095D"/>
    <w:rsid w:val="0053232B"/>
    <w:rsid w:val="00532D98"/>
    <w:rsid w:val="005354AD"/>
    <w:rsid w:val="00535E12"/>
    <w:rsid w:val="005364F4"/>
    <w:rsid w:val="00536CA8"/>
    <w:rsid w:val="00536E94"/>
    <w:rsid w:val="00540005"/>
    <w:rsid w:val="00542998"/>
    <w:rsid w:val="005431BB"/>
    <w:rsid w:val="00545D86"/>
    <w:rsid w:val="005469DA"/>
    <w:rsid w:val="0054717E"/>
    <w:rsid w:val="0055055F"/>
    <w:rsid w:val="00552850"/>
    <w:rsid w:val="005602CC"/>
    <w:rsid w:val="0056072A"/>
    <w:rsid w:val="005608EC"/>
    <w:rsid w:val="0056097C"/>
    <w:rsid w:val="00561560"/>
    <w:rsid w:val="0056233A"/>
    <w:rsid w:val="0056255D"/>
    <w:rsid w:val="00564596"/>
    <w:rsid w:val="00564D12"/>
    <w:rsid w:val="00565529"/>
    <w:rsid w:val="00566A01"/>
    <w:rsid w:val="0056715C"/>
    <w:rsid w:val="005703BA"/>
    <w:rsid w:val="0057092A"/>
    <w:rsid w:val="005714F9"/>
    <w:rsid w:val="00571B15"/>
    <w:rsid w:val="00572BC8"/>
    <w:rsid w:val="005736B7"/>
    <w:rsid w:val="00574895"/>
    <w:rsid w:val="00575DB0"/>
    <w:rsid w:val="00576382"/>
    <w:rsid w:val="0058066D"/>
    <w:rsid w:val="00580BA0"/>
    <w:rsid w:val="00582E5A"/>
    <w:rsid w:val="0058583B"/>
    <w:rsid w:val="00587520"/>
    <w:rsid w:val="00590F70"/>
    <w:rsid w:val="00594557"/>
    <w:rsid w:val="00594608"/>
    <w:rsid w:val="00596076"/>
    <w:rsid w:val="00596AEC"/>
    <w:rsid w:val="00596D14"/>
    <w:rsid w:val="00596E22"/>
    <w:rsid w:val="00596E3D"/>
    <w:rsid w:val="00597137"/>
    <w:rsid w:val="00597208"/>
    <w:rsid w:val="005A248A"/>
    <w:rsid w:val="005A293D"/>
    <w:rsid w:val="005A3197"/>
    <w:rsid w:val="005A3275"/>
    <w:rsid w:val="005A364F"/>
    <w:rsid w:val="005A5201"/>
    <w:rsid w:val="005A5425"/>
    <w:rsid w:val="005A5E5D"/>
    <w:rsid w:val="005A5F89"/>
    <w:rsid w:val="005A68C1"/>
    <w:rsid w:val="005B15F0"/>
    <w:rsid w:val="005B24AE"/>
    <w:rsid w:val="005B260A"/>
    <w:rsid w:val="005B37E4"/>
    <w:rsid w:val="005B4625"/>
    <w:rsid w:val="005B5898"/>
    <w:rsid w:val="005B7251"/>
    <w:rsid w:val="005B7B25"/>
    <w:rsid w:val="005B7BEE"/>
    <w:rsid w:val="005C0415"/>
    <w:rsid w:val="005C0E01"/>
    <w:rsid w:val="005C477E"/>
    <w:rsid w:val="005C5E4C"/>
    <w:rsid w:val="005C63BF"/>
    <w:rsid w:val="005C6936"/>
    <w:rsid w:val="005C69DE"/>
    <w:rsid w:val="005D0396"/>
    <w:rsid w:val="005D055E"/>
    <w:rsid w:val="005D088D"/>
    <w:rsid w:val="005D1366"/>
    <w:rsid w:val="005D25AE"/>
    <w:rsid w:val="005D414D"/>
    <w:rsid w:val="005D49D6"/>
    <w:rsid w:val="005D699B"/>
    <w:rsid w:val="005E01CE"/>
    <w:rsid w:val="005E139F"/>
    <w:rsid w:val="005E2FE6"/>
    <w:rsid w:val="005E314C"/>
    <w:rsid w:val="005E3844"/>
    <w:rsid w:val="005E3A46"/>
    <w:rsid w:val="005E404E"/>
    <w:rsid w:val="005E656A"/>
    <w:rsid w:val="005F0378"/>
    <w:rsid w:val="005F042F"/>
    <w:rsid w:val="005F0824"/>
    <w:rsid w:val="005F2130"/>
    <w:rsid w:val="005F2215"/>
    <w:rsid w:val="005F29C3"/>
    <w:rsid w:val="005F3DDA"/>
    <w:rsid w:val="005F6025"/>
    <w:rsid w:val="005F62ED"/>
    <w:rsid w:val="005F7F65"/>
    <w:rsid w:val="0060048A"/>
    <w:rsid w:val="00604709"/>
    <w:rsid w:val="00606243"/>
    <w:rsid w:val="00613008"/>
    <w:rsid w:val="0061438A"/>
    <w:rsid w:val="006163D6"/>
    <w:rsid w:val="00617A99"/>
    <w:rsid w:val="00620431"/>
    <w:rsid w:val="006207E7"/>
    <w:rsid w:val="00622A1F"/>
    <w:rsid w:val="00622BE8"/>
    <w:rsid w:val="00625DEF"/>
    <w:rsid w:val="006262EA"/>
    <w:rsid w:val="0062678A"/>
    <w:rsid w:val="00626B35"/>
    <w:rsid w:val="00626DFD"/>
    <w:rsid w:val="00627955"/>
    <w:rsid w:val="006336A5"/>
    <w:rsid w:val="00635064"/>
    <w:rsid w:val="00637426"/>
    <w:rsid w:val="00637B33"/>
    <w:rsid w:val="00641D04"/>
    <w:rsid w:val="00642020"/>
    <w:rsid w:val="00642BC6"/>
    <w:rsid w:val="006461D8"/>
    <w:rsid w:val="00651674"/>
    <w:rsid w:val="0065242A"/>
    <w:rsid w:val="0065255F"/>
    <w:rsid w:val="00652A63"/>
    <w:rsid w:val="00654099"/>
    <w:rsid w:val="006541DC"/>
    <w:rsid w:val="006545EE"/>
    <w:rsid w:val="006553AC"/>
    <w:rsid w:val="00657FD1"/>
    <w:rsid w:val="00660C54"/>
    <w:rsid w:val="00661B89"/>
    <w:rsid w:val="0066216F"/>
    <w:rsid w:val="006638B0"/>
    <w:rsid w:val="00664743"/>
    <w:rsid w:val="00665B12"/>
    <w:rsid w:val="00666464"/>
    <w:rsid w:val="00671449"/>
    <w:rsid w:val="006735F1"/>
    <w:rsid w:val="006736F7"/>
    <w:rsid w:val="00674AB8"/>
    <w:rsid w:val="00675C21"/>
    <w:rsid w:val="00680138"/>
    <w:rsid w:val="0068099C"/>
    <w:rsid w:val="00681A98"/>
    <w:rsid w:val="00681E5E"/>
    <w:rsid w:val="00681FF4"/>
    <w:rsid w:val="00682105"/>
    <w:rsid w:val="00682B3F"/>
    <w:rsid w:val="006832AF"/>
    <w:rsid w:val="006833FA"/>
    <w:rsid w:val="006835BA"/>
    <w:rsid w:val="006854F4"/>
    <w:rsid w:val="006862E7"/>
    <w:rsid w:val="00687040"/>
    <w:rsid w:val="006876FB"/>
    <w:rsid w:val="00687B7D"/>
    <w:rsid w:val="00687FAA"/>
    <w:rsid w:val="0069014D"/>
    <w:rsid w:val="00690E25"/>
    <w:rsid w:val="0069127C"/>
    <w:rsid w:val="00691F27"/>
    <w:rsid w:val="0069289D"/>
    <w:rsid w:val="00692A9E"/>
    <w:rsid w:val="00694203"/>
    <w:rsid w:val="00695F12"/>
    <w:rsid w:val="00696163"/>
    <w:rsid w:val="006A002E"/>
    <w:rsid w:val="006A0198"/>
    <w:rsid w:val="006A0858"/>
    <w:rsid w:val="006A0DFA"/>
    <w:rsid w:val="006A25F8"/>
    <w:rsid w:val="006A5F37"/>
    <w:rsid w:val="006A6A81"/>
    <w:rsid w:val="006A6D93"/>
    <w:rsid w:val="006A74F2"/>
    <w:rsid w:val="006A7EE4"/>
    <w:rsid w:val="006B1F1B"/>
    <w:rsid w:val="006B2777"/>
    <w:rsid w:val="006B3C8C"/>
    <w:rsid w:val="006B4612"/>
    <w:rsid w:val="006B4952"/>
    <w:rsid w:val="006B5766"/>
    <w:rsid w:val="006B661D"/>
    <w:rsid w:val="006C1CA8"/>
    <w:rsid w:val="006C2A3A"/>
    <w:rsid w:val="006C3145"/>
    <w:rsid w:val="006C4732"/>
    <w:rsid w:val="006C61FF"/>
    <w:rsid w:val="006D03FE"/>
    <w:rsid w:val="006D0D6C"/>
    <w:rsid w:val="006D0FE0"/>
    <w:rsid w:val="006D12EC"/>
    <w:rsid w:val="006D2216"/>
    <w:rsid w:val="006D2F2B"/>
    <w:rsid w:val="006D4199"/>
    <w:rsid w:val="006D7E46"/>
    <w:rsid w:val="006E03C2"/>
    <w:rsid w:val="006E12AE"/>
    <w:rsid w:val="006E1CA8"/>
    <w:rsid w:val="006E43F2"/>
    <w:rsid w:val="006E477A"/>
    <w:rsid w:val="006E4FD1"/>
    <w:rsid w:val="006F1EB6"/>
    <w:rsid w:val="006F1F52"/>
    <w:rsid w:val="006F2324"/>
    <w:rsid w:val="006F3696"/>
    <w:rsid w:val="006F4AC9"/>
    <w:rsid w:val="006F7202"/>
    <w:rsid w:val="00703970"/>
    <w:rsid w:val="00703C4B"/>
    <w:rsid w:val="00705ECB"/>
    <w:rsid w:val="00706789"/>
    <w:rsid w:val="00707441"/>
    <w:rsid w:val="00707DE8"/>
    <w:rsid w:val="00712949"/>
    <w:rsid w:val="00713C26"/>
    <w:rsid w:val="00714E0F"/>
    <w:rsid w:val="00716F4A"/>
    <w:rsid w:val="0072013B"/>
    <w:rsid w:val="00721C1A"/>
    <w:rsid w:val="007222B4"/>
    <w:rsid w:val="00722A2D"/>
    <w:rsid w:val="00722D16"/>
    <w:rsid w:val="00722EAF"/>
    <w:rsid w:val="0072469A"/>
    <w:rsid w:val="00726A29"/>
    <w:rsid w:val="00726CA0"/>
    <w:rsid w:val="007270CF"/>
    <w:rsid w:val="00727567"/>
    <w:rsid w:val="007327C4"/>
    <w:rsid w:val="00732EB1"/>
    <w:rsid w:val="00733B86"/>
    <w:rsid w:val="00733E41"/>
    <w:rsid w:val="00734332"/>
    <w:rsid w:val="00734B5A"/>
    <w:rsid w:val="007369E9"/>
    <w:rsid w:val="00736B47"/>
    <w:rsid w:val="00736EE1"/>
    <w:rsid w:val="00740D4C"/>
    <w:rsid w:val="00741867"/>
    <w:rsid w:val="007421CC"/>
    <w:rsid w:val="007424E1"/>
    <w:rsid w:val="00743B66"/>
    <w:rsid w:val="00743D54"/>
    <w:rsid w:val="007440B8"/>
    <w:rsid w:val="00744891"/>
    <w:rsid w:val="0074556B"/>
    <w:rsid w:val="007471EA"/>
    <w:rsid w:val="0074762B"/>
    <w:rsid w:val="00747F1D"/>
    <w:rsid w:val="00751FE7"/>
    <w:rsid w:val="00753628"/>
    <w:rsid w:val="0075604E"/>
    <w:rsid w:val="00756254"/>
    <w:rsid w:val="00756A5D"/>
    <w:rsid w:val="00756CF5"/>
    <w:rsid w:val="0076217B"/>
    <w:rsid w:val="00763BB0"/>
    <w:rsid w:val="00764ADA"/>
    <w:rsid w:val="0076779D"/>
    <w:rsid w:val="00770DCE"/>
    <w:rsid w:val="0077168D"/>
    <w:rsid w:val="00771A36"/>
    <w:rsid w:val="00771FB0"/>
    <w:rsid w:val="00772138"/>
    <w:rsid w:val="00772805"/>
    <w:rsid w:val="0077480B"/>
    <w:rsid w:val="00776BDF"/>
    <w:rsid w:val="007776AF"/>
    <w:rsid w:val="00781295"/>
    <w:rsid w:val="00782C30"/>
    <w:rsid w:val="00785954"/>
    <w:rsid w:val="00785C0D"/>
    <w:rsid w:val="00786745"/>
    <w:rsid w:val="007930F9"/>
    <w:rsid w:val="00796005"/>
    <w:rsid w:val="00796D40"/>
    <w:rsid w:val="00796EB1"/>
    <w:rsid w:val="00797FE6"/>
    <w:rsid w:val="007A08EA"/>
    <w:rsid w:val="007A139D"/>
    <w:rsid w:val="007A3A68"/>
    <w:rsid w:val="007A405C"/>
    <w:rsid w:val="007A406F"/>
    <w:rsid w:val="007A40C1"/>
    <w:rsid w:val="007A6CFC"/>
    <w:rsid w:val="007A7051"/>
    <w:rsid w:val="007A77D4"/>
    <w:rsid w:val="007B1434"/>
    <w:rsid w:val="007B233C"/>
    <w:rsid w:val="007B28E4"/>
    <w:rsid w:val="007B316A"/>
    <w:rsid w:val="007B3896"/>
    <w:rsid w:val="007B4534"/>
    <w:rsid w:val="007B4F1B"/>
    <w:rsid w:val="007B5A14"/>
    <w:rsid w:val="007B5B06"/>
    <w:rsid w:val="007B5D85"/>
    <w:rsid w:val="007B65E7"/>
    <w:rsid w:val="007C139F"/>
    <w:rsid w:val="007C14B6"/>
    <w:rsid w:val="007C203C"/>
    <w:rsid w:val="007C2C96"/>
    <w:rsid w:val="007C3111"/>
    <w:rsid w:val="007C360B"/>
    <w:rsid w:val="007C3E1F"/>
    <w:rsid w:val="007C43E3"/>
    <w:rsid w:val="007C44BF"/>
    <w:rsid w:val="007C4D3D"/>
    <w:rsid w:val="007C5692"/>
    <w:rsid w:val="007C6AB3"/>
    <w:rsid w:val="007C6C7C"/>
    <w:rsid w:val="007C795E"/>
    <w:rsid w:val="007D06AC"/>
    <w:rsid w:val="007D260F"/>
    <w:rsid w:val="007D375C"/>
    <w:rsid w:val="007D44DA"/>
    <w:rsid w:val="007D7337"/>
    <w:rsid w:val="007D77C1"/>
    <w:rsid w:val="007D7888"/>
    <w:rsid w:val="007D7A74"/>
    <w:rsid w:val="007E148F"/>
    <w:rsid w:val="007E19D8"/>
    <w:rsid w:val="007E1AEE"/>
    <w:rsid w:val="007E3294"/>
    <w:rsid w:val="007E3588"/>
    <w:rsid w:val="007E3E17"/>
    <w:rsid w:val="007E42B8"/>
    <w:rsid w:val="007E52CB"/>
    <w:rsid w:val="007E52F3"/>
    <w:rsid w:val="007E5DA7"/>
    <w:rsid w:val="007E6F08"/>
    <w:rsid w:val="007E6FE6"/>
    <w:rsid w:val="007F068D"/>
    <w:rsid w:val="007F072F"/>
    <w:rsid w:val="007F07BD"/>
    <w:rsid w:val="007F2110"/>
    <w:rsid w:val="007F30AD"/>
    <w:rsid w:val="007F3864"/>
    <w:rsid w:val="007F3C8C"/>
    <w:rsid w:val="007F4C22"/>
    <w:rsid w:val="007F595E"/>
    <w:rsid w:val="007F67D7"/>
    <w:rsid w:val="007F7C9B"/>
    <w:rsid w:val="00801C71"/>
    <w:rsid w:val="0080260E"/>
    <w:rsid w:val="008047EF"/>
    <w:rsid w:val="008057DA"/>
    <w:rsid w:val="008063F6"/>
    <w:rsid w:val="008078AC"/>
    <w:rsid w:val="00810469"/>
    <w:rsid w:val="008107F2"/>
    <w:rsid w:val="00810A57"/>
    <w:rsid w:val="00810B8A"/>
    <w:rsid w:val="00810F4A"/>
    <w:rsid w:val="00812782"/>
    <w:rsid w:val="00812F09"/>
    <w:rsid w:val="008141C8"/>
    <w:rsid w:val="00816B33"/>
    <w:rsid w:val="00816D6D"/>
    <w:rsid w:val="008211AE"/>
    <w:rsid w:val="00821914"/>
    <w:rsid w:val="00822532"/>
    <w:rsid w:val="00824886"/>
    <w:rsid w:val="00826F41"/>
    <w:rsid w:val="00827B2A"/>
    <w:rsid w:val="00830055"/>
    <w:rsid w:val="00831BD5"/>
    <w:rsid w:val="0083271B"/>
    <w:rsid w:val="008328CD"/>
    <w:rsid w:val="0083620D"/>
    <w:rsid w:val="008363B0"/>
    <w:rsid w:val="00836731"/>
    <w:rsid w:val="0083694B"/>
    <w:rsid w:val="0084209E"/>
    <w:rsid w:val="008424BF"/>
    <w:rsid w:val="0084267F"/>
    <w:rsid w:val="00842C0E"/>
    <w:rsid w:val="00842E5E"/>
    <w:rsid w:val="00842F0F"/>
    <w:rsid w:val="008445E1"/>
    <w:rsid w:val="00844C95"/>
    <w:rsid w:val="0084516F"/>
    <w:rsid w:val="00845FAB"/>
    <w:rsid w:val="00846B2B"/>
    <w:rsid w:val="00847698"/>
    <w:rsid w:val="00847749"/>
    <w:rsid w:val="00847D91"/>
    <w:rsid w:val="00850486"/>
    <w:rsid w:val="0085070D"/>
    <w:rsid w:val="008509EE"/>
    <w:rsid w:val="008513CF"/>
    <w:rsid w:val="0085388F"/>
    <w:rsid w:val="008544F9"/>
    <w:rsid w:val="00854F49"/>
    <w:rsid w:val="0085583D"/>
    <w:rsid w:val="00856B33"/>
    <w:rsid w:val="00856FE5"/>
    <w:rsid w:val="00857A93"/>
    <w:rsid w:val="00860B72"/>
    <w:rsid w:val="00860C09"/>
    <w:rsid w:val="0086109D"/>
    <w:rsid w:val="00861C13"/>
    <w:rsid w:val="00863438"/>
    <w:rsid w:val="00863971"/>
    <w:rsid w:val="00863E6C"/>
    <w:rsid w:val="008644C2"/>
    <w:rsid w:val="008666C5"/>
    <w:rsid w:val="00866742"/>
    <w:rsid w:val="00866C94"/>
    <w:rsid w:val="008672AF"/>
    <w:rsid w:val="00867890"/>
    <w:rsid w:val="008701C5"/>
    <w:rsid w:val="008703C5"/>
    <w:rsid w:val="00872342"/>
    <w:rsid w:val="00873D01"/>
    <w:rsid w:val="00875FF6"/>
    <w:rsid w:val="00877885"/>
    <w:rsid w:val="008800FC"/>
    <w:rsid w:val="008805B3"/>
    <w:rsid w:val="008805BB"/>
    <w:rsid w:val="008818C5"/>
    <w:rsid w:val="00881C89"/>
    <w:rsid w:val="00882722"/>
    <w:rsid w:val="00884776"/>
    <w:rsid w:val="00886C96"/>
    <w:rsid w:val="00895981"/>
    <w:rsid w:val="00896988"/>
    <w:rsid w:val="00896A70"/>
    <w:rsid w:val="00897F02"/>
    <w:rsid w:val="008A1FE2"/>
    <w:rsid w:val="008A279C"/>
    <w:rsid w:val="008A2F7E"/>
    <w:rsid w:val="008A3229"/>
    <w:rsid w:val="008A36B3"/>
    <w:rsid w:val="008A372A"/>
    <w:rsid w:val="008A3BD3"/>
    <w:rsid w:val="008A4A36"/>
    <w:rsid w:val="008A52DA"/>
    <w:rsid w:val="008B23F3"/>
    <w:rsid w:val="008B50F2"/>
    <w:rsid w:val="008B72AB"/>
    <w:rsid w:val="008C0E01"/>
    <w:rsid w:val="008C2D14"/>
    <w:rsid w:val="008C442C"/>
    <w:rsid w:val="008C62EC"/>
    <w:rsid w:val="008C77D7"/>
    <w:rsid w:val="008C7DC0"/>
    <w:rsid w:val="008D09D5"/>
    <w:rsid w:val="008D1317"/>
    <w:rsid w:val="008D2906"/>
    <w:rsid w:val="008D37C0"/>
    <w:rsid w:val="008D3FCC"/>
    <w:rsid w:val="008D5A24"/>
    <w:rsid w:val="008D5D8C"/>
    <w:rsid w:val="008E0782"/>
    <w:rsid w:val="008E0889"/>
    <w:rsid w:val="008E0E87"/>
    <w:rsid w:val="008E1733"/>
    <w:rsid w:val="008E1AF9"/>
    <w:rsid w:val="008E1E6F"/>
    <w:rsid w:val="008E1E8D"/>
    <w:rsid w:val="008E241C"/>
    <w:rsid w:val="008E349A"/>
    <w:rsid w:val="008E4363"/>
    <w:rsid w:val="008E4BE2"/>
    <w:rsid w:val="008E4F53"/>
    <w:rsid w:val="008E4FD1"/>
    <w:rsid w:val="008E575A"/>
    <w:rsid w:val="008E58EF"/>
    <w:rsid w:val="008E765D"/>
    <w:rsid w:val="008E7F9B"/>
    <w:rsid w:val="008F08CD"/>
    <w:rsid w:val="008F2231"/>
    <w:rsid w:val="008F2557"/>
    <w:rsid w:val="008F32F3"/>
    <w:rsid w:val="008F33CA"/>
    <w:rsid w:val="008F44B2"/>
    <w:rsid w:val="008F4E30"/>
    <w:rsid w:val="008F50A7"/>
    <w:rsid w:val="008F60B2"/>
    <w:rsid w:val="008F65DF"/>
    <w:rsid w:val="008F787E"/>
    <w:rsid w:val="00901154"/>
    <w:rsid w:val="00901434"/>
    <w:rsid w:val="00901474"/>
    <w:rsid w:val="0090173E"/>
    <w:rsid w:val="00901AAB"/>
    <w:rsid w:val="00901C53"/>
    <w:rsid w:val="00901DFF"/>
    <w:rsid w:val="009028E0"/>
    <w:rsid w:val="009034BA"/>
    <w:rsid w:val="00903889"/>
    <w:rsid w:val="00904818"/>
    <w:rsid w:val="00904823"/>
    <w:rsid w:val="00904D99"/>
    <w:rsid w:val="00906AF6"/>
    <w:rsid w:val="00906EFD"/>
    <w:rsid w:val="0090701D"/>
    <w:rsid w:val="00907FE1"/>
    <w:rsid w:val="00910C85"/>
    <w:rsid w:val="009115B0"/>
    <w:rsid w:val="009134EC"/>
    <w:rsid w:val="00913A57"/>
    <w:rsid w:val="00913C2C"/>
    <w:rsid w:val="009142AE"/>
    <w:rsid w:val="00917177"/>
    <w:rsid w:val="009201F1"/>
    <w:rsid w:val="0092118C"/>
    <w:rsid w:val="009213DC"/>
    <w:rsid w:val="009215DA"/>
    <w:rsid w:val="00921A4D"/>
    <w:rsid w:val="00921E77"/>
    <w:rsid w:val="009231D3"/>
    <w:rsid w:val="00923FEF"/>
    <w:rsid w:val="009262AD"/>
    <w:rsid w:val="00931450"/>
    <w:rsid w:val="00931514"/>
    <w:rsid w:val="009329F0"/>
    <w:rsid w:val="009333AB"/>
    <w:rsid w:val="00933960"/>
    <w:rsid w:val="009350A0"/>
    <w:rsid w:val="0093549C"/>
    <w:rsid w:val="00935A22"/>
    <w:rsid w:val="00937E3E"/>
    <w:rsid w:val="009406AA"/>
    <w:rsid w:val="00941033"/>
    <w:rsid w:val="00941B21"/>
    <w:rsid w:val="00941FED"/>
    <w:rsid w:val="00944B80"/>
    <w:rsid w:val="009467C6"/>
    <w:rsid w:val="00946E65"/>
    <w:rsid w:val="00947CDD"/>
    <w:rsid w:val="00950F00"/>
    <w:rsid w:val="00951834"/>
    <w:rsid w:val="009525AA"/>
    <w:rsid w:val="009541E8"/>
    <w:rsid w:val="00955566"/>
    <w:rsid w:val="00956EA5"/>
    <w:rsid w:val="00960250"/>
    <w:rsid w:val="00961406"/>
    <w:rsid w:val="00962168"/>
    <w:rsid w:val="00962E58"/>
    <w:rsid w:val="00963BCC"/>
    <w:rsid w:val="00964B8A"/>
    <w:rsid w:val="00965692"/>
    <w:rsid w:val="00966F4D"/>
    <w:rsid w:val="00967AC6"/>
    <w:rsid w:val="00967BF9"/>
    <w:rsid w:val="009707E2"/>
    <w:rsid w:val="00971C9E"/>
    <w:rsid w:val="009733E0"/>
    <w:rsid w:val="00973BB2"/>
    <w:rsid w:val="00975124"/>
    <w:rsid w:val="00975D30"/>
    <w:rsid w:val="00975EF7"/>
    <w:rsid w:val="009763C7"/>
    <w:rsid w:val="00976EB6"/>
    <w:rsid w:val="00977221"/>
    <w:rsid w:val="00980533"/>
    <w:rsid w:val="00980E44"/>
    <w:rsid w:val="00981FB4"/>
    <w:rsid w:val="009820BB"/>
    <w:rsid w:val="00982893"/>
    <w:rsid w:val="00984EF3"/>
    <w:rsid w:val="009862E7"/>
    <w:rsid w:val="0098675B"/>
    <w:rsid w:val="00987D9A"/>
    <w:rsid w:val="0099076F"/>
    <w:rsid w:val="009909AB"/>
    <w:rsid w:val="00990B4F"/>
    <w:rsid w:val="00991730"/>
    <w:rsid w:val="009929B4"/>
    <w:rsid w:val="009932FF"/>
    <w:rsid w:val="00993F27"/>
    <w:rsid w:val="009953DD"/>
    <w:rsid w:val="009A0776"/>
    <w:rsid w:val="009A2439"/>
    <w:rsid w:val="009A5BA9"/>
    <w:rsid w:val="009A6E62"/>
    <w:rsid w:val="009A7323"/>
    <w:rsid w:val="009B0119"/>
    <w:rsid w:val="009B01F7"/>
    <w:rsid w:val="009B2835"/>
    <w:rsid w:val="009B2B2F"/>
    <w:rsid w:val="009B382B"/>
    <w:rsid w:val="009B3C5C"/>
    <w:rsid w:val="009B51D1"/>
    <w:rsid w:val="009C239F"/>
    <w:rsid w:val="009C24FA"/>
    <w:rsid w:val="009C268A"/>
    <w:rsid w:val="009C27C3"/>
    <w:rsid w:val="009C48BC"/>
    <w:rsid w:val="009C4B17"/>
    <w:rsid w:val="009C66C6"/>
    <w:rsid w:val="009C72DC"/>
    <w:rsid w:val="009C76F6"/>
    <w:rsid w:val="009D1071"/>
    <w:rsid w:val="009D2F4C"/>
    <w:rsid w:val="009D3456"/>
    <w:rsid w:val="009D3BB7"/>
    <w:rsid w:val="009D3D2E"/>
    <w:rsid w:val="009D5E71"/>
    <w:rsid w:val="009D6E76"/>
    <w:rsid w:val="009D720B"/>
    <w:rsid w:val="009D7819"/>
    <w:rsid w:val="009E341B"/>
    <w:rsid w:val="009E4203"/>
    <w:rsid w:val="009E432D"/>
    <w:rsid w:val="009E4867"/>
    <w:rsid w:val="009E4C95"/>
    <w:rsid w:val="009E7C25"/>
    <w:rsid w:val="009F1B34"/>
    <w:rsid w:val="009F1D9E"/>
    <w:rsid w:val="009F1F40"/>
    <w:rsid w:val="009F4BAA"/>
    <w:rsid w:val="009F6142"/>
    <w:rsid w:val="009F646A"/>
    <w:rsid w:val="009F6A07"/>
    <w:rsid w:val="009F7743"/>
    <w:rsid w:val="009F77AF"/>
    <w:rsid w:val="009F77F9"/>
    <w:rsid w:val="00A010D4"/>
    <w:rsid w:val="00A01B77"/>
    <w:rsid w:val="00A0302B"/>
    <w:rsid w:val="00A03500"/>
    <w:rsid w:val="00A04651"/>
    <w:rsid w:val="00A05B1B"/>
    <w:rsid w:val="00A07836"/>
    <w:rsid w:val="00A10C68"/>
    <w:rsid w:val="00A11E53"/>
    <w:rsid w:val="00A11E80"/>
    <w:rsid w:val="00A12ECA"/>
    <w:rsid w:val="00A13EDB"/>
    <w:rsid w:val="00A15617"/>
    <w:rsid w:val="00A22D04"/>
    <w:rsid w:val="00A23F06"/>
    <w:rsid w:val="00A24E08"/>
    <w:rsid w:val="00A24E23"/>
    <w:rsid w:val="00A2543F"/>
    <w:rsid w:val="00A2588C"/>
    <w:rsid w:val="00A26111"/>
    <w:rsid w:val="00A27E6D"/>
    <w:rsid w:val="00A31141"/>
    <w:rsid w:val="00A3130F"/>
    <w:rsid w:val="00A31490"/>
    <w:rsid w:val="00A3277E"/>
    <w:rsid w:val="00A32B68"/>
    <w:rsid w:val="00A32CE3"/>
    <w:rsid w:val="00A3301A"/>
    <w:rsid w:val="00A37455"/>
    <w:rsid w:val="00A3768D"/>
    <w:rsid w:val="00A37FA1"/>
    <w:rsid w:val="00A37FB8"/>
    <w:rsid w:val="00A40269"/>
    <w:rsid w:val="00A409A1"/>
    <w:rsid w:val="00A40ABE"/>
    <w:rsid w:val="00A41E94"/>
    <w:rsid w:val="00A42B65"/>
    <w:rsid w:val="00A43150"/>
    <w:rsid w:val="00A4358B"/>
    <w:rsid w:val="00A43D45"/>
    <w:rsid w:val="00A44024"/>
    <w:rsid w:val="00A451DD"/>
    <w:rsid w:val="00A45A99"/>
    <w:rsid w:val="00A45C38"/>
    <w:rsid w:val="00A45DB1"/>
    <w:rsid w:val="00A460B1"/>
    <w:rsid w:val="00A462FA"/>
    <w:rsid w:val="00A46A94"/>
    <w:rsid w:val="00A46B3A"/>
    <w:rsid w:val="00A47217"/>
    <w:rsid w:val="00A47EE3"/>
    <w:rsid w:val="00A50078"/>
    <w:rsid w:val="00A503FD"/>
    <w:rsid w:val="00A50B3B"/>
    <w:rsid w:val="00A50C10"/>
    <w:rsid w:val="00A50F7A"/>
    <w:rsid w:val="00A51866"/>
    <w:rsid w:val="00A52A1B"/>
    <w:rsid w:val="00A52BDF"/>
    <w:rsid w:val="00A537B0"/>
    <w:rsid w:val="00A5734F"/>
    <w:rsid w:val="00A57AA3"/>
    <w:rsid w:val="00A60687"/>
    <w:rsid w:val="00A61395"/>
    <w:rsid w:val="00A627D2"/>
    <w:rsid w:val="00A6306A"/>
    <w:rsid w:val="00A63974"/>
    <w:rsid w:val="00A65575"/>
    <w:rsid w:val="00A66847"/>
    <w:rsid w:val="00A66F2C"/>
    <w:rsid w:val="00A71299"/>
    <w:rsid w:val="00A71DDE"/>
    <w:rsid w:val="00A74BFB"/>
    <w:rsid w:val="00A75608"/>
    <w:rsid w:val="00A7707F"/>
    <w:rsid w:val="00A77831"/>
    <w:rsid w:val="00A80577"/>
    <w:rsid w:val="00A81382"/>
    <w:rsid w:val="00A8183D"/>
    <w:rsid w:val="00A827AC"/>
    <w:rsid w:val="00A829BE"/>
    <w:rsid w:val="00A82B56"/>
    <w:rsid w:val="00A83E2B"/>
    <w:rsid w:val="00A843D9"/>
    <w:rsid w:val="00A845AF"/>
    <w:rsid w:val="00A85056"/>
    <w:rsid w:val="00A850B8"/>
    <w:rsid w:val="00A85C0F"/>
    <w:rsid w:val="00A9223B"/>
    <w:rsid w:val="00A93C2A"/>
    <w:rsid w:val="00A942BF"/>
    <w:rsid w:val="00A94781"/>
    <w:rsid w:val="00A96286"/>
    <w:rsid w:val="00A96FE6"/>
    <w:rsid w:val="00A97101"/>
    <w:rsid w:val="00A9727E"/>
    <w:rsid w:val="00A976CE"/>
    <w:rsid w:val="00A97774"/>
    <w:rsid w:val="00A977B0"/>
    <w:rsid w:val="00A97EDC"/>
    <w:rsid w:val="00AA039F"/>
    <w:rsid w:val="00AA040B"/>
    <w:rsid w:val="00AA157B"/>
    <w:rsid w:val="00AA1759"/>
    <w:rsid w:val="00AA25F0"/>
    <w:rsid w:val="00AA4053"/>
    <w:rsid w:val="00AA51B5"/>
    <w:rsid w:val="00AA547B"/>
    <w:rsid w:val="00AA78C4"/>
    <w:rsid w:val="00AB04A3"/>
    <w:rsid w:val="00AB0E6C"/>
    <w:rsid w:val="00AB1122"/>
    <w:rsid w:val="00AB434C"/>
    <w:rsid w:val="00AC048B"/>
    <w:rsid w:val="00AC0A71"/>
    <w:rsid w:val="00AC1BF5"/>
    <w:rsid w:val="00AC202D"/>
    <w:rsid w:val="00AC2A7B"/>
    <w:rsid w:val="00AC2D02"/>
    <w:rsid w:val="00AC3DE5"/>
    <w:rsid w:val="00AC4191"/>
    <w:rsid w:val="00AC5399"/>
    <w:rsid w:val="00AC53C4"/>
    <w:rsid w:val="00AC540A"/>
    <w:rsid w:val="00AC69CA"/>
    <w:rsid w:val="00AC6DC3"/>
    <w:rsid w:val="00AD00AB"/>
    <w:rsid w:val="00AD0A6C"/>
    <w:rsid w:val="00AD267C"/>
    <w:rsid w:val="00AD2AC4"/>
    <w:rsid w:val="00AD3376"/>
    <w:rsid w:val="00AD6B25"/>
    <w:rsid w:val="00AE027C"/>
    <w:rsid w:val="00AE0594"/>
    <w:rsid w:val="00AE07F4"/>
    <w:rsid w:val="00AE0B21"/>
    <w:rsid w:val="00AE14B5"/>
    <w:rsid w:val="00AE267D"/>
    <w:rsid w:val="00AE3D5C"/>
    <w:rsid w:val="00AE6C43"/>
    <w:rsid w:val="00AF1122"/>
    <w:rsid w:val="00AF165D"/>
    <w:rsid w:val="00AF562E"/>
    <w:rsid w:val="00AF6616"/>
    <w:rsid w:val="00AF67B4"/>
    <w:rsid w:val="00AF7420"/>
    <w:rsid w:val="00AF747F"/>
    <w:rsid w:val="00AF7B26"/>
    <w:rsid w:val="00B01056"/>
    <w:rsid w:val="00B011BD"/>
    <w:rsid w:val="00B019D9"/>
    <w:rsid w:val="00B01F86"/>
    <w:rsid w:val="00B02492"/>
    <w:rsid w:val="00B02A1E"/>
    <w:rsid w:val="00B03D79"/>
    <w:rsid w:val="00B04289"/>
    <w:rsid w:val="00B05706"/>
    <w:rsid w:val="00B06577"/>
    <w:rsid w:val="00B0726C"/>
    <w:rsid w:val="00B07D59"/>
    <w:rsid w:val="00B1191B"/>
    <w:rsid w:val="00B11F55"/>
    <w:rsid w:val="00B12F73"/>
    <w:rsid w:val="00B13AD8"/>
    <w:rsid w:val="00B142C2"/>
    <w:rsid w:val="00B1444C"/>
    <w:rsid w:val="00B14A25"/>
    <w:rsid w:val="00B15FB5"/>
    <w:rsid w:val="00B20161"/>
    <w:rsid w:val="00B2055E"/>
    <w:rsid w:val="00B23ABD"/>
    <w:rsid w:val="00B2523E"/>
    <w:rsid w:val="00B25A0C"/>
    <w:rsid w:val="00B25FB7"/>
    <w:rsid w:val="00B274B7"/>
    <w:rsid w:val="00B2788F"/>
    <w:rsid w:val="00B3181E"/>
    <w:rsid w:val="00B323FF"/>
    <w:rsid w:val="00B324B0"/>
    <w:rsid w:val="00B32E67"/>
    <w:rsid w:val="00B33DBC"/>
    <w:rsid w:val="00B34B49"/>
    <w:rsid w:val="00B352F7"/>
    <w:rsid w:val="00B373F7"/>
    <w:rsid w:val="00B4011E"/>
    <w:rsid w:val="00B4209F"/>
    <w:rsid w:val="00B432DD"/>
    <w:rsid w:val="00B44D14"/>
    <w:rsid w:val="00B44F02"/>
    <w:rsid w:val="00B466F8"/>
    <w:rsid w:val="00B47022"/>
    <w:rsid w:val="00B470D1"/>
    <w:rsid w:val="00B47B13"/>
    <w:rsid w:val="00B47C2D"/>
    <w:rsid w:val="00B554C6"/>
    <w:rsid w:val="00B5600D"/>
    <w:rsid w:val="00B56A11"/>
    <w:rsid w:val="00B57449"/>
    <w:rsid w:val="00B60FED"/>
    <w:rsid w:val="00B617CB"/>
    <w:rsid w:val="00B63D1B"/>
    <w:rsid w:val="00B64639"/>
    <w:rsid w:val="00B64D31"/>
    <w:rsid w:val="00B6667F"/>
    <w:rsid w:val="00B70E98"/>
    <w:rsid w:val="00B7106B"/>
    <w:rsid w:val="00B71F73"/>
    <w:rsid w:val="00B72754"/>
    <w:rsid w:val="00B73E3F"/>
    <w:rsid w:val="00B75707"/>
    <w:rsid w:val="00B77D67"/>
    <w:rsid w:val="00B81BD2"/>
    <w:rsid w:val="00B85579"/>
    <w:rsid w:val="00B86AF0"/>
    <w:rsid w:val="00B86FD0"/>
    <w:rsid w:val="00B871DE"/>
    <w:rsid w:val="00B921A2"/>
    <w:rsid w:val="00B94AFF"/>
    <w:rsid w:val="00B976FD"/>
    <w:rsid w:val="00B978BE"/>
    <w:rsid w:val="00BA38AE"/>
    <w:rsid w:val="00BA3A04"/>
    <w:rsid w:val="00BA3D03"/>
    <w:rsid w:val="00BA4DFD"/>
    <w:rsid w:val="00BA5C0B"/>
    <w:rsid w:val="00BA5F9E"/>
    <w:rsid w:val="00BB0D95"/>
    <w:rsid w:val="00BB230B"/>
    <w:rsid w:val="00BB3489"/>
    <w:rsid w:val="00BB45D3"/>
    <w:rsid w:val="00BB55A2"/>
    <w:rsid w:val="00BB5664"/>
    <w:rsid w:val="00BC14BE"/>
    <w:rsid w:val="00BC37A2"/>
    <w:rsid w:val="00BC41A6"/>
    <w:rsid w:val="00BC53DC"/>
    <w:rsid w:val="00BC5951"/>
    <w:rsid w:val="00BC61AF"/>
    <w:rsid w:val="00BC67CC"/>
    <w:rsid w:val="00BD3CD1"/>
    <w:rsid w:val="00BD6D64"/>
    <w:rsid w:val="00BD78E7"/>
    <w:rsid w:val="00BD7D24"/>
    <w:rsid w:val="00BD7FF6"/>
    <w:rsid w:val="00BE12E6"/>
    <w:rsid w:val="00BE2008"/>
    <w:rsid w:val="00BE214B"/>
    <w:rsid w:val="00BE2AE4"/>
    <w:rsid w:val="00BE2E45"/>
    <w:rsid w:val="00BE336B"/>
    <w:rsid w:val="00BE47FA"/>
    <w:rsid w:val="00BE5644"/>
    <w:rsid w:val="00BE58E2"/>
    <w:rsid w:val="00BE5999"/>
    <w:rsid w:val="00BE78A2"/>
    <w:rsid w:val="00BF239A"/>
    <w:rsid w:val="00BF31B6"/>
    <w:rsid w:val="00BF3966"/>
    <w:rsid w:val="00BF39C0"/>
    <w:rsid w:val="00BF533A"/>
    <w:rsid w:val="00BF6726"/>
    <w:rsid w:val="00BF7FE4"/>
    <w:rsid w:val="00C008F7"/>
    <w:rsid w:val="00C0119B"/>
    <w:rsid w:val="00C01864"/>
    <w:rsid w:val="00C0344A"/>
    <w:rsid w:val="00C0434B"/>
    <w:rsid w:val="00C04850"/>
    <w:rsid w:val="00C05108"/>
    <w:rsid w:val="00C05179"/>
    <w:rsid w:val="00C0561A"/>
    <w:rsid w:val="00C05DEC"/>
    <w:rsid w:val="00C0668A"/>
    <w:rsid w:val="00C06756"/>
    <w:rsid w:val="00C06C9C"/>
    <w:rsid w:val="00C071CC"/>
    <w:rsid w:val="00C074DB"/>
    <w:rsid w:val="00C1035A"/>
    <w:rsid w:val="00C10686"/>
    <w:rsid w:val="00C10785"/>
    <w:rsid w:val="00C11236"/>
    <w:rsid w:val="00C13627"/>
    <w:rsid w:val="00C1389E"/>
    <w:rsid w:val="00C14C9F"/>
    <w:rsid w:val="00C14E61"/>
    <w:rsid w:val="00C154BE"/>
    <w:rsid w:val="00C21ABA"/>
    <w:rsid w:val="00C278B9"/>
    <w:rsid w:val="00C30621"/>
    <w:rsid w:val="00C309BC"/>
    <w:rsid w:val="00C31D89"/>
    <w:rsid w:val="00C32C24"/>
    <w:rsid w:val="00C345B0"/>
    <w:rsid w:val="00C3508E"/>
    <w:rsid w:val="00C3523B"/>
    <w:rsid w:val="00C35E0F"/>
    <w:rsid w:val="00C37443"/>
    <w:rsid w:val="00C37DE4"/>
    <w:rsid w:val="00C4017E"/>
    <w:rsid w:val="00C42F0E"/>
    <w:rsid w:val="00C432EC"/>
    <w:rsid w:val="00C43C97"/>
    <w:rsid w:val="00C442EF"/>
    <w:rsid w:val="00C46B4A"/>
    <w:rsid w:val="00C46F78"/>
    <w:rsid w:val="00C51F9C"/>
    <w:rsid w:val="00C5203B"/>
    <w:rsid w:val="00C53A3F"/>
    <w:rsid w:val="00C5762F"/>
    <w:rsid w:val="00C60956"/>
    <w:rsid w:val="00C60E20"/>
    <w:rsid w:val="00C61A16"/>
    <w:rsid w:val="00C640C3"/>
    <w:rsid w:val="00C64CB0"/>
    <w:rsid w:val="00C67D52"/>
    <w:rsid w:val="00C7009B"/>
    <w:rsid w:val="00C708EB"/>
    <w:rsid w:val="00C70918"/>
    <w:rsid w:val="00C711BE"/>
    <w:rsid w:val="00C714D3"/>
    <w:rsid w:val="00C72773"/>
    <w:rsid w:val="00C72996"/>
    <w:rsid w:val="00C72D67"/>
    <w:rsid w:val="00C73704"/>
    <w:rsid w:val="00C73AD7"/>
    <w:rsid w:val="00C742C5"/>
    <w:rsid w:val="00C75539"/>
    <w:rsid w:val="00C75A96"/>
    <w:rsid w:val="00C8083C"/>
    <w:rsid w:val="00C81B20"/>
    <w:rsid w:val="00C822DD"/>
    <w:rsid w:val="00C831C6"/>
    <w:rsid w:val="00C8578D"/>
    <w:rsid w:val="00C86BD7"/>
    <w:rsid w:val="00C9036B"/>
    <w:rsid w:val="00C90DA8"/>
    <w:rsid w:val="00C91104"/>
    <w:rsid w:val="00C91D1F"/>
    <w:rsid w:val="00C92946"/>
    <w:rsid w:val="00C93BD7"/>
    <w:rsid w:val="00C93D07"/>
    <w:rsid w:val="00C95947"/>
    <w:rsid w:val="00C96B1F"/>
    <w:rsid w:val="00C96D38"/>
    <w:rsid w:val="00C970D8"/>
    <w:rsid w:val="00CA2A16"/>
    <w:rsid w:val="00CA3E48"/>
    <w:rsid w:val="00CA58CA"/>
    <w:rsid w:val="00CA6101"/>
    <w:rsid w:val="00CA6DA8"/>
    <w:rsid w:val="00CA7FF7"/>
    <w:rsid w:val="00CB0844"/>
    <w:rsid w:val="00CB1EB2"/>
    <w:rsid w:val="00CB22C8"/>
    <w:rsid w:val="00CB44FD"/>
    <w:rsid w:val="00CB4B83"/>
    <w:rsid w:val="00CB51BF"/>
    <w:rsid w:val="00CB622F"/>
    <w:rsid w:val="00CB6F6D"/>
    <w:rsid w:val="00CB7E9D"/>
    <w:rsid w:val="00CC00A8"/>
    <w:rsid w:val="00CC0A95"/>
    <w:rsid w:val="00CC376E"/>
    <w:rsid w:val="00CC4182"/>
    <w:rsid w:val="00CC465D"/>
    <w:rsid w:val="00CC4F0E"/>
    <w:rsid w:val="00CC7CA9"/>
    <w:rsid w:val="00CD02E4"/>
    <w:rsid w:val="00CD0FB3"/>
    <w:rsid w:val="00CD17FC"/>
    <w:rsid w:val="00CD2001"/>
    <w:rsid w:val="00CD3136"/>
    <w:rsid w:val="00CD4F5A"/>
    <w:rsid w:val="00CD5D3E"/>
    <w:rsid w:val="00CD5F67"/>
    <w:rsid w:val="00CD6E65"/>
    <w:rsid w:val="00CD7B31"/>
    <w:rsid w:val="00CE05CD"/>
    <w:rsid w:val="00CE13C6"/>
    <w:rsid w:val="00CE16A8"/>
    <w:rsid w:val="00CE30CA"/>
    <w:rsid w:val="00CE46ED"/>
    <w:rsid w:val="00CE66E0"/>
    <w:rsid w:val="00CE6C56"/>
    <w:rsid w:val="00CE7880"/>
    <w:rsid w:val="00CF01FF"/>
    <w:rsid w:val="00CF039C"/>
    <w:rsid w:val="00CF2AD3"/>
    <w:rsid w:val="00CF3E6A"/>
    <w:rsid w:val="00CF489E"/>
    <w:rsid w:val="00CF5560"/>
    <w:rsid w:val="00CF5B82"/>
    <w:rsid w:val="00D00026"/>
    <w:rsid w:val="00D00B3A"/>
    <w:rsid w:val="00D00DE7"/>
    <w:rsid w:val="00D0116B"/>
    <w:rsid w:val="00D017EE"/>
    <w:rsid w:val="00D0284B"/>
    <w:rsid w:val="00D035F1"/>
    <w:rsid w:val="00D0478D"/>
    <w:rsid w:val="00D05E69"/>
    <w:rsid w:val="00D06EC9"/>
    <w:rsid w:val="00D10906"/>
    <w:rsid w:val="00D11B64"/>
    <w:rsid w:val="00D12D7C"/>
    <w:rsid w:val="00D131B6"/>
    <w:rsid w:val="00D1322F"/>
    <w:rsid w:val="00D13ADD"/>
    <w:rsid w:val="00D145E4"/>
    <w:rsid w:val="00D1514B"/>
    <w:rsid w:val="00D159C6"/>
    <w:rsid w:val="00D1628E"/>
    <w:rsid w:val="00D1684D"/>
    <w:rsid w:val="00D17257"/>
    <w:rsid w:val="00D311FC"/>
    <w:rsid w:val="00D314A3"/>
    <w:rsid w:val="00D32367"/>
    <w:rsid w:val="00D32D7C"/>
    <w:rsid w:val="00D33947"/>
    <w:rsid w:val="00D3478D"/>
    <w:rsid w:val="00D34C98"/>
    <w:rsid w:val="00D3563F"/>
    <w:rsid w:val="00D36770"/>
    <w:rsid w:val="00D3684E"/>
    <w:rsid w:val="00D36D18"/>
    <w:rsid w:val="00D37142"/>
    <w:rsid w:val="00D37619"/>
    <w:rsid w:val="00D403EF"/>
    <w:rsid w:val="00D40E58"/>
    <w:rsid w:val="00D4199A"/>
    <w:rsid w:val="00D41B4D"/>
    <w:rsid w:val="00D42A5C"/>
    <w:rsid w:val="00D42E5F"/>
    <w:rsid w:val="00D43B65"/>
    <w:rsid w:val="00D44282"/>
    <w:rsid w:val="00D45000"/>
    <w:rsid w:val="00D45A06"/>
    <w:rsid w:val="00D471C7"/>
    <w:rsid w:val="00D523FF"/>
    <w:rsid w:val="00D5349F"/>
    <w:rsid w:val="00D53893"/>
    <w:rsid w:val="00D53E91"/>
    <w:rsid w:val="00D549BE"/>
    <w:rsid w:val="00D54E51"/>
    <w:rsid w:val="00D552B0"/>
    <w:rsid w:val="00D57073"/>
    <w:rsid w:val="00D57F83"/>
    <w:rsid w:val="00D602DC"/>
    <w:rsid w:val="00D62C6A"/>
    <w:rsid w:val="00D633AB"/>
    <w:rsid w:val="00D635D3"/>
    <w:rsid w:val="00D63FB7"/>
    <w:rsid w:val="00D64167"/>
    <w:rsid w:val="00D647B7"/>
    <w:rsid w:val="00D64CAA"/>
    <w:rsid w:val="00D66F63"/>
    <w:rsid w:val="00D6748F"/>
    <w:rsid w:val="00D70F76"/>
    <w:rsid w:val="00D71A9E"/>
    <w:rsid w:val="00D723F0"/>
    <w:rsid w:val="00D76248"/>
    <w:rsid w:val="00D76B07"/>
    <w:rsid w:val="00D77B01"/>
    <w:rsid w:val="00D77C6D"/>
    <w:rsid w:val="00D8007B"/>
    <w:rsid w:val="00D8136F"/>
    <w:rsid w:val="00D81B6C"/>
    <w:rsid w:val="00D82D53"/>
    <w:rsid w:val="00D845A3"/>
    <w:rsid w:val="00D853FE"/>
    <w:rsid w:val="00D8587E"/>
    <w:rsid w:val="00D86A78"/>
    <w:rsid w:val="00D86B0F"/>
    <w:rsid w:val="00D872E0"/>
    <w:rsid w:val="00D9297E"/>
    <w:rsid w:val="00D93240"/>
    <w:rsid w:val="00D94305"/>
    <w:rsid w:val="00D945D6"/>
    <w:rsid w:val="00D9507D"/>
    <w:rsid w:val="00D963C9"/>
    <w:rsid w:val="00D97180"/>
    <w:rsid w:val="00D973CC"/>
    <w:rsid w:val="00DA0D55"/>
    <w:rsid w:val="00DA23A2"/>
    <w:rsid w:val="00DA2D4B"/>
    <w:rsid w:val="00DA50CD"/>
    <w:rsid w:val="00DA5237"/>
    <w:rsid w:val="00DB2321"/>
    <w:rsid w:val="00DB2CCB"/>
    <w:rsid w:val="00DB4F24"/>
    <w:rsid w:val="00DB55B9"/>
    <w:rsid w:val="00DB5B1E"/>
    <w:rsid w:val="00DB6483"/>
    <w:rsid w:val="00DC0B3E"/>
    <w:rsid w:val="00DC26BE"/>
    <w:rsid w:val="00DC3858"/>
    <w:rsid w:val="00DC3B5D"/>
    <w:rsid w:val="00DC4D16"/>
    <w:rsid w:val="00DC4DE5"/>
    <w:rsid w:val="00DC551B"/>
    <w:rsid w:val="00DC5B1B"/>
    <w:rsid w:val="00DC5D0D"/>
    <w:rsid w:val="00DC6FD7"/>
    <w:rsid w:val="00DD0494"/>
    <w:rsid w:val="00DD1D49"/>
    <w:rsid w:val="00DD25D1"/>
    <w:rsid w:val="00DD2D2E"/>
    <w:rsid w:val="00DD3BBB"/>
    <w:rsid w:val="00DD448D"/>
    <w:rsid w:val="00DD48C1"/>
    <w:rsid w:val="00DD4FA2"/>
    <w:rsid w:val="00DE01FD"/>
    <w:rsid w:val="00DE0617"/>
    <w:rsid w:val="00DE370D"/>
    <w:rsid w:val="00DE3B05"/>
    <w:rsid w:val="00DE405C"/>
    <w:rsid w:val="00DE4512"/>
    <w:rsid w:val="00DE4A66"/>
    <w:rsid w:val="00DE5141"/>
    <w:rsid w:val="00DE5FB9"/>
    <w:rsid w:val="00DE6946"/>
    <w:rsid w:val="00DE6F69"/>
    <w:rsid w:val="00DE7ADD"/>
    <w:rsid w:val="00DE7DE9"/>
    <w:rsid w:val="00DF04E8"/>
    <w:rsid w:val="00DF1672"/>
    <w:rsid w:val="00DF3E4A"/>
    <w:rsid w:val="00DF520D"/>
    <w:rsid w:val="00DF5F1E"/>
    <w:rsid w:val="00DF7462"/>
    <w:rsid w:val="00E019ED"/>
    <w:rsid w:val="00E04D4F"/>
    <w:rsid w:val="00E058F8"/>
    <w:rsid w:val="00E05FA3"/>
    <w:rsid w:val="00E06086"/>
    <w:rsid w:val="00E06D3B"/>
    <w:rsid w:val="00E06F9E"/>
    <w:rsid w:val="00E074FE"/>
    <w:rsid w:val="00E13CEA"/>
    <w:rsid w:val="00E14873"/>
    <w:rsid w:val="00E1501B"/>
    <w:rsid w:val="00E16618"/>
    <w:rsid w:val="00E166ED"/>
    <w:rsid w:val="00E167F5"/>
    <w:rsid w:val="00E16DB4"/>
    <w:rsid w:val="00E20E4F"/>
    <w:rsid w:val="00E20E74"/>
    <w:rsid w:val="00E212FB"/>
    <w:rsid w:val="00E221F5"/>
    <w:rsid w:val="00E234D4"/>
    <w:rsid w:val="00E23EFF"/>
    <w:rsid w:val="00E24290"/>
    <w:rsid w:val="00E242E7"/>
    <w:rsid w:val="00E2434B"/>
    <w:rsid w:val="00E253C5"/>
    <w:rsid w:val="00E26157"/>
    <w:rsid w:val="00E269F6"/>
    <w:rsid w:val="00E27E89"/>
    <w:rsid w:val="00E31865"/>
    <w:rsid w:val="00E32470"/>
    <w:rsid w:val="00E3279C"/>
    <w:rsid w:val="00E3283C"/>
    <w:rsid w:val="00E3312A"/>
    <w:rsid w:val="00E33BE0"/>
    <w:rsid w:val="00E346F4"/>
    <w:rsid w:val="00E3477B"/>
    <w:rsid w:val="00E3558C"/>
    <w:rsid w:val="00E35E56"/>
    <w:rsid w:val="00E36701"/>
    <w:rsid w:val="00E43BDE"/>
    <w:rsid w:val="00E4460B"/>
    <w:rsid w:val="00E44A89"/>
    <w:rsid w:val="00E459C8"/>
    <w:rsid w:val="00E46122"/>
    <w:rsid w:val="00E46734"/>
    <w:rsid w:val="00E46CA5"/>
    <w:rsid w:val="00E47146"/>
    <w:rsid w:val="00E47E5D"/>
    <w:rsid w:val="00E5253E"/>
    <w:rsid w:val="00E54329"/>
    <w:rsid w:val="00E54E01"/>
    <w:rsid w:val="00E553F9"/>
    <w:rsid w:val="00E56362"/>
    <w:rsid w:val="00E572D9"/>
    <w:rsid w:val="00E60C04"/>
    <w:rsid w:val="00E616B3"/>
    <w:rsid w:val="00E623FA"/>
    <w:rsid w:val="00E6262E"/>
    <w:rsid w:val="00E62E89"/>
    <w:rsid w:val="00E631B2"/>
    <w:rsid w:val="00E63A5B"/>
    <w:rsid w:val="00E63F7F"/>
    <w:rsid w:val="00E64D36"/>
    <w:rsid w:val="00E653EE"/>
    <w:rsid w:val="00E65C4C"/>
    <w:rsid w:val="00E6749C"/>
    <w:rsid w:val="00E705AF"/>
    <w:rsid w:val="00E7072B"/>
    <w:rsid w:val="00E7076C"/>
    <w:rsid w:val="00E70E68"/>
    <w:rsid w:val="00E7154F"/>
    <w:rsid w:val="00E7248A"/>
    <w:rsid w:val="00E72FB1"/>
    <w:rsid w:val="00E758E2"/>
    <w:rsid w:val="00E759F2"/>
    <w:rsid w:val="00E75C2F"/>
    <w:rsid w:val="00E76F92"/>
    <w:rsid w:val="00E77721"/>
    <w:rsid w:val="00E804F8"/>
    <w:rsid w:val="00E80DF8"/>
    <w:rsid w:val="00E82D52"/>
    <w:rsid w:val="00E852A7"/>
    <w:rsid w:val="00E87623"/>
    <w:rsid w:val="00E87D1B"/>
    <w:rsid w:val="00E902CB"/>
    <w:rsid w:val="00E9105E"/>
    <w:rsid w:val="00E94537"/>
    <w:rsid w:val="00E94AFC"/>
    <w:rsid w:val="00E95478"/>
    <w:rsid w:val="00E97F0C"/>
    <w:rsid w:val="00EA0429"/>
    <w:rsid w:val="00EA0457"/>
    <w:rsid w:val="00EA26BC"/>
    <w:rsid w:val="00EA3E23"/>
    <w:rsid w:val="00EA475F"/>
    <w:rsid w:val="00EA6F1E"/>
    <w:rsid w:val="00EA75E4"/>
    <w:rsid w:val="00EA7FAE"/>
    <w:rsid w:val="00EB2A6B"/>
    <w:rsid w:val="00EB3044"/>
    <w:rsid w:val="00EB54E8"/>
    <w:rsid w:val="00EB78DB"/>
    <w:rsid w:val="00EC0B2D"/>
    <w:rsid w:val="00EC1D12"/>
    <w:rsid w:val="00EC1F46"/>
    <w:rsid w:val="00EC3BF2"/>
    <w:rsid w:val="00EC44C2"/>
    <w:rsid w:val="00EC69BC"/>
    <w:rsid w:val="00EC748F"/>
    <w:rsid w:val="00EC7729"/>
    <w:rsid w:val="00ED00B5"/>
    <w:rsid w:val="00ED1997"/>
    <w:rsid w:val="00ED2248"/>
    <w:rsid w:val="00ED4D2B"/>
    <w:rsid w:val="00ED4D4C"/>
    <w:rsid w:val="00ED56B2"/>
    <w:rsid w:val="00EE0341"/>
    <w:rsid w:val="00EE057D"/>
    <w:rsid w:val="00EE1C12"/>
    <w:rsid w:val="00EE31E6"/>
    <w:rsid w:val="00EE5C98"/>
    <w:rsid w:val="00EE5ECA"/>
    <w:rsid w:val="00EE6284"/>
    <w:rsid w:val="00EE6D3E"/>
    <w:rsid w:val="00EE71CD"/>
    <w:rsid w:val="00EF0FB4"/>
    <w:rsid w:val="00EF1E31"/>
    <w:rsid w:val="00EF2DB4"/>
    <w:rsid w:val="00EF314E"/>
    <w:rsid w:val="00EF3F94"/>
    <w:rsid w:val="00EF79E3"/>
    <w:rsid w:val="00F007E4"/>
    <w:rsid w:val="00F01095"/>
    <w:rsid w:val="00F011E4"/>
    <w:rsid w:val="00F03D6D"/>
    <w:rsid w:val="00F04631"/>
    <w:rsid w:val="00F05DF5"/>
    <w:rsid w:val="00F06E74"/>
    <w:rsid w:val="00F07B42"/>
    <w:rsid w:val="00F10082"/>
    <w:rsid w:val="00F10119"/>
    <w:rsid w:val="00F126C5"/>
    <w:rsid w:val="00F12D6F"/>
    <w:rsid w:val="00F13719"/>
    <w:rsid w:val="00F13D3F"/>
    <w:rsid w:val="00F143B2"/>
    <w:rsid w:val="00F156F2"/>
    <w:rsid w:val="00F15BE5"/>
    <w:rsid w:val="00F16089"/>
    <w:rsid w:val="00F16697"/>
    <w:rsid w:val="00F17A50"/>
    <w:rsid w:val="00F2176A"/>
    <w:rsid w:val="00F23547"/>
    <w:rsid w:val="00F254CC"/>
    <w:rsid w:val="00F26697"/>
    <w:rsid w:val="00F27095"/>
    <w:rsid w:val="00F27657"/>
    <w:rsid w:val="00F30694"/>
    <w:rsid w:val="00F30C25"/>
    <w:rsid w:val="00F3242C"/>
    <w:rsid w:val="00F32EC5"/>
    <w:rsid w:val="00F34EC0"/>
    <w:rsid w:val="00F34FC9"/>
    <w:rsid w:val="00F369A8"/>
    <w:rsid w:val="00F37A6E"/>
    <w:rsid w:val="00F418EB"/>
    <w:rsid w:val="00F440E3"/>
    <w:rsid w:val="00F4433C"/>
    <w:rsid w:val="00F45838"/>
    <w:rsid w:val="00F463A2"/>
    <w:rsid w:val="00F464AE"/>
    <w:rsid w:val="00F479F0"/>
    <w:rsid w:val="00F500E4"/>
    <w:rsid w:val="00F50B21"/>
    <w:rsid w:val="00F50FA4"/>
    <w:rsid w:val="00F524E8"/>
    <w:rsid w:val="00F52A69"/>
    <w:rsid w:val="00F538C5"/>
    <w:rsid w:val="00F54658"/>
    <w:rsid w:val="00F54AB3"/>
    <w:rsid w:val="00F55780"/>
    <w:rsid w:val="00F6021F"/>
    <w:rsid w:val="00F606EB"/>
    <w:rsid w:val="00F61C51"/>
    <w:rsid w:val="00F6204D"/>
    <w:rsid w:val="00F621EB"/>
    <w:rsid w:val="00F623C3"/>
    <w:rsid w:val="00F647F4"/>
    <w:rsid w:val="00F64875"/>
    <w:rsid w:val="00F654D0"/>
    <w:rsid w:val="00F65B4B"/>
    <w:rsid w:val="00F66935"/>
    <w:rsid w:val="00F66A6B"/>
    <w:rsid w:val="00F670F1"/>
    <w:rsid w:val="00F70BE3"/>
    <w:rsid w:val="00F71592"/>
    <w:rsid w:val="00F71D8A"/>
    <w:rsid w:val="00F71F92"/>
    <w:rsid w:val="00F72F8B"/>
    <w:rsid w:val="00F74978"/>
    <w:rsid w:val="00F75C3A"/>
    <w:rsid w:val="00F805C2"/>
    <w:rsid w:val="00F80DE0"/>
    <w:rsid w:val="00F81184"/>
    <w:rsid w:val="00F81E33"/>
    <w:rsid w:val="00F830C0"/>
    <w:rsid w:val="00F83DD3"/>
    <w:rsid w:val="00F8532E"/>
    <w:rsid w:val="00F87764"/>
    <w:rsid w:val="00F878AD"/>
    <w:rsid w:val="00F94525"/>
    <w:rsid w:val="00F94C80"/>
    <w:rsid w:val="00F956D7"/>
    <w:rsid w:val="00F960C2"/>
    <w:rsid w:val="00F96C71"/>
    <w:rsid w:val="00F97C7A"/>
    <w:rsid w:val="00F97E09"/>
    <w:rsid w:val="00FA0EAB"/>
    <w:rsid w:val="00FA1499"/>
    <w:rsid w:val="00FA480B"/>
    <w:rsid w:val="00FA5321"/>
    <w:rsid w:val="00FA5477"/>
    <w:rsid w:val="00FA6194"/>
    <w:rsid w:val="00FB1A5B"/>
    <w:rsid w:val="00FB1B24"/>
    <w:rsid w:val="00FB2140"/>
    <w:rsid w:val="00FB41D2"/>
    <w:rsid w:val="00FB571F"/>
    <w:rsid w:val="00FB5C82"/>
    <w:rsid w:val="00FB6138"/>
    <w:rsid w:val="00FB68BD"/>
    <w:rsid w:val="00FB6ED7"/>
    <w:rsid w:val="00FB79F9"/>
    <w:rsid w:val="00FC0E51"/>
    <w:rsid w:val="00FC1036"/>
    <w:rsid w:val="00FC240C"/>
    <w:rsid w:val="00FC28CA"/>
    <w:rsid w:val="00FC4F42"/>
    <w:rsid w:val="00FC5EAA"/>
    <w:rsid w:val="00FC7716"/>
    <w:rsid w:val="00FD090D"/>
    <w:rsid w:val="00FD2AA6"/>
    <w:rsid w:val="00FD424E"/>
    <w:rsid w:val="00FD679A"/>
    <w:rsid w:val="00FD6907"/>
    <w:rsid w:val="00FD6B8D"/>
    <w:rsid w:val="00FD7238"/>
    <w:rsid w:val="00FE037C"/>
    <w:rsid w:val="00FE14B4"/>
    <w:rsid w:val="00FE693C"/>
    <w:rsid w:val="00FE7A44"/>
    <w:rsid w:val="00FF0C8A"/>
    <w:rsid w:val="00FF2EAE"/>
    <w:rsid w:val="00FF450A"/>
    <w:rsid w:val="00FF6D7B"/>
    <w:rsid w:val="1CF46039"/>
    <w:rsid w:val="2752BD9C"/>
    <w:rsid w:val="2C38DC58"/>
    <w:rsid w:val="4681DC31"/>
    <w:rsid w:val="4C89F8F1"/>
    <w:rsid w:val="4D11A986"/>
    <w:rsid w:val="59E98EC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2E7C47"/>
  <w15:chartTrackingRefBased/>
  <w15:docId w15:val="{29770A57-6AE6-4152-9BD4-565C0E3D0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617"/>
    <w:pPr>
      <w:suppressAutoHyphens/>
      <w:autoSpaceDE w:val="0"/>
      <w:autoSpaceDN w:val="0"/>
      <w:adjustRightInd w:val="0"/>
      <w:spacing w:after="160" w:line="264" w:lineRule="auto"/>
      <w:jc w:val="both"/>
      <w:textAlignment w:val="center"/>
    </w:pPr>
    <w:rPr>
      <w:rFonts w:ascii="Arial" w:hAnsi="Arial" w:cs="Arial"/>
      <w:color w:val="000000"/>
      <w:sz w:val="20"/>
      <w:szCs w:val="20"/>
      <w:lang w:val="en-US"/>
    </w:rPr>
  </w:style>
  <w:style w:type="paragraph" w:styleId="Heading1">
    <w:name w:val="heading 1"/>
    <w:basedOn w:val="Normal"/>
    <w:next w:val="Normal"/>
    <w:link w:val="Heading1Char"/>
    <w:autoRedefine/>
    <w:uiPriority w:val="9"/>
    <w:qFormat/>
    <w:rsid w:val="00281AFF"/>
    <w:pPr>
      <w:jc w:val="left"/>
      <w:outlineLvl w:val="0"/>
    </w:pPr>
    <w:rPr>
      <w:sz w:val="40"/>
      <w:szCs w:val="40"/>
    </w:rPr>
  </w:style>
  <w:style w:type="paragraph" w:styleId="Heading2">
    <w:name w:val="heading 2"/>
    <w:basedOn w:val="Heading1"/>
    <w:next w:val="Normal"/>
    <w:link w:val="Heading2Char"/>
    <w:autoRedefine/>
    <w:uiPriority w:val="9"/>
    <w:unhideWhenUsed/>
    <w:qFormat/>
    <w:rsid w:val="009D2F4C"/>
    <w:pPr>
      <w:outlineLvl w:val="1"/>
    </w:pPr>
  </w:style>
  <w:style w:type="paragraph" w:styleId="Heading3">
    <w:name w:val="heading 3"/>
    <w:basedOn w:val="Normal"/>
    <w:next w:val="Normal"/>
    <w:link w:val="Heading3Char"/>
    <w:autoRedefine/>
    <w:uiPriority w:val="9"/>
    <w:unhideWhenUsed/>
    <w:qFormat/>
    <w:rsid w:val="006638B0"/>
    <w:pPr>
      <w:keepNext/>
      <w:jc w:val="left"/>
      <w:outlineLvl w:val="2"/>
    </w:pPr>
    <w:rPr>
      <w:b/>
      <w:bCs/>
      <w:color w:val="auto"/>
    </w:rPr>
  </w:style>
  <w:style w:type="paragraph" w:styleId="Heading4">
    <w:name w:val="heading 4"/>
    <w:basedOn w:val="Normal"/>
    <w:next w:val="Normal"/>
    <w:link w:val="Heading4Char"/>
    <w:autoRedefine/>
    <w:uiPriority w:val="9"/>
    <w:unhideWhenUsed/>
    <w:qFormat/>
    <w:rsid w:val="006638B0"/>
    <w:pPr>
      <w:jc w:val="left"/>
      <w:outlineLvl w:val="3"/>
    </w:pPr>
    <w:rPr>
      <w:color w:val="auto"/>
    </w:rPr>
  </w:style>
  <w:style w:type="paragraph" w:styleId="Heading5">
    <w:name w:val="heading 5"/>
    <w:basedOn w:val="Heading4"/>
    <w:next w:val="Normal"/>
    <w:link w:val="Heading5Char"/>
    <w:uiPriority w:val="9"/>
    <w:unhideWhenUsed/>
    <w:qFormat/>
    <w:rsid w:val="00744891"/>
    <w:pPr>
      <w:numPr>
        <w:numId w:val="47"/>
      </w:numPr>
      <w:ind w:left="426"/>
      <w:outlineLvl w:val="4"/>
    </w:pPr>
  </w:style>
  <w:style w:type="paragraph" w:styleId="Heading6">
    <w:name w:val="heading 6"/>
    <w:basedOn w:val="Heading5"/>
    <w:next w:val="Normal"/>
    <w:link w:val="Heading6Char"/>
    <w:uiPriority w:val="9"/>
    <w:unhideWhenUsed/>
    <w:qFormat/>
    <w:rsid w:val="00744891"/>
    <w:pPr>
      <w:numPr>
        <w:ilvl w:val="1"/>
      </w:numPr>
      <w:ind w:left="851"/>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845FAB"/>
    <w:pPr>
      <w:spacing w:before="4800" w:after="227" w:line="240" w:lineRule="auto"/>
      <w:ind w:left="5103"/>
      <w:jc w:val="right"/>
    </w:pPr>
    <w:rPr>
      <w:caps/>
      <w:color w:val="auto"/>
      <w:spacing w:val="-5"/>
      <w:sz w:val="36"/>
      <w:szCs w:val="36"/>
      <w:lang w:val="en-GB"/>
    </w:rPr>
  </w:style>
  <w:style w:type="character" w:customStyle="1" w:styleId="TitleChar">
    <w:name w:val="Title Char"/>
    <w:basedOn w:val="DefaultParagraphFont"/>
    <w:link w:val="Title"/>
    <w:uiPriority w:val="10"/>
    <w:rsid w:val="00845FAB"/>
    <w:rPr>
      <w:rFonts w:ascii="Arial" w:hAnsi="Arial" w:cs="Arial"/>
      <w:caps/>
      <w:spacing w:val="-5"/>
      <w:sz w:val="36"/>
      <w:szCs w:val="36"/>
      <w:lang w:val="en-GB"/>
    </w:rPr>
  </w:style>
  <w:style w:type="paragraph" w:styleId="Subtitle">
    <w:name w:val="Subtitle"/>
    <w:basedOn w:val="Normal"/>
    <w:next w:val="Normal"/>
    <w:link w:val="SubtitleChar"/>
    <w:uiPriority w:val="11"/>
    <w:qFormat/>
    <w:rsid w:val="00845FAB"/>
    <w:pPr>
      <w:spacing w:before="480" w:after="800" w:line="240" w:lineRule="auto"/>
      <w:ind w:left="5103"/>
      <w:jc w:val="right"/>
    </w:pPr>
    <w:rPr>
      <w:caps/>
      <w:noProof/>
      <w:color w:val="auto"/>
      <w:spacing w:val="-4"/>
      <w:sz w:val="28"/>
      <w:lang w:val="en-GB"/>
    </w:rPr>
  </w:style>
  <w:style w:type="character" w:customStyle="1" w:styleId="SubtitleChar">
    <w:name w:val="Subtitle Char"/>
    <w:basedOn w:val="DefaultParagraphFont"/>
    <w:link w:val="Subtitle"/>
    <w:uiPriority w:val="11"/>
    <w:rsid w:val="00845FAB"/>
    <w:rPr>
      <w:rFonts w:ascii="Arial" w:hAnsi="Arial" w:cs="Arial"/>
      <w:caps/>
      <w:noProof/>
      <w:spacing w:val="-4"/>
      <w:sz w:val="28"/>
      <w:szCs w:val="18"/>
      <w:lang w:val="en-GB"/>
    </w:rPr>
  </w:style>
  <w:style w:type="character" w:customStyle="1" w:styleId="Heading1Char">
    <w:name w:val="Heading 1 Char"/>
    <w:basedOn w:val="DefaultParagraphFont"/>
    <w:link w:val="Heading1"/>
    <w:uiPriority w:val="9"/>
    <w:rsid w:val="00281AFF"/>
    <w:rPr>
      <w:rFonts w:ascii="Arial" w:hAnsi="Arial" w:cs="Arial"/>
      <w:color w:val="000000"/>
      <w:sz w:val="40"/>
      <w:szCs w:val="40"/>
      <w:lang w:val="en-US"/>
    </w:rPr>
  </w:style>
  <w:style w:type="paragraph" w:customStyle="1" w:styleId="bullet1">
    <w:name w:val="bullet 1"/>
    <w:basedOn w:val="Normal"/>
    <w:uiPriority w:val="99"/>
    <w:rsid w:val="00480EB2"/>
    <w:pPr>
      <w:numPr>
        <w:numId w:val="1"/>
      </w:numPr>
      <w:spacing w:line="240" w:lineRule="atLeast"/>
      <w:contextualSpacing/>
    </w:pPr>
  </w:style>
  <w:style w:type="paragraph" w:customStyle="1" w:styleId="bullet20">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9D2F4C"/>
    <w:rPr>
      <w:rFonts w:ascii="Arial" w:hAnsi="Arial" w:cs="Arial"/>
      <w:color w:val="000000"/>
      <w:sz w:val="40"/>
      <w:szCs w:val="40"/>
      <w:lang w:val="en-US"/>
    </w:rPr>
  </w:style>
  <w:style w:type="character" w:customStyle="1" w:styleId="Heading3Char">
    <w:name w:val="Heading 3 Char"/>
    <w:basedOn w:val="DefaultParagraphFont"/>
    <w:link w:val="Heading3"/>
    <w:uiPriority w:val="9"/>
    <w:rsid w:val="006638B0"/>
    <w:rPr>
      <w:rFonts w:ascii="Arial" w:hAnsi="Arial" w:cs="Arial"/>
      <w:b/>
      <w:bCs/>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DA23A2"/>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5E2FE6"/>
    <w:pPr>
      <w:spacing w:line="288" w:lineRule="auto"/>
    </w:pPr>
    <w:rPr>
      <w:b/>
      <w:bCs/>
      <w:color w:val="00747C" w:themeColor="accent2" w:themeShade="BF"/>
      <w:lang w:val="en-GB"/>
    </w:rPr>
  </w:style>
  <w:style w:type="paragraph" w:customStyle="1" w:styleId="Normalwithborder">
    <w:name w:val="Normal with border"/>
    <w:basedOn w:val="Normal"/>
    <w:qFormat/>
    <w:rsid w:val="00027136"/>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DJSIR">
    <w:name w:val="DJSIR"/>
    <w:basedOn w:val="TableNormal"/>
    <w:uiPriority w:val="99"/>
    <w:rsid w:val="00D853FE"/>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3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D635D3"/>
    <w:pPr>
      <w:keepNext/>
    </w:pPr>
    <w:rPr>
      <w:b/>
      <w:color w:val="FFFFFF" w:themeColor="background1"/>
    </w:rPr>
  </w:style>
  <w:style w:type="paragraph" w:styleId="TOC1">
    <w:name w:val="toc 1"/>
    <w:basedOn w:val="Normal"/>
    <w:next w:val="Normal"/>
    <w:autoRedefine/>
    <w:uiPriority w:val="39"/>
    <w:unhideWhenUsed/>
    <w:rsid w:val="00772138"/>
    <w:pPr>
      <w:tabs>
        <w:tab w:val="right" w:leader="dot" w:pos="9174"/>
      </w:tabs>
      <w:spacing w:before="240" w:after="100"/>
    </w:pPr>
    <w:rPr>
      <w:b/>
      <w:bCs/>
      <w:noProof/>
    </w:rPr>
  </w:style>
  <w:style w:type="paragraph" w:styleId="TOC2">
    <w:name w:val="toc 2"/>
    <w:basedOn w:val="Normal"/>
    <w:next w:val="Normal"/>
    <w:autoRedefine/>
    <w:uiPriority w:val="39"/>
    <w:unhideWhenUsed/>
    <w:rsid w:val="00181EF8"/>
    <w:pPr>
      <w:tabs>
        <w:tab w:val="right" w:leader="dot" w:pos="9174"/>
      </w:tabs>
      <w:spacing w:after="100"/>
      <w:ind w:left="180"/>
      <w:jc w:val="left"/>
    </w:pPr>
  </w:style>
  <w:style w:type="character" w:styleId="Hyperlink">
    <w:name w:val="Hyperlink"/>
    <w:basedOn w:val="DefaultParagraphFont"/>
    <w:uiPriority w:val="99"/>
    <w:unhideWhenUsed/>
    <w:rsid w:val="0047378C"/>
    <w:rPr>
      <w:color w:val="006864" w:themeColor="hyperlink"/>
      <w:u w:val="single"/>
    </w:rPr>
  </w:style>
  <w:style w:type="table" w:styleId="TableGridLight">
    <w:name w:val="Grid Table Light"/>
    <w:basedOn w:val="TableNormal"/>
    <w:uiPriority w:val="40"/>
    <w:rsid w:val="00CF03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10">
    <w:name w:val="Bullet 1"/>
    <w:basedOn w:val="bullet1"/>
    <w:next w:val="Normal"/>
    <w:qFormat/>
    <w:rsid w:val="00027136"/>
    <w:pPr>
      <w:spacing w:line="264" w:lineRule="auto"/>
    </w:pPr>
  </w:style>
  <w:style w:type="paragraph" w:customStyle="1" w:styleId="Bullet2">
    <w:name w:val="Bullet 2"/>
    <w:basedOn w:val="Bullet10"/>
    <w:qFormat/>
    <w:rsid w:val="00002C05"/>
    <w:pPr>
      <w:numPr>
        <w:numId w:val="8"/>
      </w:numPr>
    </w:pPr>
  </w:style>
  <w:style w:type="paragraph" w:styleId="ListParagraph">
    <w:name w:val="List Paragraph"/>
    <w:aliases w:val="List Paragraph1,List Paragraph11,Dot Points,Bullet point,L,Recommendation,DDM Gen Text,List Paragraph - bullets,NFP GP Bulleted List,bullet point list,Bullet points,Content descriptions,List Paragraph Number,FooterText,numbered"/>
    <w:basedOn w:val="Normal"/>
    <w:link w:val="ListParagraphChar"/>
    <w:uiPriority w:val="34"/>
    <w:qFormat/>
    <w:rsid w:val="004E22D9"/>
    <w:pPr>
      <w:ind w:left="720"/>
      <w:contextualSpacing/>
    </w:pPr>
  </w:style>
  <w:style w:type="paragraph" w:customStyle="1" w:styleId="Intro">
    <w:name w:val="Intro"/>
    <w:basedOn w:val="Heading1"/>
    <w:qFormat/>
    <w:rsid w:val="00164244"/>
  </w:style>
  <w:style w:type="paragraph" w:styleId="FootnoteText">
    <w:name w:val="footnote text"/>
    <w:basedOn w:val="Normal"/>
    <w:link w:val="FootnoteTextChar"/>
    <w:uiPriority w:val="99"/>
    <w:unhideWhenUsed/>
    <w:rsid w:val="00AD00AB"/>
    <w:pPr>
      <w:suppressAutoHyphens w:val="0"/>
      <w:autoSpaceDE/>
      <w:autoSpaceDN/>
      <w:adjustRightInd/>
      <w:spacing w:after="40" w:line="240" w:lineRule="auto"/>
      <w:textAlignment w:val="auto"/>
    </w:pPr>
    <w:rPr>
      <w:rFonts w:eastAsiaTheme="minorEastAsia"/>
      <w:color w:val="auto"/>
      <w:sz w:val="11"/>
      <w:szCs w:val="11"/>
    </w:rPr>
  </w:style>
  <w:style w:type="character" w:customStyle="1" w:styleId="FootnoteTextChar">
    <w:name w:val="Footnote Text Char"/>
    <w:basedOn w:val="DefaultParagraphFont"/>
    <w:link w:val="FootnoteText"/>
    <w:uiPriority w:val="99"/>
    <w:rsid w:val="00AD00AB"/>
    <w:rPr>
      <w:rFonts w:ascii="Arial" w:eastAsiaTheme="minorEastAsia" w:hAnsi="Arial" w:cs="Arial"/>
      <w:sz w:val="11"/>
      <w:szCs w:val="11"/>
      <w:lang w:val="en-US"/>
    </w:rPr>
  </w:style>
  <w:style w:type="paragraph" w:styleId="TOCHeading">
    <w:name w:val="TOC Heading"/>
    <w:basedOn w:val="Heading1"/>
    <w:next w:val="Normal"/>
    <w:uiPriority w:val="39"/>
    <w:unhideWhenUsed/>
    <w:qFormat/>
    <w:rsid w:val="0020383D"/>
    <w:pPr>
      <w:keepLines/>
      <w:suppressAutoHyphens w:val="0"/>
      <w:autoSpaceDE/>
      <w:autoSpaceDN/>
      <w:adjustRightInd/>
      <w:spacing w:after="0" w:line="259" w:lineRule="auto"/>
      <w:textAlignment w:val="auto"/>
      <w:outlineLvl w:val="9"/>
    </w:pPr>
    <w:rPr>
      <w:rFonts w:asciiTheme="majorHAnsi" w:eastAsiaTheme="majorEastAsia" w:hAnsiTheme="majorHAnsi" w:cstheme="majorBidi"/>
      <w:color w:val="003871" w:themeColor="accent1" w:themeShade="BF"/>
      <w:sz w:val="32"/>
      <w:szCs w:val="32"/>
    </w:rPr>
  </w:style>
  <w:style w:type="paragraph" w:styleId="TOC3">
    <w:name w:val="toc 3"/>
    <w:basedOn w:val="Normal"/>
    <w:next w:val="Normal"/>
    <w:autoRedefine/>
    <w:uiPriority w:val="39"/>
    <w:unhideWhenUsed/>
    <w:rsid w:val="0020383D"/>
    <w:pPr>
      <w:spacing w:after="100"/>
      <w:ind w:left="400"/>
    </w:pPr>
  </w:style>
  <w:style w:type="paragraph" w:customStyle="1" w:styleId="Tablebody">
    <w:name w:val="Table body"/>
    <w:basedOn w:val="Normal"/>
    <w:qFormat/>
    <w:rsid w:val="00B12F73"/>
    <w:pPr>
      <w:suppressAutoHyphens w:val="0"/>
      <w:autoSpaceDE/>
      <w:autoSpaceDN/>
      <w:adjustRightInd/>
      <w:spacing w:before="60" w:after="60" w:line="240" w:lineRule="auto"/>
      <w:jc w:val="left"/>
      <w:textAlignment w:val="auto"/>
    </w:pPr>
    <w:rPr>
      <w:rFonts w:asciiTheme="minorHAnsi" w:hAnsiTheme="minorHAnsi" w:cstheme="minorBidi"/>
      <w:color w:val="auto"/>
      <w:sz w:val="22"/>
      <w:szCs w:val="24"/>
      <w:lang w:val="en-AU"/>
    </w:rPr>
  </w:style>
  <w:style w:type="character" w:customStyle="1" w:styleId="Heading4Char">
    <w:name w:val="Heading 4 Char"/>
    <w:basedOn w:val="DefaultParagraphFont"/>
    <w:link w:val="Heading4"/>
    <w:uiPriority w:val="9"/>
    <w:rsid w:val="006638B0"/>
    <w:rPr>
      <w:rFonts w:ascii="Arial" w:hAnsi="Arial" w:cs="Arial"/>
      <w:sz w:val="20"/>
      <w:szCs w:val="20"/>
      <w:lang w:val="en-US"/>
    </w:rPr>
  </w:style>
  <w:style w:type="character" w:customStyle="1" w:styleId="ListParagraphChar">
    <w:name w:val="List Paragraph Char"/>
    <w:aliases w:val="List Paragraph1 Char,List Paragraph11 Char,Dot Points Char,Bullet point Char,L Char,Recommendation Char,DDM Gen Text Char,List Paragraph - bullets Char,NFP GP Bulleted List Char,bullet point list Char,Bullet points Char,numbered Char"/>
    <w:basedOn w:val="DefaultParagraphFont"/>
    <w:link w:val="ListParagraph"/>
    <w:uiPriority w:val="34"/>
    <w:qFormat/>
    <w:locked/>
    <w:rsid w:val="00BE5644"/>
    <w:rPr>
      <w:rFonts w:ascii="Arial" w:hAnsi="Arial" w:cs="Arial"/>
      <w:color w:val="000000"/>
      <w:sz w:val="20"/>
      <w:szCs w:val="20"/>
      <w:lang w:val="en-US"/>
    </w:rPr>
  </w:style>
  <w:style w:type="paragraph" w:customStyle="1" w:styleId="LetterText">
    <w:name w:val="Letter Text"/>
    <w:rsid w:val="00991730"/>
    <w:rPr>
      <w:rFonts w:ascii="Calibri" w:eastAsiaTheme="minorEastAsia" w:hAnsi="Calibri"/>
      <w:sz w:val="22"/>
      <w:szCs w:val="22"/>
    </w:rPr>
  </w:style>
  <w:style w:type="character" w:styleId="UnresolvedMention">
    <w:name w:val="Unresolved Mention"/>
    <w:basedOn w:val="DefaultParagraphFont"/>
    <w:uiPriority w:val="99"/>
    <w:semiHidden/>
    <w:unhideWhenUsed/>
    <w:rsid w:val="0033519D"/>
    <w:rPr>
      <w:color w:val="605E5C"/>
      <w:shd w:val="clear" w:color="auto" w:fill="E1DFDD"/>
    </w:rPr>
  </w:style>
  <w:style w:type="paragraph" w:styleId="Revision">
    <w:name w:val="Revision"/>
    <w:hidden/>
    <w:uiPriority w:val="99"/>
    <w:semiHidden/>
    <w:rsid w:val="0033519D"/>
    <w:rPr>
      <w:rFonts w:ascii="Arial" w:hAnsi="Arial" w:cs="Arial"/>
      <w:color w:val="000000"/>
      <w:sz w:val="20"/>
      <w:szCs w:val="20"/>
      <w:lang w:val="en-US"/>
    </w:rPr>
  </w:style>
  <w:style w:type="character" w:styleId="CommentReference">
    <w:name w:val="annotation reference"/>
    <w:basedOn w:val="DefaultParagraphFont"/>
    <w:uiPriority w:val="99"/>
    <w:semiHidden/>
    <w:unhideWhenUsed/>
    <w:rsid w:val="00A51866"/>
    <w:rPr>
      <w:sz w:val="16"/>
      <w:szCs w:val="16"/>
    </w:rPr>
  </w:style>
  <w:style w:type="paragraph" w:styleId="CommentText">
    <w:name w:val="annotation text"/>
    <w:basedOn w:val="Normal"/>
    <w:link w:val="CommentTextChar"/>
    <w:uiPriority w:val="99"/>
    <w:unhideWhenUsed/>
    <w:rsid w:val="00A51866"/>
    <w:pPr>
      <w:spacing w:line="240" w:lineRule="auto"/>
    </w:pPr>
  </w:style>
  <w:style w:type="character" w:customStyle="1" w:styleId="CommentTextChar">
    <w:name w:val="Comment Text Char"/>
    <w:basedOn w:val="DefaultParagraphFont"/>
    <w:link w:val="CommentText"/>
    <w:uiPriority w:val="99"/>
    <w:rsid w:val="00A51866"/>
    <w:rPr>
      <w:rFonts w:ascii="Arial" w:hAnsi="Arial" w:cs="Arial"/>
      <w:color w:val="000000"/>
      <w:sz w:val="20"/>
      <w:szCs w:val="20"/>
      <w:lang w:val="en-US"/>
    </w:rPr>
  </w:style>
  <w:style w:type="paragraph" w:styleId="CommentSubject">
    <w:name w:val="annotation subject"/>
    <w:basedOn w:val="CommentText"/>
    <w:next w:val="CommentText"/>
    <w:link w:val="CommentSubjectChar"/>
    <w:uiPriority w:val="99"/>
    <w:semiHidden/>
    <w:unhideWhenUsed/>
    <w:rsid w:val="00A51866"/>
    <w:rPr>
      <w:b/>
      <w:bCs/>
    </w:rPr>
  </w:style>
  <w:style w:type="character" w:customStyle="1" w:styleId="CommentSubjectChar">
    <w:name w:val="Comment Subject Char"/>
    <w:basedOn w:val="CommentTextChar"/>
    <w:link w:val="CommentSubject"/>
    <w:uiPriority w:val="99"/>
    <w:semiHidden/>
    <w:rsid w:val="00A51866"/>
    <w:rPr>
      <w:rFonts w:ascii="Arial" w:hAnsi="Arial" w:cs="Arial"/>
      <w:b/>
      <w:bCs/>
      <w:color w:val="000000"/>
      <w:sz w:val="20"/>
      <w:szCs w:val="20"/>
      <w:lang w:val="en-US"/>
    </w:rPr>
  </w:style>
  <w:style w:type="character" w:styleId="Emphasis">
    <w:name w:val="Emphasis"/>
    <w:basedOn w:val="DefaultParagraphFont"/>
    <w:uiPriority w:val="20"/>
    <w:qFormat/>
    <w:rsid w:val="001166C1"/>
    <w:rPr>
      <w:i/>
      <w:iCs/>
    </w:rPr>
  </w:style>
  <w:style w:type="character" w:styleId="IntenseEmphasis">
    <w:name w:val="Intense Emphasis"/>
    <w:basedOn w:val="DefaultParagraphFont"/>
    <w:uiPriority w:val="21"/>
    <w:qFormat/>
    <w:rsid w:val="005431BB"/>
    <w:rPr>
      <w:i/>
      <w:iCs/>
      <w:color w:val="004C97" w:themeColor="accent1"/>
    </w:rPr>
  </w:style>
  <w:style w:type="paragraph" w:styleId="NoSpacing">
    <w:name w:val="No Spacing"/>
    <w:uiPriority w:val="1"/>
    <w:qFormat/>
    <w:rsid w:val="005431BB"/>
    <w:pPr>
      <w:suppressAutoHyphens/>
      <w:autoSpaceDE w:val="0"/>
      <w:autoSpaceDN w:val="0"/>
      <w:adjustRightInd w:val="0"/>
      <w:jc w:val="both"/>
      <w:textAlignment w:val="center"/>
    </w:pPr>
    <w:rPr>
      <w:rFonts w:ascii="Arial" w:hAnsi="Arial" w:cs="Arial"/>
      <w:color w:val="000000"/>
      <w:sz w:val="20"/>
      <w:szCs w:val="20"/>
      <w:lang w:val="en-US"/>
    </w:rPr>
  </w:style>
  <w:style w:type="paragraph" w:customStyle="1" w:styleId="paragraph">
    <w:name w:val="paragraph"/>
    <w:basedOn w:val="Normal"/>
    <w:rsid w:val="00F97E09"/>
    <w:pPr>
      <w:suppressAutoHyphens w:val="0"/>
      <w:autoSpaceDE/>
      <w:autoSpaceDN/>
      <w:adjustRightInd/>
      <w:spacing w:before="100" w:beforeAutospacing="1" w:after="100" w:afterAutospacing="1" w:line="240" w:lineRule="auto"/>
      <w:jc w:val="left"/>
      <w:textAlignment w:val="auto"/>
    </w:pPr>
    <w:rPr>
      <w:rFonts w:ascii="Times New Roman" w:eastAsia="Times New Roman" w:hAnsi="Times New Roman" w:cs="Times New Roman"/>
      <w:color w:val="auto"/>
      <w:sz w:val="24"/>
      <w:szCs w:val="24"/>
      <w:lang w:val="en-AU" w:eastAsia="en-AU"/>
    </w:rPr>
  </w:style>
  <w:style w:type="character" w:customStyle="1" w:styleId="normaltextrun">
    <w:name w:val="normaltextrun"/>
    <w:basedOn w:val="DefaultParagraphFont"/>
    <w:rsid w:val="00F97E09"/>
  </w:style>
  <w:style w:type="character" w:customStyle="1" w:styleId="eop">
    <w:name w:val="eop"/>
    <w:basedOn w:val="DefaultParagraphFont"/>
    <w:rsid w:val="00F97E09"/>
  </w:style>
  <w:style w:type="character" w:customStyle="1" w:styleId="spellingerror">
    <w:name w:val="spellingerror"/>
    <w:basedOn w:val="DefaultParagraphFont"/>
    <w:rsid w:val="00F97E09"/>
  </w:style>
  <w:style w:type="character" w:styleId="Mention">
    <w:name w:val="Mention"/>
    <w:basedOn w:val="DefaultParagraphFont"/>
    <w:uiPriority w:val="99"/>
    <w:unhideWhenUsed/>
    <w:rsid w:val="00472317"/>
    <w:rPr>
      <w:color w:val="2B579A"/>
      <w:shd w:val="clear" w:color="auto" w:fill="E1DFDD"/>
    </w:rPr>
  </w:style>
  <w:style w:type="character" w:customStyle="1" w:styleId="Heading5Char">
    <w:name w:val="Heading 5 Char"/>
    <w:basedOn w:val="DefaultParagraphFont"/>
    <w:link w:val="Heading5"/>
    <w:uiPriority w:val="9"/>
    <w:rsid w:val="00744891"/>
    <w:rPr>
      <w:rFonts w:ascii="Arial" w:hAnsi="Arial" w:cs="Arial"/>
      <w:sz w:val="20"/>
      <w:szCs w:val="20"/>
      <w:lang w:val="en-US"/>
    </w:rPr>
  </w:style>
  <w:style w:type="character" w:customStyle="1" w:styleId="Heading6Char">
    <w:name w:val="Heading 6 Char"/>
    <w:basedOn w:val="DefaultParagraphFont"/>
    <w:link w:val="Heading6"/>
    <w:uiPriority w:val="9"/>
    <w:rsid w:val="00744891"/>
    <w:rPr>
      <w:rFonts w:ascii="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477108">
      <w:bodyDiv w:val="1"/>
      <w:marLeft w:val="0"/>
      <w:marRight w:val="0"/>
      <w:marTop w:val="0"/>
      <w:marBottom w:val="0"/>
      <w:divBdr>
        <w:top w:val="none" w:sz="0" w:space="0" w:color="auto"/>
        <w:left w:val="none" w:sz="0" w:space="0" w:color="auto"/>
        <w:bottom w:val="none" w:sz="0" w:space="0" w:color="auto"/>
        <w:right w:val="none" w:sz="0" w:space="0" w:color="auto"/>
      </w:divBdr>
    </w:div>
    <w:div w:id="632833170">
      <w:bodyDiv w:val="1"/>
      <w:marLeft w:val="0"/>
      <w:marRight w:val="0"/>
      <w:marTop w:val="0"/>
      <w:marBottom w:val="0"/>
      <w:divBdr>
        <w:top w:val="none" w:sz="0" w:space="0" w:color="auto"/>
        <w:left w:val="none" w:sz="0" w:space="0" w:color="auto"/>
        <w:bottom w:val="none" w:sz="0" w:space="0" w:color="auto"/>
        <w:right w:val="none" w:sz="0" w:space="0" w:color="auto"/>
      </w:divBdr>
    </w:div>
    <w:div w:id="749889679">
      <w:bodyDiv w:val="1"/>
      <w:marLeft w:val="0"/>
      <w:marRight w:val="0"/>
      <w:marTop w:val="0"/>
      <w:marBottom w:val="0"/>
      <w:divBdr>
        <w:top w:val="none" w:sz="0" w:space="0" w:color="auto"/>
        <w:left w:val="none" w:sz="0" w:space="0" w:color="auto"/>
        <w:bottom w:val="none" w:sz="0" w:space="0" w:color="auto"/>
        <w:right w:val="none" w:sz="0" w:space="0" w:color="auto"/>
      </w:divBdr>
    </w:div>
    <w:div w:id="937831067">
      <w:bodyDiv w:val="1"/>
      <w:marLeft w:val="0"/>
      <w:marRight w:val="0"/>
      <w:marTop w:val="0"/>
      <w:marBottom w:val="0"/>
      <w:divBdr>
        <w:top w:val="none" w:sz="0" w:space="0" w:color="auto"/>
        <w:left w:val="none" w:sz="0" w:space="0" w:color="auto"/>
        <w:bottom w:val="none" w:sz="0" w:space="0" w:color="auto"/>
        <w:right w:val="none" w:sz="0" w:space="0" w:color="auto"/>
      </w:divBdr>
      <w:divsChild>
        <w:div w:id="433788237">
          <w:marLeft w:val="274"/>
          <w:marRight w:val="0"/>
          <w:marTop w:val="0"/>
          <w:marBottom w:val="0"/>
          <w:divBdr>
            <w:top w:val="none" w:sz="0" w:space="0" w:color="auto"/>
            <w:left w:val="none" w:sz="0" w:space="0" w:color="auto"/>
            <w:bottom w:val="none" w:sz="0" w:space="0" w:color="auto"/>
            <w:right w:val="none" w:sz="0" w:space="0" w:color="auto"/>
          </w:divBdr>
        </w:div>
        <w:div w:id="467288003">
          <w:marLeft w:val="274"/>
          <w:marRight w:val="0"/>
          <w:marTop w:val="0"/>
          <w:marBottom w:val="0"/>
          <w:divBdr>
            <w:top w:val="none" w:sz="0" w:space="0" w:color="auto"/>
            <w:left w:val="none" w:sz="0" w:space="0" w:color="auto"/>
            <w:bottom w:val="none" w:sz="0" w:space="0" w:color="auto"/>
            <w:right w:val="none" w:sz="0" w:space="0" w:color="auto"/>
          </w:divBdr>
        </w:div>
      </w:divsChild>
    </w:div>
    <w:div w:id="955720151">
      <w:bodyDiv w:val="1"/>
      <w:marLeft w:val="0"/>
      <w:marRight w:val="0"/>
      <w:marTop w:val="0"/>
      <w:marBottom w:val="0"/>
      <w:divBdr>
        <w:top w:val="none" w:sz="0" w:space="0" w:color="auto"/>
        <w:left w:val="none" w:sz="0" w:space="0" w:color="auto"/>
        <w:bottom w:val="none" w:sz="0" w:space="0" w:color="auto"/>
        <w:right w:val="none" w:sz="0" w:space="0" w:color="auto"/>
      </w:divBdr>
    </w:div>
    <w:div w:id="1160999188">
      <w:bodyDiv w:val="1"/>
      <w:marLeft w:val="0"/>
      <w:marRight w:val="0"/>
      <w:marTop w:val="0"/>
      <w:marBottom w:val="0"/>
      <w:divBdr>
        <w:top w:val="none" w:sz="0" w:space="0" w:color="auto"/>
        <w:left w:val="none" w:sz="0" w:space="0" w:color="auto"/>
        <w:bottom w:val="none" w:sz="0" w:space="0" w:color="auto"/>
        <w:right w:val="none" w:sz="0" w:space="0" w:color="auto"/>
      </w:divBdr>
    </w:div>
    <w:div w:id="1396930725">
      <w:bodyDiv w:val="1"/>
      <w:marLeft w:val="0"/>
      <w:marRight w:val="0"/>
      <w:marTop w:val="0"/>
      <w:marBottom w:val="0"/>
      <w:divBdr>
        <w:top w:val="none" w:sz="0" w:space="0" w:color="auto"/>
        <w:left w:val="none" w:sz="0" w:space="0" w:color="auto"/>
        <w:bottom w:val="none" w:sz="0" w:space="0" w:color="auto"/>
        <w:right w:val="none" w:sz="0" w:space="0" w:color="auto"/>
      </w:divBdr>
    </w:div>
    <w:div w:id="1802261641">
      <w:bodyDiv w:val="1"/>
      <w:marLeft w:val="0"/>
      <w:marRight w:val="0"/>
      <w:marTop w:val="0"/>
      <w:marBottom w:val="0"/>
      <w:divBdr>
        <w:top w:val="none" w:sz="0" w:space="0" w:color="auto"/>
        <w:left w:val="none" w:sz="0" w:space="0" w:color="auto"/>
        <w:bottom w:val="none" w:sz="0" w:space="0" w:color="auto"/>
        <w:right w:val="none" w:sz="0" w:space="0" w:color="auto"/>
      </w:divBdr>
      <w:divsChild>
        <w:div w:id="465314567">
          <w:marLeft w:val="0"/>
          <w:marRight w:val="0"/>
          <w:marTop w:val="0"/>
          <w:marBottom w:val="0"/>
          <w:divBdr>
            <w:top w:val="none" w:sz="0" w:space="0" w:color="auto"/>
            <w:left w:val="none" w:sz="0" w:space="0" w:color="auto"/>
            <w:bottom w:val="none" w:sz="0" w:space="0" w:color="auto"/>
            <w:right w:val="none" w:sz="0" w:space="0" w:color="auto"/>
          </w:divBdr>
        </w:div>
        <w:div w:id="471797084">
          <w:marLeft w:val="0"/>
          <w:marRight w:val="0"/>
          <w:marTop w:val="0"/>
          <w:marBottom w:val="0"/>
          <w:divBdr>
            <w:top w:val="none" w:sz="0" w:space="0" w:color="auto"/>
            <w:left w:val="none" w:sz="0" w:space="0" w:color="auto"/>
            <w:bottom w:val="none" w:sz="0" w:space="0" w:color="auto"/>
            <w:right w:val="none" w:sz="0" w:space="0" w:color="auto"/>
          </w:divBdr>
        </w:div>
        <w:div w:id="1589994576">
          <w:marLeft w:val="0"/>
          <w:marRight w:val="0"/>
          <w:marTop w:val="0"/>
          <w:marBottom w:val="0"/>
          <w:divBdr>
            <w:top w:val="none" w:sz="0" w:space="0" w:color="auto"/>
            <w:left w:val="none" w:sz="0" w:space="0" w:color="auto"/>
            <w:bottom w:val="none" w:sz="0" w:space="0" w:color="auto"/>
            <w:right w:val="none" w:sz="0" w:space="0" w:color="auto"/>
          </w:divBdr>
        </w:div>
        <w:div w:id="1623540561">
          <w:marLeft w:val="0"/>
          <w:marRight w:val="0"/>
          <w:marTop w:val="0"/>
          <w:marBottom w:val="0"/>
          <w:divBdr>
            <w:top w:val="none" w:sz="0" w:space="0" w:color="auto"/>
            <w:left w:val="none" w:sz="0" w:space="0" w:color="auto"/>
            <w:bottom w:val="none" w:sz="0" w:space="0" w:color="auto"/>
            <w:right w:val="none" w:sz="0" w:space="0" w:color="auto"/>
          </w:divBdr>
        </w:div>
        <w:div w:id="1739861071">
          <w:marLeft w:val="0"/>
          <w:marRight w:val="0"/>
          <w:marTop w:val="0"/>
          <w:marBottom w:val="0"/>
          <w:divBdr>
            <w:top w:val="none" w:sz="0" w:space="0" w:color="auto"/>
            <w:left w:val="none" w:sz="0" w:space="0" w:color="auto"/>
            <w:bottom w:val="none" w:sz="0" w:space="0" w:color="auto"/>
            <w:right w:val="none" w:sz="0" w:space="0" w:color="auto"/>
          </w:divBdr>
        </w:div>
        <w:div w:id="1973317204">
          <w:marLeft w:val="0"/>
          <w:marRight w:val="0"/>
          <w:marTop w:val="0"/>
          <w:marBottom w:val="0"/>
          <w:divBdr>
            <w:top w:val="none" w:sz="0" w:space="0" w:color="auto"/>
            <w:left w:val="none" w:sz="0" w:space="0" w:color="auto"/>
            <w:bottom w:val="none" w:sz="0" w:space="0" w:color="auto"/>
            <w:right w:val="none" w:sz="0" w:space="0" w:color="auto"/>
          </w:divBdr>
        </w:div>
        <w:div w:id="2100442345">
          <w:marLeft w:val="0"/>
          <w:marRight w:val="0"/>
          <w:marTop w:val="0"/>
          <w:marBottom w:val="0"/>
          <w:divBdr>
            <w:top w:val="none" w:sz="0" w:space="0" w:color="auto"/>
            <w:left w:val="none" w:sz="0" w:space="0" w:color="auto"/>
            <w:bottom w:val="none" w:sz="0" w:space="0" w:color="auto"/>
            <w:right w:val="none" w:sz="0" w:space="0" w:color="auto"/>
          </w:divBdr>
        </w:div>
      </w:divsChild>
    </w:div>
    <w:div w:id="1842162293">
      <w:bodyDiv w:val="1"/>
      <w:marLeft w:val="0"/>
      <w:marRight w:val="0"/>
      <w:marTop w:val="0"/>
      <w:marBottom w:val="0"/>
      <w:divBdr>
        <w:top w:val="none" w:sz="0" w:space="0" w:color="auto"/>
        <w:left w:val="none" w:sz="0" w:space="0" w:color="auto"/>
        <w:bottom w:val="none" w:sz="0" w:space="0" w:color="auto"/>
        <w:right w:val="none" w:sz="0" w:space="0" w:color="auto"/>
      </w:divBdr>
      <w:divsChild>
        <w:div w:id="492722101">
          <w:marLeft w:val="1166"/>
          <w:marRight w:val="0"/>
          <w:marTop w:val="120"/>
          <w:marBottom w:val="120"/>
          <w:divBdr>
            <w:top w:val="none" w:sz="0" w:space="0" w:color="auto"/>
            <w:left w:val="none" w:sz="0" w:space="0" w:color="auto"/>
            <w:bottom w:val="none" w:sz="0" w:space="0" w:color="auto"/>
            <w:right w:val="none" w:sz="0" w:space="0" w:color="auto"/>
          </w:divBdr>
        </w:div>
      </w:divsChild>
    </w:div>
    <w:div w:id="211874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jpeg"/><Relationship Id="rId32" Type="http://schemas.openxmlformats.org/officeDocument/2006/relationships/image" Target="media/image18.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oter" Target="footer1.xml"/><Relationship Id="rId30" Type="http://schemas.openxmlformats.org/officeDocument/2006/relationships/image" Target="media/image16.png"/><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6DE430892CB454FBBD1802170E575B4"/>
        <w:category>
          <w:name w:val="General"/>
          <w:gallery w:val="placeholder"/>
        </w:category>
        <w:types>
          <w:type w:val="bbPlcHdr"/>
        </w:types>
        <w:behaviors>
          <w:behavior w:val="content"/>
        </w:behaviors>
        <w:guid w:val="{ADD32DB6-2EA1-4602-9F43-A617EB17AD6A}"/>
      </w:docPartPr>
      <w:docPartBody>
        <w:p w:rsidR="006F05AC" w:rsidRDefault="00C0434B" w:rsidP="00C0434B">
          <w:pPr>
            <w:pStyle w:val="36DE430892CB454FBBD1802170E575B4"/>
          </w:pPr>
          <w:r w:rsidRPr="00D6748F">
            <w:rPr>
              <w:rStyle w:val="PlaceholderText"/>
              <w:color w:val="au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34B"/>
    <w:rsid w:val="00016E5D"/>
    <w:rsid w:val="000A25FA"/>
    <w:rsid w:val="000B0EA9"/>
    <w:rsid w:val="000D50A8"/>
    <w:rsid w:val="000F2417"/>
    <w:rsid w:val="00111A6A"/>
    <w:rsid w:val="00156BD7"/>
    <w:rsid w:val="001746D5"/>
    <w:rsid w:val="001C54F3"/>
    <w:rsid w:val="0025000B"/>
    <w:rsid w:val="002C64CA"/>
    <w:rsid w:val="002E7218"/>
    <w:rsid w:val="00344384"/>
    <w:rsid w:val="003624D7"/>
    <w:rsid w:val="00382A92"/>
    <w:rsid w:val="00416A08"/>
    <w:rsid w:val="00472001"/>
    <w:rsid w:val="00484FBD"/>
    <w:rsid w:val="00573DD0"/>
    <w:rsid w:val="005C16EE"/>
    <w:rsid w:val="00671FD3"/>
    <w:rsid w:val="006F05AC"/>
    <w:rsid w:val="00801BE7"/>
    <w:rsid w:val="00826881"/>
    <w:rsid w:val="00900D14"/>
    <w:rsid w:val="00960EE0"/>
    <w:rsid w:val="00973EFB"/>
    <w:rsid w:val="009816D8"/>
    <w:rsid w:val="009847CA"/>
    <w:rsid w:val="009F2718"/>
    <w:rsid w:val="00A03500"/>
    <w:rsid w:val="00B5563F"/>
    <w:rsid w:val="00BE21A3"/>
    <w:rsid w:val="00C0434B"/>
    <w:rsid w:val="00C45D96"/>
    <w:rsid w:val="00CB0458"/>
    <w:rsid w:val="00CB5170"/>
    <w:rsid w:val="00CF314C"/>
    <w:rsid w:val="00D035E1"/>
    <w:rsid w:val="00D72B0A"/>
    <w:rsid w:val="00F22B1E"/>
    <w:rsid w:val="00F46ECB"/>
    <w:rsid w:val="00F86A67"/>
    <w:rsid w:val="00FF7D4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34B"/>
    <w:rPr>
      <w:color w:val="808080"/>
    </w:rPr>
  </w:style>
  <w:style w:type="paragraph" w:customStyle="1" w:styleId="36DE430892CB454FBBD1802170E575B4">
    <w:name w:val="36DE430892CB454FBBD1802170E575B4"/>
    <w:rsid w:val="00C043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8925F6C346DEA04C930CF6651DFAEBD000B6D5AEEBDE679042994A5BEF29644334" ma:contentTypeVersion="32" ma:contentTypeDescription="DET Document" ma:contentTypeScope="" ma:versionID="abce2dfc698b3555b38422164872a180">
  <xsd:schema xmlns:xsd="http://www.w3.org/2001/XMLSchema" xmlns:xs="http://www.w3.org/2001/XMLSchema" xmlns:p="http://schemas.microsoft.com/office/2006/metadata/properties" xmlns:ns2="7c7884fa-4400-4ac1-95a1-4203bb422cb9" xmlns:ns3="52acba95-ae25-46e2-bd72-3b708146c48d" xmlns:ns4="http://schemas.microsoft.com/sharepoint/v4" targetNamespace="http://schemas.microsoft.com/office/2006/metadata/properties" ma:root="true" ma:fieldsID="4e776dd5b41f8ad3f5af535a4405e805" ns2:_="" ns3:_="" ns4:_="">
    <xsd:import namespace="7c7884fa-4400-4ac1-95a1-4203bb422cb9"/>
    <xsd:import namespace="52acba95-ae25-46e2-bd72-3b708146c48d"/>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2:DET_EDRMS_Description" minOccurs="0"/>
                <xsd:element ref="ns2:Document_x0020_Status" minOccurs="0"/>
                <xsd:element ref="ns2:Branch" minOccurs="0"/>
                <xsd:element ref="ns2:Unit_x002f_Team" minOccurs="0"/>
                <xsd:element ref="ns2:Project" minOccurs="0"/>
                <xsd:element ref="ns2:TAFE_x0020_Institution" minOccurs="0"/>
                <xsd:element ref="ns2:TAFE_x0020_Sector" minOccurs="0"/>
                <xsd:element ref="ns2:TaxCatchAll" minOccurs="0"/>
                <xsd:element ref="ns2:TaxCatchAllLabel" minOccurs="0"/>
                <xsd:element ref="ns2:DET_EDRMS_RCSTaxHTField0" minOccurs="0"/>
                <xsd:element ref="ns2:DET_EDRMS_BusUnitTaxHTField0" minOccurs="0"/>
                <xsd:element ref="ns2:DET_EDRMS_SecClassTaxHTField0"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SearchProperties" minOccurs="0"/>
                <xsd:element ref="ns3:MediaServiceLocation" minOccurs="0"/>
                <xsd:element ref="ns3:Documenttyp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7884fa-4400-4ac1-95a1-4203bb422cb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Category" ma:index="4" nillable="true" ma:displayName="Category" ma:internalName="DET_EDRMS_Category" ma:readOnly="false">
      <xsd:simpleType>
        <xsd:restriction base="dms:Text">
          <xsd:maxLength value="255"/>
        </xsd:restriction>
      </xsd:simpleType>
    </xsd:element>
    <xsd:element name="DET_EDRMS_Description" ma:index="5" nillable="true" ma:displayName="Document Description" ma:internalName="DET_EDRMS_Description" ma:readOnly="false">
      <xsd:simpleType>
        <xsd:restriction base="dms:Note">
          <xsd:maxLength value="255"/>
        </xsd:restriction>
      </xsd:simpleType>
    </xsd:element>
    <xsd:element name="Document_x0020_Status" ma:index="6" nillable="true" ma:displayName="Document Status" ma:default="Current" ma:format="Dropdown" ma:internalName="Document_x0020_Status" ma:readOnly="false">
      <xsd:simpleType>
        <xsd:restriction base="dms:Choice">
          <xsd:enumeration value="Draft"/>
          <xsd:enumeration value="Pending Approval"/>
          <xsd:enumeration value="Approved"/>
          <xsd:enumeration value="Archive"/>
          <xsd:enumeration value="Current"/>
        </xsd:restriction>
      </xsd:simpleType>
    </xsd:element>
    <xsd:element name="Branch" ma:index="7" nillable="true" ma:displayName="Branch" ma:format="Dropdown" ma:internalName="Branch" ma:readOnly="false">
      <xsd:simpleType>
        <xsd:restriction base="dms:Choice">
          <xsd:enumeration value="CEO Office"/>
          <xsd:enumeration value="TAFE Governance"/>
          <xsd:enumeration value="TAFE Partnerships"/>
          <xsd:enumeration value="TAFE Quality"/>
          <xsd:enumeration value="TAFE Strategy and Performance"/>
          <xsd:enumeration value="TAFE Assurance"/>
        </xsd:restriction>
      </xsd:simpleType>
    </xsd:element>
    <xsd:element name="Unit_x002f_Team" ma:index="8" nillable="true" ma:displayName="Unit/Team" ma:format="Dropdown" ma:internalName="Unit_x002F_Team" ma:readOnly="false">
      <xsd:simpleType>
        <xsd:restriction base="dms:Choice">
          <xsd:enumeration value="CEO Office"/>
          <xsd:enumeration value="TAFE Infrastructure Delivery"/>
          <xsd:enumeration value="TAFE Infrastructure Planning"/>
          <xsd:enumeration value="TAFE Financial Oversight"/>
          <xsd:enumeration value="TAFE Policy and Reform"/>
          <xsd:enumeration value="TAFE Performance"/>
          <xsd:enumeration value="TAFE Governance"/>
          <xsd:enumeration value="TAFE Assurance"/>
          <xsd:enumeration value="Dual TAFE Partnerships"/>
          <xsd:enumeration value="Regional TAFE Partnerships"/>
          <xsd:enumeration value="Metro TAFE partnerships"/>
        </xsd:restriction>
      </xsd:simpleType>
    </xsd:element>
    <xsd:element name="Project" ma:index="9" nillable="true" ma:displayName="Project" ma:format="Dropdown" ma:internalName="Project" ma:readOnly="false">
      <xsd:simpleType>
        <xsd:restriction base="dms:Choice">
          <xsd:enumeration value="Refer to Site Administrator"/>
        </xsd:restriction>
      </xsd:simpleType>
    </xsd:element>
    <xsd:element name="TAFE_x0020_Institution" ma:index="10" nillable="true" ma:displayName="TAFE Institution" ma:format="Dropdown" ma:internalName="TAFE_x0020_Institution" ma:readOnly="false">
      <xsd:simpleType>
        <xsd:restriction base="dms:Choice">
          <xsd:enumeration value="Box Hill Institute"/>
          <xsd:enumeration value="Bendigo Kangan TAFE"/>
          <xsd:enumeration value="Chisholm TAFE"/>
          <xsd:enumeration value="Federation University TAFE"/>
          <xsd:enumeration value="GOTAFE"/>
          <xsd:enumeration value="Holmesglen TAFE"/>
          <xsd:enumeration value="Melbourne Polytechnic"/>
          <xsd:enumeration value="RMIT TAFE"/>
          <xsd:enumeration value="South West TAFE"/>
          <xsd:enumeration value="SuniTAFE"/>
          <xsd:enumeration value="Swinburne University TAFE"/>
          <xsd:enumeration value="TAFE Gippsland"/>
          <xsd:enumeration value="The Gordon"/>
          <xsd:enumeration value="Victorian University Polytechnic"/>
          <xsd:enumeration value="William Angliss Institute"/>
          <xsd:enumeration value="Wodonga TAFE"/>
        </xsd:restriction>
      </xsd:simpleType>
    </xsd:element>
    <xsd:element name="TAFE_x0020_Sector" ma:index="11" nillable="true" ma:displayName="TAFE Sector" ma:format="Dropdown" ma:internalName="TAFE_x0020_Sector" ma:readOnly="false">
      <xsd:simpleType>
        <xsd:restriction base="dms:Choice">
          <xsd:enumeration value="Metro"/>
          <xsd:enumeration value="Regional"/>
          <xsd:enumeration value="Dual"/>
          <xsd:enumeration value="General"/>
        </xsd:restriction>
      </xsd:simpleType>
    </xsd:element>
    <xsd:element name="TaxCatchAll" ma:index="21" nillable="true" ma:displayName="Taxonomy Catch All Column" ma:hidden="true" ma:list="{9fe1f56a-8983-492e-ac01-006e3caceb9c}" ma:internalName="TaxCatchAll" ma:readOnly="false" ma:showField="CatchAllData"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hidden="true" ma:list="{9fe1f56a-8983-492e-ac01-006e3caceb9c}" ma:internalName="TaxCatchAllLabel" ma:readOnly="true" ma:showField="CatchAllDataLabel"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DET_EDRMS_RCSTaxHTField0" ma:index="23" nillable="true" ma:taxonomy="true" ma:internalName="DET_EDRMS_RCSTaxHTField0" ma:taxonomyFieldName="DET_EDRMS_RCS" ma:displayName="RCS" ma:readOnly="false" ma:fieldId="{b94599ac-76d7-4d0a-81e2-e0d597ad60b0}" ma:sspId="9292314e-c97d-49c1-8ae7-4cb6e1c4f97c" ma:termSetId="759985f7-f856-45a6-bc29-a99c164acfb5" ma:anchorId="00000000-0000-0000-0000-000000000000" ma:open="false" ma:isKeyword="false">
      <xsd:complexType>
        <xsd:sequence>
          <xsd:element ref="pc:Terms" minOccurs="0" maxOccurs="1"/>
        </xsd:sequence>
      </xsd:complexType>
    </xsd:element>
    <xsd:element name="DET_EDRMS_BusUnitTaxHTField0" ma:index="24" nillable="true" ma:taxonomy="true" ma:internalName="DET_EDRMS_BusUnitTaxHTField0" ma:taxonomyFieldName="DET_EDRMS_BusUnit" ma:displayName="Business Unit" ma:readOnly="false" ma:fieldId="{6a09474b-ef6b-487d-9343-1ac28330710e}" ma:sspId="9292314e-c97d-49c1-8ae7-4cb6e1c4f97c" ma:termSetId="46e496f0-ccd4-43cf-a51f-50fd2b955286" ma:anchorId="00000000-0000-0000-0000-000000000000" ma:open="false" ma:isKeyword="false">
      <xsd:complexType>
        <xsd:sequence>
          <xsd:element ref="pc:Terms" minOccurs="0" maxOccurs="1"/>
        </xsd:sequence>
      </xsd:complexType>
    </xsd:element>
    <xsd:element name="DET_EDRMS_SecClassTaxHTField0" ma:index="25" nillable="true" ma:taxonomy="true" ma:internalName="DET_EDRMS_SecClassTaxHTField0" ma:taxonomyFieldName="DET_EDRMS_SecClass" ma:displayName="Security Classification" ma:readOnly="false" ma:fieldId="{5f325da7-47e2-4289-8db0-23622dd7f876}" ma:sspId="9292314e-c97d-49c1-8ae7-4cb6e1c4f97c" ma:termSetId="824106a0-5d61-4c80-a0b7-f264a0cc5794" ma:anchorId="00000000-0000-0000-0000-000000000000" ma:open="fals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acba95-ae25-46e2-bd72-3b708146c48d"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Location" ma:index="39" nillable="true" ma:displayName="Location" ma:indexed="true" ma:internalName="MediaServiceLocation" ma:readOnly="true">
      <xsd:simpleType>
        <xsd:restriction base="dms:Text"/>
      </xsd:simpleType>
    </xsd:element>
    <xsd:element name="Documenttype" ma:index="40" nillable="true" ma:displayName="Document type" ma:description="Image, Template, Presentation etc. " ma:format="Dropdown" ma:internalName="Documenttype">
      <xsd:simpleType>
        <xsd:union memberTypes="dms:Text">
          <xsd:simpleType>
            <xsd:restriction base="dms:Choice">
              <xsd:enumeration value="Presentation"/>
              <xsd:enumeration value="Minister brief"/>
              <xsd:enumeration value="VTNC paper"/>
              <xsd:enumeration value="Images"/>
              <xsd:enumeration value="Unit admin"/>
              <xsd:enumeration value="Template"/>
              <xsd:enumeration value="Unit-Org planning"/>
              <xsd:enumeration value="Speaking notes"/>
              <xsd:enumeration value="Meeting notes/pres"/>
              <xsd:enumeration value="Referenc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c7884fa-4400-4ac1-95a1-4203bb422cb9">
      <UserInfo>
        <DisplayName>Shine Dowd</DisplayName>
        <AccountId>238</AccountId>
        <AccountType/>
      </UserInfo>
    </SharedWithUsers>
    <TaxCatchAll xmlns="7c7884fa-4400-4ac1-95a1-4203bb422cb9" xsi:nil="true"/>
    <lcf76f155ced4ddcb4097134ff3c332f xmlns="52acba95-ae25-46e2-bd72-3b708146c48d">
      <Terms xmlns="http://schemas.microsoft.com/office/infopath/2007/PartnerControls"/>
    </lcf76f155ced4ddcb4097134ff3c332f>
    <DET_EDRMS_BusUnitTaxHTField0 xmlns="7c7884fa-4400-4ac1-95a1-4203bb422cb9">
      <Terms xmlns="http://schemas.microsoft.com/office/infopath/2007/PartnerControls"/>
    </DET_EDRMS_BusUnitTaxHTField0>
    <DET_EDRMS_Category xmlns="7c7884fa-4400-4ac1-95a1-4203bb422cb9" xsi:nil="true"/>
    <Project xmlns="7c7884fa-4400-4ac1-95a1-4203bb422cb9" xsi:nil="true"/>
    <DET_EDRMS_Date xmlns="7c7884fa-4400-4ac1-95a1-4203bb422cb9" xsi:nil="true"/>
    <DET_EDRMS_SecClassTaxHTField0 xmlns="7c7884fa-4400-4ac1-95a1-4203bb422cb9">
      <Terms xmlns="http://schemas.microsoft.com/office/infopath/2007/PartnerControls"/>
    </DET_EDRMS_SecClassTaxHTField0>
    <TAFE_x0020_Sector xmlns="7c7884fa-4400-4ac1-95a1-4203bb422cb9" xsi:nil="true"/>
    <DET_EDRMS_RCSTaxHTField0 xmlns="7c7884fa-4400-4ac1-95a1-4203bb422cb9">
      <Terms xmlns="http://schemas.microsoft.com/office/infopath/2007/PartnerControls"/>
    </DET_EDRMS_RCSTaxHTField0>
    <Unit_x002f_Team xmlns="7c7884fa-4400-4ac1-95a1-4203bb422cb9" xsi:nil="true"/>
    <Document_x0020_Status xmlns="7c7884fa-4400-4ac1-95a1-4203bb422cb9">Current</Document_x0020_Status>
    <DET_EDRMS_Author xmlns="7c7884fa-4400-4ac1-95a1-4203bb422cb9" xsi:nil="true"/>
    <DET_EDRMS_Description xmlns="7c7884fa-4400-4ac1-95a1-4203bb422cb9" xsi:nil="true"/>
    <TAFE_x0020_Institution xmlns="7c7884fa-4400-4ac1-95a1-4203bb422cb9" xsi:nil="true"/>
    <Branch xmlns="7c7884fa-4400-4ac1-95a1-4203bb422cb9" xsi:nil="true"/>
    <Documenttype xmlns="52acba95-ae25-46e2-bd72-3b708146c48d"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B2F81-80C0-4F63-9070-787106B76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7884fa-4400-4ac1-95a1-4203bb422cb9"/>
    <ds:schemaRef ds:uri="52acba95-ae25-46e2-bd72-3b708146c48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3.xml><?xml version="1.0" encoding="utf-8"?>
<ds:datastoreItem xmlns:ds="http://schemas.openxmlformats.org/officeDocument/2006/customXml" ds:itemID="{734B537C-1545-4258-949A-B7DD7339DBFB}">
  <ds:schemaRefs>
    <ds:schemaRef ds:uri="http://schemas.microsoft.com/office/2006/metadata/properties"/>
    <ds:schemaRef ds:uri="http://schemas.microsoft.com/office/infopath/2007/PartnerControls"/>
    <ds:schemaRef ds:uri="7c7884fa-4400-4ac1-95a1-4203bb422cb9"/>
    <ds:schemaRef ds:uri="52acba95-ae25-46e2-bd72-3b708146c48d"/>
    <ds:schemaRef ds:uri="http://schemas.microsoft.com/sharepoint/v4"/>
  </ds:schemaRefs>
</ds:datastoreItem>
</file>

<file path=customXml/itemProps4.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4425</TotalTime>
  <Pages>25</Pages>
  <Words>6354</Words>
  <Characters>37812</Characters>
  <Application>Microsoft Office Word</Application>
  <DocSecurity>0</DocSecurity>
  <Lines>822</Lines>
  <Paragraphs>290</Paragraphs>
  <ScaleCrop>false</ScaleCrop>
  <HeadingPairs>
    <vt:vector size="2" baseType="variant">
      <vt:variant>
        <vt:lpstr>Title</vt:lpstr>
      </vt:variant>
      <vt:variant>
        <vt:i4>1</vt:i4>
      </vt:variant>
    </vt:vector>
  </HeadingPairs>
  <TitlesOfParts>
    <vt:vector size="1" baseType="lpstr">
      <vt:lpstr>TAFE Network Statement of Priorities for 2024</vt:lpstr>
    </vt:vector>
  </TitlesOfParts>
  <Company/>
  <LinksUpToDate>false</LinksUpToDate>
  <CharactersWithSpaces>43876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TAFE Network Statement of Priorities for 2024</dc:title>
  <dc:subject/>
  <dc:creator>Felicity Charles</dc:creator>
  <cp:keywords/>
  <dc:description/>
  <cp:lastModifiedBy>Jeannine Thwaite (DJSIR)</cp:lastModifiedBy>
  <cp:revision>103</cp:revision>
  <cp:lastPrinted>2024-07-04T23:49:00Z</cp:lastPrinted>
  <dcterms:created xsi:type="dcterms:W3CDTF">2023-12-21T22:25:00Z</dcterms:created>
  <dcterms:modified xsi:type="dcterms:W3CDTF">2024-07-17T07:14:00Z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0x0101008925F6C346DEA04C930CF6651DFAEBD000B6D5AEEBDE679042994A5BEF29644334</vt:lpwstr>
  </property>
  <property fmtid="{D5CDD505-2E9C-101B-9397-08002B2CF9AE}" pid="3" name="DET_EDRMS_RCS">
    <vt:lpwstr/>
  </property>
  <property fmtid="{D5CDD505-2E9C-101B-9397-08002B2CF9AE}" pid="4" name="RecordPoint_WorkflowType">
    <vt:lpwstr>ActiveSubmitStub</vt:lpwstr>
  </property>
  <property fmtid="{D5CDD505-2E9C-101B-9397-08002B2CF9AE}" pid="5" name="DET_EDRMS_BusUnit">
    <vt:lpwstr/>
  </property>
  <property fmtid="{D5CDD505-2E9C-101B-9397-08002B2CF9AE}" pid="6" name="DET_EDRMS_SecClass">
    <vt:lpwstr/>
  </property>
  <property fmtid="{D5CDD505-2E9C-101B-9397-08002B2CF9AE}" pid="7" name="RecordPoint_ActiveItemWebId">
    <vt:lpwstr>{1d6b4037-e342-4f7e-b42e-d9bb1ecc4e92}</vt:lpwstr>
  </property>
  <property fmtid="{D5CDD505-2E9C-101B-9397-08002B2CF9AE}" pid="8" name="RecordPoint_ActiveItemSiteId">
    <vt:lpwstr>{d7a2e88b-b83e-4e46-aa19-a5bd66690dbf}</vt:lpwstr>
  </property>
  <property fmtid="{D5CDD505-2E9C-101B-9397-08002B2CF9AE}" pid="9" name="RecordPoint_ActiveItemListId">
    <vt:lpwstr>{56f54aff-6af7-4409-9a89-3c064c1253d0}</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RecordPoint_ActiveItemUniqueId">
    <vt:lpwstr>{0454b9d5-c6a5-4834-a817-0e54f05bd0a2}</vt:lpwstr>
  </property>
  <property fmtid="{D5CDD505-2E9C-101B-9397-08002B2CF9AE}" pid="14" name="RecordPoint_RecordNumberSubmitted">
    <vt:lpwstr/>
  </property>
  <property fmtid="{D5CDD505-2E9C-101B-9397-08002B2CF9AE}" pid="15" name="RecordPoint_SubmissionCompleted">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Replytype">
    <vt:lpwstr/>
  </property>
  <property fmtid="{D5CDD505-2E9C-101B-9397-08002B2CF9AE}" pid="19" name="_dlc_DocIdItemGuid">
    <vt:lpwstr>5de8dbf4-c633-4e75-a60d-93698f56a1c8</vt:lpwstr>
  </property>
  <property fmtid="{D5CDD505-2E9C-101B-9397-08002B2CF9AE}" pid="20" name="xd_ProgID">
    <vt:lpwstr/>
  </property>
  <property fmtid="{D5CDD505-2E9C-101B-9397-08002B2CF9AE}" pid="21" name="_dlc_DocId">
    <vt:lpwstr>FZUU7H4PMH3E-894671359-37633</vt:lpwstr>
  </property>
  <property fmtid="{D5CDD505-2E9C-101B-9397-08002B2CF9AE}" pid="22" name="ComplianceAssetId">
    <vt:lpwstr/>
  </property>
  <property fmtid="{D5CDD505-2E9C-101B-9397-08002B2CF9AE}" pid="23" name="TemplateUrl">
    <vt:lpwstr/>
  </property>
  <property fmtid="{D5CDD505-2E9C-101B-9397-08002B2CF9AE}" pid="24" name="_ExtendedDescription">
    <vt:lpwstr/>
  </property>
  <property fmtid="{D5CDD505-2E9C-101B-9397-08002B2CF9AE}" pid="25" name="xd_Signature">
    <vt:bool>false</vt:bool>
  </property>
  <property fmtid="{D5CDD505-2E9C-101B-9397-08002B2CF9AE}" pid="26" name="Team">
    <vt:lpwstr>;#Office of CEO;#</vt:lpwstr>
  </property>
  <property fmtid="{D5CDD505-2E9C-101B-9397-08002B2CF9AE}" pid="27" name="TriggerFlowInfo">
    <vt:lpwstr/>
  </property>
  <property fmtid="{D5CDD505-2E9C-101B-9397-08002B2CF9AE}" pid="28" name="_dlc_DocIdUrl">
    <vt:lpwstr>https://vicgov.sharepoint.com/sites/msteams_70da48/_layouts/15/DocIdRedir.aspx?ID=FZUU7H4PMH3E-894671359-37633, FZUU7H4PMH3E-894671359-37633</vt:lpwstr>
  </property>
  <property fmtid="{D5CDD505-2E9C-101B-9397-08002B2CF9AE}" pid="29" name="MSIP_Label_d00a4df9-c942-4b09-b23a-6c1023f6de27_Enabled">
    <vt:lpwstr>true</vt:lpwstr>
  </property>
  <property fmtid="{D5CDD505-2E9C-101B-9397-08002B2CF9AE}" pid="30" name="MSIP_Label_d00a4df9-c942-4b09-b23a-6c1023f6de27_SetDate">
    <vt:lpwstr>2023-12-21T03:25:48Z</vt:lpwstr>
  </property>
  <property fmtid="{D5CDD505-2E9C-101B-9397-08002B2CF9AE}" pid="31" name="MSIP_Label_d00a4df9-c942-4b09-b23a-6c1023f6de27_Method">
    <vt:lpwstr>Privileged</vt:lpwstr>
  </property>
  <property fmtid="{D5CDD505-2E9C-101B-9397-08002B2CF9AE}" pid="32" name="MSIP_Label_d00a4df9-c942-4b09-b23a-6c1023f6de27_Name">
    <vt:lpwstr>Official (DJPR)</vt:lpwstr>
  </property>
  <property fmtid="{D5CDD505-2E9C-101B-9397-08002B2CF9AE}" pid="33" name="MSIP_Label_d00a4df9-c942-4b09-b23a-6c1023f6de27_SiteId">
    <vt:lpwstr>722ea0be-3e1c-4b11-ad6f-9401d6856e24</vt:lpwstr>
  </property>
  <property fmtid="{D5CDD505-2E9C-101B-9397-08002B2CF9AE}" pid="34" name="MSIP_Label_d00a4df9-c942-4b09-b23a-6c1023f6de27_ActionId">
    <vt:lpwstr>3f33ab77-0c4e-4839-8e83-210096acde26</vt:lpwstr>
  </property>
  <property fmtid="{D5CDD505-2E9C-101B-9397-08002B2CF9AE}" pid="35" name="MSIP_Label_d00a4df9-c942-4b09-b23a-6c1023f6de27_ContentBits">
    <vt:lpwstr>3</vt:lpwstr>
  </property>
  <property fmtid="{D5CDD505-2E9C-101B-9397-08002B2CF9AE}" pid="36" name="GrammarlyDocumentId">
    <vt:lpwstr>10162d72032442d24f070b86f7b8cd092cd77e37b2cd1cf5e4135558eef8d5ab</vt:lpwstr>
  </property>
</Properties>
</file>