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1FB7B5" w14:textId="5DBE87E9" w:rsidR="00205044" w:rsidRDefault="00205044" w:rsidP="00AD1A33">
      <w:pPr>
        <w:pStyle w:val="ADTableofContents"/>
        <w:rPr>
          <w:noProof/>
        </w:rPr>
      </w:pPr>
      <w:bookmarkStart w:id="0" w:name="_Toc441755237"/>
      <w:bookmarkStart w:id="1" w:name="_Toc529449707"/>
      <w:bookmarkStart w:id="2" w:name="_Toc531075075"/>
      <w:bookmarkStart w:id="3" w:name="_GoBack"/>
      <w:bookmarkEnd w:id="3"/>
      <w:r>
        <w:rPr>
          <w:noProof/>
        </w:rPr>
        <w:t>Executive Summary</w:t>
      </w:r>
      <w:bookmarkEnd w:id="0"/>
      <w:bookmarkEnd w:id="1"/>
      <w:bookmarkEnd w:id="2"/>
    </w:p>
    <w:p w14:paraId="40B856E7" w14:textId="49BAF96F" w:rsidR="00916133" w:rsidRPr="00916133" w:rsidRDefault="00916133" w:rsidP="00916133">
      <w:pPr>
        <w:pStyle w:val="ADBodyText"/>
        <w:rPr>
          <w:lang w:eastAsia="en-AU"/>
        </w:rPr>
      </w:pPr>
      <w:r w:rsidRPr="00916133">
        <w:rPr>
          <w:lang w:eastAsia="en-AU"/>
        </w:rPr>
        <w:t xml:space="preserve">CarbonNet, on behalf of the Crown in right of Victoria, conducted the Pelican three-dimensional (3D) marine seismic survey (MSS) in the Gippsland Basin in </w:t>
      </w:r>
      <w:r w:rsidR="0093470B">
        <w:rPr>
          <w:lang w:eastAsia="en-AU"/>
        </w:rPr>
        <w:t>g</w:t>
      </w:r>
      <w:r w:rsidRPr="00916133">
        <w:rPr>
          <w:lang w:eastAsia="en-AU"/>
        </w:rPr>
        <w:t xml:space="preserve">reenhouse </w:t>
      </w:r>
      <w:r w:rsidR="0093470B">
        <w:rPr>
          <w:lang w:eastAsia="en-AU"/>
        </w:rPr>
        <w:t>g</w:t>
      </w:r>
      <w:r w:rsidRPr="00916133">
        <w:rPr>
          <w:lang w:eastAsia="en-AU"/>
        </w:rPr>
        <w:t xml:space="preserve">as </w:t>
      </w:r>
      <w:r w:rsidR="0093470B">
        <w:rPr>
          <w:lang w:eastAsia="en-AU"/>
        </w:rPr>
        <w:t>assessment</w:t>
      </w:r>
      <w:r w:rsidRPr="00916133">
        <w:rPr>
          <w:lang w:eastAsia="en-AU"/>
        </w:rPr>
        <w:t xml:space="preserve"> permits</w:t>
      </w:r>
      <w:r w:rsidR="00F20256">
        <w:rPr>
          <w:lang w:eastAsia="en-AU"/>
        </w:rPr>
        <w:t xml:space="preserve"> </w:t>
      </w:r>
      <w:r w:rsidRPr="00916133">
        <w:rPr>
          <w:lang w:eastAsia="en-AU"/>
        </w:rPr>
        <w:t>VIC-GIP-002 (Commonwea</w:t>
      </w:r>
      <w:r w:rsidR="00A12609">
        <w:rPr>
          <w:lang w:eastAsia="en-AU"/>
        </w:rPr>
        <w:t>lth waters) and GGAP006386(V)</w:t>
      </w:r>
      <w:r w:rsidR="009B1CEA">
        <w:rPr>
          <w:lang w:eastAsia="en-AU"/>
        </w:rPr>
        <w:t xml:space="preserve"> (Victorian waters)</w:t>
      </w:r>
      <w:r w:rsidR="00A12609">
        <w:rPr>
          <w:lang w:eastAsia="en-AU"/>
        </w:rPr>
        <w:t>. Seismic a</w:t>
      </w:r>
      <w:r w:rsidRPr="00916133">
        <w:rPr>
          <w:lang w:eastAsia="en-AU"/>
        </w:rPr>
        <w:t xml:space="preserve">cquisition was carried out, as planned, from the </w:t>
      </w:r>
      <w:r w:rsidRPr="0058740E">
        <w:rPr>
          <w:i/>
          <w:lang w:eastAsia="en-AU"/>
        </w:rPr>
        <w:t>Polarcus Naila</w:t>
      </w:r>
      <w:r w:rsidRPr="00916133">
        <w:rPr>
          <w:lang w:eastAsia="en-AU"/>
        </w:rPr>
        <w:t xml:space="preserve"> between the 10th and 24th of February 2018 and took 14 days to complete. </w:t>
      </w:r>
    </w:p>
    <w:p w14:paraId="6CA56D3F" w14:textId="22849225" w:rsidR="004B41E7" w:rsidRDefault="00916133" w:rsidP="00967525">
      <w:pPr>
        <w:pStyle w:val="ADBodyText"/>
        <w:rPr>
          <w:lang w:eastAsia="en-AU"/>
        </w:rPr>
      </w:pPr>
      <w:r w:rsidRPr="00916133">
        <w:rPr>
          <w:lang w:eastAsia="en-AU"/>
        </w:rPr>
        <w:t xml:space="preserve">The impacts and risks associated with the MSS were comprehensively </w:t>
      </w:r>
      <w:r w:rsidR="00FC27A1">
        <w:rPr>
          <w:lang w:eastAsia="en-AU"/>
        </w:rPr>
        <w:t xml:space="preserve">assessed </w:t>
      </w:r>
      <w:r w:rsidRPr="00916133">
        <w:rPr>
          <w:lang w:eastAsia="en-AU"/>
        </w:rPr>
        <w:t>in the Envi</w:t>
      </w:r>
      <w:r>
        <w:rPr>
          <w:lang w:eastAsia="en-AU"/>
        </w:rPr>
        <w:t xml:space="preserve">ronment Plan </w:t>
      </w:r>
      <w:r w:rsidR="00F20256">
        <w:rPr>
          <w:lang w:eastAsia="en-AU"/>
        </w:rPr>
        <w:t xml:space="preserve">(EP) </w:t>
      </w:r>
      <w:r>
        <w:rPr>
          <w:lang w:eastAsia="en-AU"/>
        </w:rPr>
        <w:t>for the activity</w:t>
      </w:r>
      <w:r w:rsidR="0093470B">
        <w:rPr>
          <w:lang w:eastAsia="en-AU"/>
        </w:rPr>
        <w:t xml:space="preserve"> which was accepted by Commonwealth and Victorian regulators</w:t>
      </w:r>
      <w:r w:rsidR="004B41E7">
        <w:rPr>
          <w:lang w:eastAsia="en-AU"/>
        </w:rPr>
        <w:t xml:space="preserve"> under the Commonwealth </w:t>
      </w:r>
      <w:r w:rsidR="004B41E7" w:rsidRPr="00F15D6F">
        <w:rPr>
          <w:i/>
          <w:lang w:eastAsia="en-AU"/>
        </w:rPr>
        <w:t xml:space="preserve">Offshore Petroleum and Greenhouse Gas Storage </w:t>
      </w:r>
      <w:r w:rsidR="004B41E7">
        <w:rPr>
          <w:i/>
          <w:lang w:eastAsia="en-AU"/>
        </w:rPr>
        <w:t xml:space="preserve">(Environment) Regulations </w:t>
      </w:r>
      <w:r w:rsidR="004B41E7" w:rsidRPr="00D60E71">
        <w:rPr>
          <w:lang w:eastAsia="en-AU"/>
        </w:rPr>
        <w:t>2009</w:t>
      </w:r>
      <w:r w:rsidR="004B41E7">
        <w:rPr>
          <w:lang w:eastAsia="en-AU"/>
        </w:rPr>
        <w:t xml:space="preserve"> and the Victorian </w:t>
      </w:r>
      <w:r w:rsidR="004B41E7" w:rsidRPr="00F15D6F">
        <w:rPr>
          <w:i/>
          <w:lang w:eastAsia="en-AU"/>
        </w:rPr>
        <w:t>Offshore Petroleum and Greenhouse Gas Storage</w:t>
      </w:r>
      <w:r w:rsidR="004B41E7">
        <w:rPr>
          <w:i/>
          <w:lang w:eastAsia="en-AU"/>
        </w:rPr>
        <w:t xml:space="preserve"> Regulations </w:t>
      </w:r>
      <w:r w:rsidR="004B41E7" w:rsidRPr="00D60E71">
        <w:rPr>
          <w:i/>
          <w:lang w:eastAsia="en-AU"/>
        </w:rPr>
        <w:t>2011</w:t>
      </w:r>
      <w:r w:rsidR="004B41E7">
        <w:rPr>
          <w:lang w:eastAsia="en-AU"/>
        </w:rPr>
        <w:t>. As part of the EP, CarbonNet committed to completing pre</w:t>
      </w:r>
      <w:r w:rsidR="00C94C07">
        <w:rPr>
          <w:lang w:eastAsia="en-AU"/>
        </w:rPr>
        <w:t>-</w:t>
      </w:r>
      <w:r w:rsidR="004B41E7">
        <w:rPr>
          <w:lang w:eastAsia="en-AU"/>
        </w:rPr>
        <w:t xml:space="preserve"> and post</w:t>
      </w:r>
      <w:r w:rsidR="00C94C07">
        <w:rPr>
          <w:lang w:eastAsia="en-AU"/>
        </w:rPr>
        <w:t>-</w:t>
      </w:r>
      <w:r w:rsidR="004B41E7">
        <w:rPr>
          <w:lang w:eastAsia="en-AU"/>
        </w:rPr>
        <w:t xml:space="preserve"> seismic</w:t>
      </w:r>
      <w:r w:rsidR="008C7C6A">
        <w:rPr>
          <w:lang w:eastAsia="en-AU"/>
        </w:rPr>
        <w:t xml:space="preserve"> survey</w:t>
      </w:r>
      <w:r w:rsidR="004B41E7">
        <w:rPr>
          <w:lang w:eastAsia="en-AU"/>
        </w:rPr>
        <w:t xml:space="preserve"> offshore habitat assessments.</w:t>
      </w:r>
    </w:p>
    <w:p w14:paraId="7AEAB228" w14:textId="4E179EB2" w:rsidR="00916133" w:rsidRPr="00916133" w:rsidRDefault="00916133" w:rsidP="00916133">
      <w:pPr>
        <w:pStyle w:val="ADBodyText"/>
        <w:rPr>
          <w:lang w:eastAsia="en-AU"/>
        </w:rPr>
      </w:pPr>
      <w:r w:rsidRPr="00916133">
        <w:rPr>
          <w:lang w:eastAsia="en-AU"/>
        </w:rPr>
        <w:t xml:space="preserve">Underwater sound and its </w:t>
      </w:r>
      <w:r w:rsidR="006B6A7E">
        <w:rPr>
          <w:lang w:eastAsia="en-AU"/>
        </w:rPr>
        <w:t xml:space="preserve">potential </w:t>
      </w:r>
      <w:r w:rsidRPr="00916133">
        <w:rPr>
          <w:lang w:eastAsia="en-AU"/>
        </w:rPr>
        <w:t>impact on the marine environment was</w:t>
      </w:r>
      <w:r w:rsidR="006B6A7E">
        <w:rPr>
          <w:lang w:eastAsia="en-AU"/>
        </w:rPr>
        <w:t xml:space="preserve"> a</w:t>
      </w:r>
      <w:r w:rsidR="00926B64">
        <w:rPr>
          <w:lang w:eastAsia="en-AU"/>
        </w:rPr>
        <w:t xml:space="preserve"> key issue raised by</w:t>
      </w:r>
      <w:r w:rsidRPr="00916133">
        <w:rPr>
          <w:lang w:eastAsia="en-AU"/>
        </w:rPr>
        <w:t xml:space="preserve"> stakeholders, particularly the commercial fishing industry. In response, CarbonNet put in place initiatives </w:t>
      </w:r>
      <w:r w:rsidR="00CA44C5">
        <w:rPr>
          <w:lang w:eastAsia="en-AU"/>
        </w:rPr>
        <w:t>to</w:t>
      </w:r>
      <w:r w:rsidRPr="00916133">
        <w:rPr>
          <w:lang w:eastAsia="en-AU"/>
        </w:rPr>
        <w:t xml:space="preserve"> address concerns</w:t>
      </w:r>
      <w:r w:rsidR="009C50C4">
        <w:rPr>
          <w:lang w:eastAsia="en-AU"/>
        </w:rPr>
        <w:t>,</w:t>
      </w:r>
      <w:r w:rsidRPr="00916133">
        <w:rPr>
          <w:lang w:eastAsia="en-AU"/>
        </w:rPr>
        <w:t xml:space="preserve"> including:</w:t>
      </w:r>
    </w:p>
    <w:p w14:paraId="18C1AB5C" w14:textId="2FA2EA35" w:rsidR="00916133" w:rsidRPr="00916133" w:rsidRDefault="00916133" w:rsidP="00A12609">
      <w:pPr>
        <w:pStyle w:val="ADBullet1"/>
        <w:rPr>
          <w:lang w:eastAsia="en-AU"/>
        </w:rPr>
      </w:pPr>
      <w:r w:rsidRPr="00916133">
        <w:rPr>
          <w:lang w:eastAsia="en-AU"/>
        </w:rPr>
        <w:t xml:space="preserve">Undertaking marine habitat assessments before and after the </w:t>
      </w:r>
      <w:r w:rsidR="00F20256">
        <w:rPr>
          <w:lang w:eastAsia="en-AU"/>
        </w:rPr>
        <w:t>MSS</w:t>
      </w:r>
      <w:r w:rsidRPr="00916133">
        <w:rPr>
          <w:lang w:eastAsia="en-AU"/>
        </w:rPr>
        <w:t>;</w:t>
      </w:r>
    </w:p>
    <w:p w14:paraId="635F0E65" w14:textId="3B736EEB" w:rsidR="00916133" w:rsidRPr="00916133" w:rsidRDefault="00916133" w:rsidP="00A12609">
      <w:pPr>
        <w:pStyle w:val="ADBullet1"/>
        <w:rPr>
          <w:lang w:eastAsia="en-AU"/>
        </w:rPr>
      </w:pPr>
      <w:r w:rsidRPr="00916133">
        <w:rPr>
          <w:lang w:eastAsia="en-AU"/>
        </w:rPr>
        <w:t xml:space="preserve">Establishing an independent Advisory Panel to provide advice on the marine habitat assessments; </w:t>
      </w:r>
    </w:p>
    <w:p w14:paraId="05717F38" w14:textId="7EC8AC7B" w:rsidR="00926B64" w:rsidRDefault="00916133" w:rsidP="00A12609">
      <w:pPr>
        <w:pStyle w:val="ADBullet1"/>
        <w:rPr>
          <w:lang w:eastAsia="en-AU"/>
        </w:rPr>
      </w:pPr>
      <w:r w:rsidRPr="00916133">
        <w:rPr>
          <w:lang w:eastAsia="en-AU"/>
        </w:rPr>
        <w:t xml:space="preserve">Monitoring underwater sound levels to </w:t>
      </w:r>
      <w:r w:rsidR="00CA44C5">
        <w:rPr>
          <w:lang w:eastAsia="en-AU"/>
        </w:rPr>
        <w:t>assess</w:t>
      </w:r>
      <w:r w:rsidR="00CA44C5" w:rsidRPr="00916133">
        <w:rPr>
          <w:lang w:eastAsia="en-AU"/>
        </w:rPr>
        <w:t xml:space="preserve"> </w:t>
      </w:r>
      <w:r w:rsidRPr="00916133">
        <w:rPr>
          <w:lang w:eastAsia="en-AU"/>
        </w:rPr>
        <w:t>predictions from the sound model used to assess the impact in the EP</w:t>
      </w:r>
      <w:r w:rsidR="00926B64">
        <w:rPr>
          <w:lang w:eastAsia="en-AU"/>
        </w:rPr>
        <w:t xml:space="preserve">; </w:t>
      </w:r>
    </w:p>
    <w:p w14:paraId="50B83226" w14:textId="44364C59" w:rsidR="00916133" w:rsidRPr="00916133" w:rsidRDefault="00926B64" w:rsidP="00776F01">
      <w:pPr>
        <w:pStyle w:val="ADBullet1"/>
        <w:rPr>
          <w:lang w:eastAsia="en-AU"/>
        </w:rPr>
      </w:pPr>
      <w:r w:rsidRPr="00916133">
        <w:rPr>
          <w:lang w:eastAsia="en-AU"/>
        </w:rPr>
        <w:t>Contributing to an independent study on scallop stock assessment by the V</w:t>
      </w:r>
      <w:r>
        <w:rPr>
          <w:lang w:eastAsia="en-AU"/>
        </w:rPr>
        <w:t xml:space="preserve">ictorian </w:t>
      </w:r>
      <w:r w:rsidRPr="00916133">
        <w:rPr>
          <w:lang w:eastAsia="en-AU"/>
        </w:rPr>
        <w:t>F</w:t>
      </w:r>
      <w:r>
        <w:rPr>
          <w:lang w:eastAsia="en-AU"/>
        </w:rPr>
        <w:t>isheries Authority (VFA).</w:t>
      </w:r>
    </w:p>
    <w:p w14:paraId="4568C681" w14:textId="3C3F0F5F" w:rsidR="00916133" w:rsidRPr="00916133" w:rsidRDefault="00916133" w:rsidP="00916133">
      <w:pPr>
        <w:pStyle w:val="ADBodyText"/>
        <w:rPr>
          <w:lang w:eastAsia="en-AU"/>
        </w:rPr>
      </w:pPr>
      <w:r w:rsidRPr="00916133">
        <w:rPr>
          <w:lang w:eastAsia="en-AU"/>
        </w:rPr>
        <w:t xml:space="preserve">Advisian Pty Ltd was commissioned to design and </w:t>
      </w:r>
      <w:r w:rsidR="003F4D34">
        <w:rPr>
          <w:lang w:eastAsia="en-AU"/>
        </w:rPr>
        <w:t>undertake</w:t>
      </w:r>
      <w:r w:rsidRPr="00916133">
        <w:rPr>
          <w:lang w:eastAsia="en-AU"/>
        </w:rPr>
        <w:t xml:space="preserve"> </w:t>
      </w:r>
      <w:r w:rsidR="00A12609">
        <w:rPr>
          <w:lang w:eastAsia="en-AU"/>
        </w:rPr>
        <w:t>the marine habitat assessments.</w:t>
      </w:r>
      <w:r w:rsidR="002712B3">
        <w:rPr>
          <w:lang w:eastAsia="en-AU"/>
        </w:rPr>
        <w:t xml:space="preserve"> </w:t>
      </w:r>
      <w:r w:rsidRPr="00916133">
        <w:rPr>
          <w:lang w:eastAsia="en-AU"/>
        </w:rPr>
        <w:t xml:space="preserve">This report presents the findings from </w:t>
      </w:r>
      <w:r w:rsidR="003C68C4">
        <w:rPr>
          <w:lang w:eastAsia="en-AU"/>
        </w:rPr>
        <w:t xml:space="preserve">both the </w:t>
      </w:r>
      <w:r w:rsidR="002712B3">
        <w:rPr>
          <w:lang w:eastAsia="en-AU"/>
        </w:rPr>
        <w:t>pre- and post-MSS</w:t>
      </w:r>
      <w:r w:rsidR="003C68C4">
        <w:rPr>
          <w:lang w:eastAsia="en-AU"/>
        </w:rPr>
        <w:t xml:space="preserve"> </w:t>
      </w:r>
      <w:r w:rsidR="00FC27A1">
        <w:rPr>
          <w:lang w:eastAsia="en-AU"/>
        </w:rPr>
        <w:t>assessments</w:t>
      </w:r>
      <w:r w:rsidRPr="00916133">
        <w:rPr>
          <w:lang w:eastAsia="en-AU"/>
        </w:rPr>
        <w:t>.</w:t>
      </w:r>
    </w:p>
    <w:p w14:paraId="5F940F83" w14:textId="02B776CE" w:rsidR="00916133" w:rsidRPr="00916133" w:rsidRDefault="00916133" w:rsidP="00916133">
      <w:pPr>
        <w:pStyle w:val="ADBodyText"/>
        <w:rPr>
          <w:lang w:eastAsia="en-AU"/>
        </w:rPr>
      </w:pPr>
      <w:r w:rsidRPr="00916133">
        <w:rPr>
          <w:lang w:eastAsia="en-AU"/>
        </w:rPr>
        <w:t xml:space="preserve">The objectives of the </w:t>
      </w:r>
      <w:r w:rsidR="00A12609">
        <w:rPr>
          <w:lang w:eastAsia="en-AU"/>
        </w:rPr>
        <w:t xml:space="preserve">habitat </w:t>
      </w:r>
      <w:r w:rsidRPr="00916133">
        <w:rPr>
          <w:lang w:eastAsia="en-AU"/>
        </w:rPr>
        <w:t xml:space="preserve">assessments were to determine the abundance of key biological receptors before and after the MSS and to determine whether any differences </w:t>
      </w:r>
      <w:r w:rsidR="00A12609">
        <w:rPr>
          <w:lang w:eastAsia="en-AU"/>
        </w:rPr>
        <w:t>could be attributed to the MSS.</w:t>
      </w:r>
      <w:r w:rsidR="002712B3">
        <w:rPr>
          <w:lang w:eastAsia="en-AU"/>
        </w:rPr>
        <w:t xml:space="preserve"> </w:t>
      </w:r>
      <w:r w:rsidRPr="00916133">
        <w:rPr>
          <w:lang w:eastAsia="en-AU"/>
        </w:rPr>
        <w:t>Biological receptors monitored were:</w:t>
      </w:r>
    </w:p>
    <w:p w14:paraId="4E240DD3" w14:textId="09F5F0B2" w:rsidR="00916133" w:rsidRPr="00916133" w:rsidRDefault="001D0E7D" w:rsidP="00A12609">
      <w:pPr>
        <w:pStyle w:val="ADBullet1"/>
        <w:rPr>
          <w:lang w:eastAsia="en-AU"/>
        </w:rPr>
      </w:pPr>
      <w:r>
        <w:rPr>
          <w:lang w:eastAsia="en-AU"/>
        </w:rPr>
        <w:t>C</w:t>
      </w:r>
      <w:r w:rsidR="00916133" w:rsidRPr="00916133">
        <w:rPr>
          <w:lang w:eastAsia="en-AU"/>
        </w:rPr>
        <w:t>ommercial scallops (</w:t>
      </w:r>
      <w:r w:rsidR="00916133" w:rsidRPr="00A12609">
        <w:rPr>
          <w:i/>
          <w:lang w:eastAsia="en-AU"/>
        </w:rPr>
        <w:t>Pecten fumata</w:t>
      </w:r>
      <w:r w:rsidR="00A12609">
        <w:rPr>
          <w:lang w:eastAsia="en-AU"/>
        </w:rPr>
        <w:t>);</w:t>
      </w:r>
    </w:p>
    <w:p w14:paraId="58332D72" w14:textId="564D0DF5" w:rsidR="00916133" w:rsidRPr="00916133" w:rsidRDefault="001D0E7D" w:rsidP="00A12609">
      <w:pPr>
        <w:pStyle w:val="ADBullet1"/>
        <w:rPr>
          <w:lang w:eastAsia="en-AU"/>
        </w:rPr>
      </w:pPr>
      <w:r>
        <w:rPr>
          <w:lang w:eastAsia="en-AU"/>
        </w:rPr>
        <w:t>S</w:t>
      </w:r>
      <w:r w:rsidR="00916133" w:rsidRPr="00916133">
        <w:rPr>
          <w:lang w:eastAsia="en-AU"/>
        </w:rPr>
        <w:t xml:space="preserve">outhern rock lobster </w:t>
      </w:r>
      <w:r w:rsidR="004B7F7A">
        <w:rPr>
          <w:lang w:eastAsia="en-AU"/>
        </w:rPr>
        <w:t xml:space="preserve">(SRL) </w:t>
      </w:r>
      <w:r w:rsidR="00916133" w:rsidRPr="00916133">
        <w:rPr>
          <w:lang w:eastAsia="en-AU"/>
        </w:rPr>
        <w:t>(</w:t>
      </w:r>
      <w:r w:rsidR="00916133" w:rsidRPr="00A12609">
        <w:rPr>
          <w:i/>
          <w:lang w:eastAsia="en-AU"/>
        </w:rPr>
        <w:t>Jasus edwardsii</w:t>
      </w:r>
      <w:r w:rsidR="00A12609">
        <w:rPr>
          <w:lang w:eastAsia="en-AU"/>
        </w:rPr>
        <w:t>);</w:t>
      </w:r>
    </w:p>
    <w:p w14:paraId="3E63476E" w14:textId="2BD10079" w:rsidR="00916133" w:rsidRPr="00916133" w:rsidRDefault="001D0E7D" w:rsidP="00A12609">
      <w:pPr>
        <w:pStyle w:val="ADBullet1"/>
        <w:rPr>
          <w:lang w:eastAsia="en-AU"/>
        </w:rPr>
      </w:pPr>
      <w:r>
        <w:rPr>
          <w:lang w:eastAsia="en-AU"/>
        </w:rPr>
        <w:t>F</w:t>
      </w:r>
      <w:r w:rsidR="00CD3FF6">
        <w:rPr>
          <w:lang w:eastAsia="en-AU"/>
        </w:rPr>
        <w:t>in</w:t>
      </w:r>
      <w:r w:rsidR="00A12609">
        <w:rPr>
          <w:lang w:eastAsia="en-AU"/>
        </w:rPr>
        <w:t>fish; and</w:t>
      </w:r>
    </w:p>
    <w:p w14:paraId="01B818B6" w14:textId="214895D7" w:rsidR="00916133" w:rsidRPr="00916133" w:rsidRDefault="001D0E7D" w:rsidP="00A12609">
      <w:pPr>
        <w:pStyle w:val="ADBullet1"/>
        <w:rPr>
          <w:lang w:eastAsia="en-AU"/>
        </w:rPr>
      </w:pPr>
      <w:r>
        <w:rPr>
          <w:lang w:eastAsia="en-AU"/>
        </w:rPr>
        <w:t>Z</w:t>
      </w:r>
      <w:r w:rsidR="00916133" w:rsidRPr="00916133">
        <w:rPr>
          <w:lang w:eastAsia="en-AU"/>
        </w:rPr>
        <w:t>ooplankton.</w:t>
      </w:r>
    </w:p>
    <w:p w14:paraId="791395D5" w14:textId="6A11E60C" w:rsidR="003C68C4" w:rsidRDefault="003C68C4" w:rsidP="0058740E">
      <w:pPr>
        <w:pStyle w:val="ADBodyText"/>
        <w:rPr>
          <w:lang w:eastAsia="en-AU"/>
        </w:rPr>
      </w:pPr>
      <w:r w:rsidRPr="00712525">
        <w:rPr>
          <w:lang w:eastAsia="en-AU"/>
        </w:rPr>
        <w:t xml:space="preserve">To ensure that the habitat assessments </w:t>
      </w:r>
      <w:r w:rsidR="0061168D">
        <w:rPr>
          <w:lang w:eastAsia="en-AU"/>
        </w:rPr>
        <w:t>were</w:t>
      </w:r>
      <w:r w:rsidR="0061168D" w:rsidRPr="00712525">
        <w:rPr>
          <w:lang w:eastAsia="en-AU"/>
        </w:rPr>
        <w:t xml:space="preserve"> </w:t>
      </w:r>
      <w:r w:rsidRPr="00712525">
        <w:rPr>
          <w:lang w:eastAsia="en-AU"/>
        </w:rPr>
        <w:t>undertaken in</w:t>
      </w:r>
      <w:r>
        <w:rPr>
          <w:lang w:eastAsia="en-AU"/>
        </w:rPr>
        <w:t xml:space="preserve"> </w:t>
      </w:r>
      <w:r w:rsidRPr="00712525">
        <w:rPr>
          <w:lang w:eastAsia="en-AU"/>
        </w:rPr>
        <w:t>a scientifically robust manner, an Advisory Panel</w:t>
      </w:r>
      <w:r>
        <w:rPr>
          <w:lang w:eastAsia="en-AU"/>
        </w:rPr>
        <w:t xml:space="preserve"> was established consisting of representatives from </w:t>
      </w:r>
      <w:r w:rsidR="004322F3">
        <w:rPr>
          <w:lang w:eastAsia="en-AU"/>
        </w:rPr>
        <w:t>regulator</w:t>
      </w:r>
      <w:r w:rsidR="0061168D">
        <w:rPr>
          <w:lang w:eastAsia="en-AU"/>
        </w:rPr>
        <w:t>y agencie</w:t>
      </w:r>
      <w:r w:rsidR="004322F3">
        <w:rPr>
          <w:lang w:eastAsia="en-AU"/>
        </w:rPr>
        <w:t>s</w:t>
      </w:r>
      <w:r>
        <w:rPr>
          <w:lang w:eastAsia="en-AU"/>
        </w:rPr>
        <w:t xml:space="preserve">, academia and the fishing industry. Its role </w:t>
      </w:r>
      <w:r w:rsidR="00AB7795">
        <w:rPr>
          <w:lang w:eastAsia="en-AU"/>
        </w:rPr>
        <w:t>was</w:t>
      </w:r>
      <w:r>
        <w:rPr>
          <w:lang w:eastAsia="en-AU"/>
        </w:rPr>
        <w:t xml:space="preserve"> to provide advice </w:t>
      </w:r>
      <w:r w:rsidR="00CA44C5">
        <w:rPr>
          <w:lang w:eastAsia="en-AU"/>
        </w:rPr>
        <w:t>on</w:t>
      </w:r>
      <w:r>
        <w:rPr>
          <w:lang w:eastAsia="en-AU"/>
        </w:rPr>
        <w:t>:</w:t>
      </w:r>
    </w:p>
    <w:p w14:paraId="7F680F5A" w14:textId="7DEB54E9" w:rsidR="003C68C4" w:rsidRPr="00CC1495" w:rsidRDefault="003C68C4" w:rsidP="0058740E">
      <w:pPr>
        <w:pStyle w:val="ADBullet1"/>
        <w:rPr>
          <w:lang w:eastAsia="en-AU"/>
        </w:rPr>
      </w:pPr>
      <w:r w:rsidRPr="00CC1495">
        <w:rPr>
          <w:lang w:eastAsia="en-AU"/>
        </w:rPr>
        <w:lastRenderedPageBreak/>
        <w:t>The m</w:t>
      </w:r>
      <w:r w:rsidR="00714841">
        <w:rPr>
          <w:lang w:eastAsia="en-AU"/>
        </w:rPr>
        <w:t xml:space="preserve">ethodology to undertake the </w:t>
      </w:r>
      <w:r w:rsidR="002712B3">
        <w:rPr>
          <w:lang w:eastAsia="en-AU"/>
        </w:rPr>
        <w:t>pre- and post-MSS</w:t>
      </w:r>
      <w:r w:rsidR="006E4ADC">
        <w:rPr>
          <w:lang w:eastAsia="en-AU"/>
        </w:rPr>
        <w:t xml:space="preserve"> </w:t>
      </w:r>
      <w:r w:rsidR="00CA44C5">
        <w:rPr>
          <w:lang w:eastAsia="en-AU"/>
        </w:rPr>
        <w:t>habitat</w:t>
      </w:r>
      <w:r w:rsidR="00CA44C5" w:rsidRPr="00CC1495">
        <w:rPr>
          <w:lang w:eastAsia="en-AU"/>
        </w:rPr>
        <w:t xml:space="preserve"> </w:t>
      </w:r>
      <w:r w:rsidRPr="00CC1495">
        <w:rPr>
          <w:lang w:eastAsia="en-AU"/>
        </w:rPr>
        <w:t>assessments;</w:t>
      </w:r>
    </w:p>
    <w:p w14:paraId="5621DD04" w14:textId="77777777" w:rsidR="003C68C4" w:rsidRPr="00E62117" w:rsidRDefault="003C68C4" w:rsidP="0058740E">
      <w:pPr>
        <w:pStyle w:val="ADBullet1"/>
        <w:rPr>
          <w:lang w:eastAsia="en-AU"/>
        </w:rPr>
      </w:pPr>
      <w:r w:rsidRPr="00E62117">
        <w:rPr>
          <w:lang w:eastAsia="en-AU"/>
        </w:rPr>
        <w:t>Information about the relevant fisheries;</w:t>
      </w:r>
    </w:p>
    <w:p w14:paraId="6C28BCE4" w14:textId="60EBF7A0" w:rsidR="003C68C4" w:rsidRPr="00E62117" w:rsidRDefault="00714841" w:rsidP="0058740E">
      <w:pPr>
        <w:pStyle w:val="ADBullet1"/>
        <w:rPr>
          <w:lang w:eastAsia="en-AU"/>
        </w:rPr>
      </w:pPr>
      <w:r>
        <w:rPr>
          <w:lang w:eastAsia="en-AU"/>
        </w:rPr>
        <w:t xml:space="preserve">The results from the </w:t>
      </w:r>
      <w:r w:rsidR="002712B3">
        <w:rPr>
          <w:lang w:eastAsia="en-AU"/>
        </w:rPr>
        <w:t>pre- and post-MSS</w:t>
      </w:r>
      <w:r w:rsidR="006E4ADC">
        <w:rPr>
          <w:lang w:eastAsia="en-AU"/>
        </w:rPr>
        <w:t xml:space="preserve"> </w:t>
      </w:r>
      <w:r w:rsidR="00CA44C5">
        <w:rPr>
          <w:lang w:eastAsia="en-AU"/>
        </w:rPr>
        <w:t>habitat</w:t>
      </w:r>
      <w:r w:rsidR="00CA44C5" w:rsidRPr="00E62117">
        <w:rPr>
          <w:lang w:eastAsia="en-AU"/>
        </w:rPr>
        <w:t xml:space="preserve"> </w:t>
      </w:r>
      <w:r w:rsidR="003C68C4" w:rsidRPr="00E62117">
        <w:rPr>
          <w:lang w:eastAsia="en-AU"/>
        </w:rPr>
        <w:t>assessments;</w:t>
      </w:r>
    </w:p>
    <w:p w14:paraId="71E359E1" w14:textId="29095007" w:rsidR="003C68C4" w:rsidRPr="00E62117" w:rsidRDefault="003C68C4" w:rsidP="0058740E">
      <w:pPr>
        <w:pStyle w:val="ADBullet1"/>
        <w:rPr>
          <w:lang w:eastAsia="en-AU"/>
        </w:rPr>
      </w:pPr>
      <w:r w:rsidRPr="00E62117">
        <w:rPr>
          <w:lang w:eastAsia="en-AU"/>
        </w:rPr>
        <w:t>The interpretation of the assessment</w:t>
      </w:r>
      <w:r w:rsidR="008A5146">
        <w:rPr>
          <w:lang w:eastAsia="en-AU"/>
        </w:rPr>
        <w:t xml:space="preserve"> results and their implications.</w:t>
      </w:r>
    </w:p>
    <w:p w14:paraId="50CC28BD" w14:textId="654FED17" w:rsidR="00BE0E18" w:rsidRDefault="004322F3" w:rsidP="0058740E">
      <w:pPr>
        <w:pStyle w:val="ADBodyText"/>
        <w:rPr>
          <w:sz w:val="16"/>
          <w:szCs w:val="16"/>
        </w:rPr>
      </w:pPr>
      <w:r>
        <w:rPr>
          <w:lang w:eastAsia="en-AU"/>
        </w:rPr>
        <w:t xml:space="preserve">The Advisory Panel comprised members from the following organisations: </w:t>
      </w:r>
    </w:p>
    <w:tbl>
      <w:tblPr>
        <w:tblStyle w:val="TableGrid"/>
        <w:tblW w:w="8931" w:type="dxa"/>
        <w:tblInd w:w="108" w:type="dxa"/>
        <w:tblLook w:val="04A0" w:firstRow="1" w:lastRow="0" w:firstColumn="1" w:lastColumn="0" w:noHBand="0" w:noVBand="1"/>
      </w:tblPr>
      <w:tblGrid>
        <w:gridCol w:w="2835"/>
        <w:gridCol w:w="6096"/>
      </w:tblGrid>
      <w:tr w:rsidR="00BE0E18" w14:paraId="54FDFE4F" w14:textId="77777777" w:rsidTr="008C7C6A">
        <w:tc>
          <w:tcPr>
            <w:tcW w:w="2835" w:type="dxa"/>
            <w:shd w:val="clear" w:color="auto" w:fill="005F83" w:themeFill="accent1"/>
          </w:tcPr>
          <w:p w14:paraId="4343CDE6" w14:textId="77777777" w:rsidR="00BE0E18" w:rsidRPr="00E95779" w:rsidRDefault="00BE0E18" w:rsidP="008F0B3C">
            <w:pPr>
              <w:spacing w:before="0" w:after="120"/>
              <w:jc w:val="center"/>
              <w:rPr>
                <w:b/>
                <w:color w:val="FFFFFF" w:themeColor="background1"/>
                <w:lang w:eastAsia="en-AU"/>
              </w:rPr>
            </w:pPr>
            <w:r w:rsidRPr="00E95779">
              <w:rPr>
                <w:b/>
                <w:color w:val="FFFFFF" w:themeColor="background1"/>
                <w:lang w:eastAsia="en-AU"/>
              </w:rPr>
              <w:t>ROLE</w:t>
            </w:r>
          </w:p>
        </w:tc>
        <w:tc>
          <w:tcPr>
            <w:tcW w:w="6096" w:type="dxa"/>
            <w:shd w:val="clear" w:color="auto" w:fill="005F83" w:themeFill="accent1"/>
          </w:tcPr>
          <w:p w14:paraId="1B3ED855" w14:textId="77777777" w:rsidR="00BE0E18" w:rsidRPr="00E95779" w:rsidRDefault="00BE0E18" w:rsidP="008F0B3C">
            <w:pPr>
              <w:spacing w:before="0" w:after="120"/>
              <w:jc w:val="center"/>
              <w:rPr>
                <w:b/>
                <w:color w:val="FFFFFF" w:themeColor="background1"/>
                <w:lang w:eastAsia="en-AU"/>
              </w:rPr>
            </w:pPr>
            <w:r w:rsidRPr="00E95779">
              <w:rPr>
                <w:b/>
                <w:color w:val="FFFFFF" w:themeColor="background1"/>
                <w:lang w:eastAsia="en-AU"/>
              </w:rPr>
              <w:t>ORGANISATION</w:t>
            </w:r>
          </w:p>
        </w:tc>
      </w:tr>
      <w:tr w:rsidR="00BE0E18" w14:paraId="6A02A8C9" w14:textId="77777777" w:rsidTr="008C7C6A">
        <w:tc>
          <w:tcPr>
            <w:tcW w:w="2835" w:type="dxa"/>
          </w:tcPr>
          <w:p w14:paraId="2F11F6D7" w14:textId="77777777" w:rsidR="00BE0E18" w:rsidRPr="00E95779" w:rsidRDefault="00BE0E18" w:rsidP="008F0B3C">
            <w:pPr>
              <w:spacing w:before="0" w:after="120"/>
              <w:rPr>
                <w:lang w:eastAsia="en-AU"/>
              </w:rPr>
            </w:pPr>
            <w:r w:rsidRPr="00E95779">
              <w:rPr>
                <w:lang w:eastAsia="en-AU"/>
              </w:rPr>
              <w:t>Co-Chair</w:t>
            </w:r>
          </w:p>
        </w:tc>
        <w:tc>
          <w:tcPr>
            <w:tcW w:w="6096" w:type="dxa"/>
          </w:tcPr>
          <w:p w14:paraId="5F375D49" w14:textId="77777777" w:rsidR="00BE0E18" w:rsidRPr="00E95779" w:rsidRDefault="00BE0E18" w:rsidP="008F0B3C">
            <w:pPr>
              <w:spacing w:before="0" w:after="120"/>
              <w:rPr>
                <w:lang w:eastAsia="en-AU"/>
              </w:rPr>
            </w:pPr>
            <w:r w:rsidRPr="00E95779">
              <w:rPr>
                <w:lang w:eastAsia="en-AU"/>
              </w:rPr>
              <w:t>IC Independent Consulting</w:t>
            </w:r>
          </w:p>
        </w:tc>
      </w:tr>
      <w:tr w:rsidR="00BE0E18" w14:paraId="5F6F9664" w14:textId="77777777" w:rsidTr="008C7C6A">
        <w:tc>
          <w:tcPr>
            <w:tcW w:w="2835" w:type="dxa"/>
          </w:tcPr>
          <w:p w14:paraId="03121D1C" w14:textId="77777777" w:rsidR="00BE0E18" w:rsidRPr="00E95779" w:rsidRDefault="00BE0E18" w:rsidP="008F0B3C">
            <w:pPr>
              <w:spacing w:before="0" w:after="120"/>
              <w:rPr>
                <w:lang w:eastAsia="en-AU"/>
              </w:rPr>
            </w:pPr>
            <w:r w:rsidRPr="00E95779">
              <w:rPr>
                <w:lang w:eastAsia="en-AU"/>
              </w:rPr>
              <w:t>Co-Chair</w:t>
            </w:r>
          </w:p>
        </w:tc>
        <w:tc>
          <w:tcPr>
            <w:tcW w:w="6096" w:type="dxa"/>
          </w:tcPr>
          <w:p w14:paraId="68F378D6" w14:textId="6B6929A2" w:rsidR="00BE0E18" w:rsidRPr="00E95779" w:rsidRDefault="00BE0E18" w:rsidP="008F0B3C">
            <w:pPr>
              <w:spacing w:before="0" w:after="120"/>
              <w:rPr>
                <w:lang w:eastAsia="en-AU"/>
              </w:rPr>
            </w:pPr>
            <w:r w:rsidRPr="00E95779">
              <w:rPr>
                <w:lang w:eastAsia="en-AU"/>
              </w:rPr>
              <w:t>Victoria</w:t>
            </w:r>
            <w:r w:rsidR="00CA44C5">
              <w:rPr>
                <w:lang w:eastAsia="en-AU"/>
              </w:rPr>
              <w:t>n</w:t>
            </w:r>
            <w:r w:rsidRPr="00E95779">
              <w:rPr>
                <w:lang w:eastAsia="en-AU"/>
              </w:rPr>
              <w:t xml:space="preserve"> Department of Environment, Land, Water and Planning</w:t>
            </w:r>
          </w:p>
        </w:tc>
      </w:tr>
      <w:tr w:rsidR="00BE0E18" w14:paraId="3C39D4D7" w14:textId="77777777" w:rsidTr="008C7C6A">
        <w:tc>
          <w:tcPr>
            <w:tcW w:w="2835" w:type="dxa"/>
          </w:tcPr>
          <w:p w14:paraId="56E95358" w14:textId="77777777" w:rsidR="00BE0E18" w:rsidRPr="00E95779" w:rsidRDefault="00BE0E18" w:rsidP="008F0B3C">
            <w:pPr>
              <w:spacing w:before="0" w:after="120"/>
              <w:rPr>
                <w:lang w:eastAsia="en-AU"/>
              </w:rPr>
            </w:pPr>
            <w:r w:rsidRPr="00E95779">
              <w:rPr>
                <w:lang w:eastAsia="en-AU"/>
              </w:rPr>
              <w:t>Member</w:t>
            </w:r>
          </w:p>
        </w:tc>
        <w:tc>
          <w:tcPr>
            <w:tcW w:w="6096" w:type="dxa"/>
          </w:tcPr>
          <w:p w14:paraId="502F28B7" w14:textId="77777777" w:rsidR="00BE0E18" w:rsidRPr="00E95779" w:rsidRDefault="00BE0E18" w:rsidP="008F0B3C">
            <w:pPr>
              <w:spacing w:before="0" w:after="120"/>
              <w:rPr>
                <w:lang w:eastAsia="en-AU"/>
              </w:rPr>
            </w:pPr>
            <w:r w:rsidRPr="00E95779">
              <w:rPr>
                <w:lang w:eastAsia="en-AU"/>
              </w:rPr>
              <w:t>Seafood Industry Victoria</w:t>
            </w:r>
          </w:p>
        </w:tc>
      </w:tr>
      <w:tr w:rsidR="00BE0E18" w14:paraId="310394D8" w14:textId="77777777" w:rsidTr="008C7C6A">
        <w:tc>
          <w:tcPr>
            <w:tcW w:w="2835" w:type="dxa"/>
          </w:tcPr>
          <w:p w14:paraId="11A70636" w14:textId="77777777" w:rsidR="00BE0E18" w:rsidRPr="00E95779" w:rsidRDefault="00BE0E18" w:rsidP="008F0B3C">
            <w:pPr>
              <w:spacing w:before="0" w:after="120"/>
              <w:rPr>
                <w:lang w:eastAsia="en-AU"/>
              </w:rPr>
            </w:pPr>
            <w:r w:rsidRPr="00E95779">
              <w:rPr>
                <w:lang w:eastAsia="en-AU"/>
              </w:rPr>
              <w:t>Member</w:t>
            </w:r>
          </w:p>
        </w:tc>
        <w:tc>
          <w:tcPr>
            <w:tcW w:w="6096" w:type="dxa"/>
          </w:tcPr>
          <w:p w14:paraId="4FA611BE" w14:textId="77777777" w:rsidR="00BE0E18" w:rsidRPr="00E95779" w:rsidRDefault="00BE0E18" w:rsidP="008F0B3C">
            <w:pPr>
              <w:spacing w:before="0" w:after="120"/>
              <w:rPr>
                <w:lang w:eastAsia="en-AU"/>
              </w:rPr>
            </w:pPr>
            <w:r w:rsidRPr="00E95779">
              <w:rPr>
                <w:lang w:eastAsia="en-AU"/>
              </w:rPr>
              <w:t>Seafood Industry Victoria</w:t>
            </w:r>
          </w:p>
        </w:tc>
      </w:tr>
      <w:tr w:rsidR="00BE0E18" w14:paraId="61C21BC4" w14:textId="77777777" w:rsidTr="008C7C6A">
        <w:tc>
          <w:tcPr>
            <w:tcW w:w="2835" w:type="dxa"/>
          </w:tcPr>
          <w:p w14:paraId="7171EEBE" w14:textId="77777777" w:rsidR="00BE0E18" w:rsidRPr="00E95779" w:rsidRDefault="00BE0E18" w:rsidP="008F0B3C">
            <w:pPr>
              <w:spacing w:before="0" w:after="120"/>
              <w:rPr>
                <w:lang w:eastAsia="en-AU"/>
              </w:rPr>
            </w:pPr>
            <w:r w:rsidRPr="00E95779">
              <w:rPr>
                <w:lang w:eastAsia="en-AU"/>
              </w:rPr>
              <w:t>Member</w:t>
            </w:r>
          </w:p>
        </w:tc>
        <w:tc>
          <w:tcPr>
            <w:tcW w:w="6096" w:type="dxa"/>
          </w:tcPr>
          <w:p w14:paraId="3AE0EBC8" w14:textId="77777777" w:rsidR="00BE0E18" w:rsidRPr="00E95779" w:rsidRDefault="00BE0E18" w:rsidP="008F0B3C">
            <w:pPr>
              <w:spacing w:before="0" w:after="120"/>
              <w:rPr>
                <w:lang w:eastAsia="en-AU"/>
              </w:rPr>
            </w:pPr>
            <w:r w:rsidRPr="00E95779">
              <w:rPr>
                <w:lang w:eastAsia="en-AU"/>
              </w:rPr>
              <w:t>Seafood Industry Victoria</w:t>
            </w:r>
          </w:p>
        </w:tc>
      </w:tr>
      <w:tr w:rsidR="00BE0E18" w14:paraId="78DD905A" w14:textId="77777777" w:rsidTr="008C7C6A">
        <w:tc>
          <w:tcPr>
            <w:tcW w:w="2835" w:type="dxa"/>
          </w:tcPr>
          <w:p w14:paraId="6EB00C4F" w14:textId="77777777" w:rsidR="00BE0E18" w:rsidRPr="00E95779" w:rsidRDefault="00BE0E18" w:rsidP="008F0B3C">
            <w:pPr>
              <w:spacing w:before="0" w:after="120"/>
              <w:rPr>
                <w:lang w:eastAsia="en-AU"/>
              </w:rPr>
            </w:pPr>
            <w:r w:rsidRPr="00E95779">
              <w:rPr>
                <w:lang w:eastAsia="en-AU"/>
              </w:rPr>
              <w:t>Member</w:t>
            </w:r>
          </w:p>
        </w:tc>
        <w:tc>
          <w:tcPr>
            <w:tcW w:w="6096" w:type="dxa"/>
          </w:tcPr>
          <w:p w14:paraId="72D5384B" w14:textId="77777777" w:rsidR="00BE0E18" w:rsidRPr="00E95779" w:rsidRDefault="00BE0E18" w:rsidP="008F0B3C">
            <w:pPr>
              <w:spacing w:before="0" w:after="120"/>
              <w:rPr>
                <w:lang w:eastAsia="en-AU"/>
              </w:rPr>
            </w:pPr>
            <w:r w:rsidRPr="00E95779">
              <w:rPr>
                <w:lang w:eastAsia="en-AU"/>
              </w:rPr>
              <w:t>Victorian Fisheries Authority</w:t>
            </w:r>
          </w:p>
        </w:tc>
      </w:tr>
      <w:tr w:rsidR="00BE0E18" w14:paraId="6F0FFAD1" w14:textId="77777777" w:rsidTr="008C7C6A">
        <w:tc>
          <w:tcPr>
            <w:tcW w:w="2835" w:type="dxa"/>
          </w:tcPr>
          <w:p w14:paraId="66F7B751" w14:textId="77777777" w:rsidR="00BE0E18" w:rsidRPr="00E95779" w:rsidRDefault="00BE0E18" w:rsidP="008F0B3C">
            <w:pPr>
              <w:spacing w:before="0" w:after="120"/>
              <w:rPr>
                <w:lang w:eastAsia="en-AU"/>
              </w:rPr>
            </w:pPr>
            <w:r w:rsidRPr="00E95779">
              <w:rPr>
                <w:lang w:eastAsia="en-AU"/>
              </w:rPr>
              <w:t>Support for Co-Chair</w:t>
            </w:r>
          </w:p>
        </w:tc>
        <w:tc>
          <w:tcPr>
            <w:tcW w:w="6096" w:type="dxa"/>
          </w:tcPr>
          <w:p w14:paraId="48408A8C" w14:textId="77777777" w:rsidR="00BE0E18" w:rsidRPr="00E95779" w:rsidRDefault="00BE0E18" w:rsidP="008F0B3C">
            <w:pPr>
              <w:spacing w:before="0" w:after="120"/>
              <w:rPr>
                <w:lang w:eastAsia="en-AU"/>
              </w:rPr>
            </w:pPr>
            <w:r w:rsidRPr="00E95779">
              <w:rPr>
                <w:lang w:eastAsia="en-AU"/>
              </w:rPr>
              <w:t>CSIRO Oceans and Atmosphere</w:t>
            </w:r>
          </w:p>
        </w:tc>
      </w:tr>
      <w:tr w:rsidR="00BE0E18" w14:paraId="692A001E" w14:textId="77777777" w:rsidTr="008C7C6A">
        <w:tc>
          <w:tcPr>
            <w:tcW w:w="2835" w:type="dxa"/>
          </w:tcPr>
          <w:p w14:paraId="53161B96" w14:textId="77777777" w:rsidR="00BE0E18" w:rsidRPr="00E95779" w:rsidRDefault="00BE0E18" w:rsidP="008F0B3C">
            <w:pPr>
              <w:spacing w:before="0" w:after="120"/>
              <w:rPr>
                <w:lang w:eastAsia="en-AU"/>
              </w:rPr>
            </w:pPr>
            <w:r w:rsidRPr="00E95779">
              <w:rPr>
                <w:lang w:eastAsia="en-AU"/>
              </w:rPr>
              <w:t>Support for Co-Chair</w:t>
            </w:r>
          </w:p>
        </w:tc>
        <w:tc>
          <w:tcPr>
            <w:tcW w:w="6096" w:type="dxa"/>
          </w:tcPr>
          <w:p w14:paraId="122D267B" w14:textId="77777777" w:rsidR="00BE0E18" w:rsidRPr="00E95779" w:rsidRDefault="00BE0E18" w:rsidP="008F0B3C">
            <w:pPr>
              <w:spacing w:before="0" w:after="120"/>
              <w:rPr>
                <w:lang w:eastAsia="en-AU"/>
              </w:rPr>
            </w:pPr>
            <w:r w:rsidRPr="00E95779">
              <w:rPr>
                <w:lang w:eastAsia="en-AU"/>
              </w:rPr>
              <w:t>Geoscience Australia</w:t>
            </w:r>
          </w:p>
        </w:tc>
      </w:tr>
      <w:tr w:rsidR="00BE0E18" w14:paraId="43E8AF97" w14:textId="77777777" w:rsidTr="008C7C6A">
        <w:tc>
          <w:tcPr>
            <w:tcW w:w="2835" w:type="dxa"/>
          </w:tcPr>
          <w:p w14:paraId="0B536B06" w14:textId="77777777" w:rsidR="00BE0E18" w:rsidRPr="00E95779" w:rsidRDefault="00BE0E18" w:rsidP="008F0B3C">
            <w:pPr>
              <w:spacing w:before="0" w:after="120"/>
              <w:rPr>
                <w:lang w:eastAsia="en-AU"/>
              </w:rPr>
            </w:pPr>
            <w:r w:rsidRPr="00E95779">
              <w:rPr>
                <w:lang w:eastAsia="en-AU"/>
              </w:rPr>
              <w:t>Secretariat</w:t>
            </w:r>
          </w:p>
        </w:tc>
        <w:tc>
          <w:tcPr>
            <w:tcW w:w="6096" w:type="dxa"/>
          </w:tcPr>
          <w:p w14:paraId="1A3D7CC7" w14:textId="77777777" w:rsidR="00BE0E18" w:rsidRPr="00E95779" w:rsidRDefault="00BE0E18" w:rsidP="008F0B3C">
            <w:pPr>
              <w:spacing w:before="0" w:after="120"/>
              <w:rPr>
                <w:lang w:eastAsia="en-AU"/>
              </w:rPr>
            </w:pPr>
            <w:r w:rsidRPr="00E95779">
              <w:rPr>
                <w:lang w:eastAsia="en-AU"/>
              </w:rPr>
              <w:t>CarbonNet</w:t>
            </w:r>
          </w:p>
        </w:tc>
      </w:tr>
    </w:tbl>
    <w:p w14:paraId="0E0F238D" w14:textId="545D1142" w:rsidR="00BD309D" w:rsidRDefault="005D47BC" w:rsidP="00BD309D">
      <w:pPr>
        <w:pStyle w:val="ADBodyText"/>
        <w:rPr>
          <w:lang w:eastAsia="en-AU"/>
        </w:rPr>
      </w:pPr>
      <w:r>
        <w:rPr>
          <w:lang w:eastAsia="en-AU"/>
        </w:rPr>
        <w:t xml:space="preserve">The Advisory Panel </w:t>
      </w:r>
      <w:r w:rsidR="0001181C">
        <w:rPr>
          <w:lang w:eastAsia="en-AU"/>
        </w:rPr>
        <w:t xml:space="preserve">read and absorbed a great deal of material and </w:t>
      </w:r>
      <w:r>
        <w:rPr>
          <w:lang w:eastAsia="en-AU"/>
        </w:rPr>
        <w:t xml:space="preserve">conducted eight meetings </w:t>
      </w:r>
      <w:r w:rsidR="00CA44C5">
        <w:rPr>
          <w:lang w:eastAsia="en-AU"/>
        </w:rPr>
        <w:t>between</w:t>
      </w:r>
      <w:r>
        <w:rPr>
          <w:lang w:eastAsia="en-AU"/>
        </w:rPr>
        <w:t xml:space="preserve"> December 2017 to November 2018 to discuss, review, and make recommendations regarding the </w:t>
      </w:r>
      <w:r w:rsidR="00E65587">
        <w:rPr>
          <w:lang w:eastAsia="en-AU"/>
        </w:rPr>
        <w:t xml:space="preserve">planning and </w:t>
      </w:r>
      <w:r w:rsidR="00CA44C5">
        <w:rPr>
          <w:lang w:eastAsia="en-AU"/>
        </w:rPr>
        <w:t xml:space="preserve">the </w:t>
      </w:r>
      <w:r w:rsidR="00E65587">
        <w:rPr>
          <w:lang w:eastAsia="en-AU"/>
        </w:rPr>
        <w:t xml:space="preserve">results of the </w:t>
      </w:r>
      <w:r>
        <w:rPr>
          <w:lang w:eastAsia="en-AU"/>
        </w:rPr>
        <w:t>pre</w:t>
      </w:r>
      <w:r w:rsidR="0099192B">
        <w:rPr>
          <w:lang w:eastAsia="en-AU"/>
        </w:rPr>
        <w:t>-</w:t>
      </w:r>
      <w:r>
        <w:rPr>
          <w:lang w:eastAsia="en-AU"/>
        </w:rPr>
        <w:t xml:space="preserve"> and post</w:t>
      </w:r>
      <w:r w:rsidR="0099192B">
        <w:rPr>
          <w:lang w:eastAsia="en-AU"/>
        </w:rPr>
        <w:t>-</w:t>
      </w:r>
      <w:r>
        <w:rPr>
          <w:lang w:eastAsia="en-AU"/>
        </w:rPr>
        <w:t xml:space="preserve">MSS </w:t>
      </w:r>
      <w:r w:rsidR="0099192B">
        <w:rPr>
          <w:lang w:eastAsia="en-AU"/>
        </w:rPr>
        <w:t xml:space="preserve">environmental </w:t>
      </w:r>
      <w:r>
        <w:rPr>
          <w:lang w:eastAsia="en-AU"/>
        </w:rPr>
        <w:t xml:space="preserve">assessments. </w:t>
      </w:r>
      <w:r w:rsidR="00A12609" w:rsidRPr="00916133">
        <w:rPr>
          <w:lang w:eastAsia="en-AU"/>
        </w:rPr>
        <w:t xml:space="preserve">Prior to </w:t>
      </w:r>
      <w:r w:rsidR="00FC27A1">
        <w:rPr>
          <w:lang w:eastAsia="en-AU"/>
        </w:rPr>
        <w:t>undertaking</w:t>
      </w:r>
      <w:r w:rsidR="00A12609">
        <w:rPr>
          <w:lang w:eastAsia="en-AU"/>
        </w:rPr>
        <w:t xml:space="preserve"> the pre-MSS assessment</w:t>
      </w:r>
      <w:r w:rsidR="00A12609" w:rsidRPr="00916133">
        <w:rPr>
          <w:lang w:eastAsia="en-AU"/>
        </w:rPr>
        <w:t xml:space="preserve">, the </w:t>
      </w:r>
      <w:r w:rsidR="00FC27A1">
        <w:rPr>
          <w:lang w:eastAsia="en-AU"/>
        </w:rPr>
        <w:t xml:space="preserve">methodology for conducting the assessments </w:t>
      </w:r>
      <w:r w:rsidR="000D27D1">
        <w:rPr>
          <w:lang w:eastAsia="en-AU"/>
        </w:rPr>
        <w:t xml:space="preserve">for each of the </w:t>
      </w:r>
      <w:r w:rsidR="00A12609">
        <w:rPr>
          <w:lang w:eastAsia="en-AU"/>
        </w:rPr>
        <w:t xml:space="preserve">four </w:t>
      </w:r>
      <w:r w:rsidR="00CC1495">
        <w:rPr>
          <w:lang w:eastAsia="en-AU"/>
        </w:rPr>
        <w:t xml:space="preserve">biological </w:t>
      </w:r>
      <w:r w:rsidR="00A12609">
        <w:rPr>
          <w:lang w:eastAsia="en-AU"/>
        </w:rPr>
        <w:t xml:space="preserve">receptors </w:t>
      </w:r>
      <w:r w:rsidR="00A12609" w:rsidRPr="00916133">
        <w:rPr>
          <w:lang w:eastAsia="en-AU"/>
        </w:rPr>
        <w:t>w</w:t>
      </w:r>
      <w:r w:rsidR="00BD309D">
        <w:rPr>
          <w:lang w:eastAsia="en-AU"/>
        </w:rPr>
        <w:t>as</w:t>
      </w:r>
      <w:r w:rsidR="00A12609" w:rsidRPr="00916133">
        <w:rPr>
          <w:lang w:eastAsia="en-AU"/>
        </w:rPr>
        <w:t xml:space="preserve"> reviewed</w:t>
      </w:r>
      <w:r w:rsidR="0001181C">
        <w:rPr>
          <w:lang w:eastAsia="en-AU"/>
        </w:rPr>
        <w:t xml:space="preserve">, modified where appropriate and </w:t>
      </w:r>
      <w:r w:rsidR="00A12609" w:rsidRPr="00916133">
        <w:rPr>
          <w:lang w:eastAsia="en-AU"/>
        </w:rPr>
        <w:t xml:space="preserve">endorsed by </w:t>
      </w:r>
      <w:r w:rsidR="00A12609">
        <w:rPr>
          <w:lang w:eastAsia="en-AU"/>
        </w:rPr>
        <w:t>the Advisory Panel.</w:t>
      </w:r>
      <w:r w:rsidR="002712B3">
        <w:rPr>
          <w:lang w:eastAsia="en-AU"/>
        </w:rPr>
        <w:t xml:space="preserve"> </w:t>
      </w:r>
      <w:r w:rsidR="00BD309D" w:rsidRPr="00916133">
        <w:rPr>
          <w:lang w:eastAsia="en-AU"/>
        </w:rPr>
        <w:t xml:space="preserve">Monitoring sites were selected </w:t>
      </w:r>
      <w:r w:rsidR="004322F3" w:rsidRPr="00916133">
        <w:rPr>
          <w:lang w:eastAsia="en-AU"/>
        </w:rPr>
        <w:t xml:space="preserve">for each receptor </w:t>
      </w:r>
      <w:r w:rsidR="00BD309D" w:rsidRPr="00916133">
        <w:rPr>
          <w:lang w:eastAsia="en-AU"/>
        </w:rPr>
        <w:t>within the MSS acquisition area a</w:t>
      </w:r>
      <w:r w:rsidR="00BD309D">
        <w:rPr>
          <w:lang w:eastAsia="en-AU"/>
        </w:rPr>
        <w:t>nd surrounds (</w:t>
      </w:r>
      <w:r w:rsidR="0001181C">
        <w:rPr>
          <w:lang w:eastAsia="en-AU"/>
        </w:rPr>
        <w:t xml:space="preserve">the latter as </w:t>
      </w:r>
      <w:r w:rsidR="00BD309D">
        <w:rPr>
          <w:lang w:eastAsia="en-AU"/>
        </w:rPr>
        <w:t>reference sites).</w:t>
      </w:r>
      <w:r w:rsidR="002712B3">
        <w:rPr>
          <w:lang w:eastAsia="en-AU"/>
        </w:rPr>
        <w:t xml:space="preserve"> </w:t>
      </w:r>
      <w:r w:rsidR="00BD309D" w:rsidRPr="00916133">
        <w:rPr>
          <w:lang w:eastAsia="en-AU"/>
        </w:rPr>
        <w:t>Underwater sound transmission loss modelling guided the positioning of the reference sites, the requirement being that they had to be in comparable habitat</w:t>
      </w:r>
      <w:r w:rsidR="005437F0">
        <w:rPr>
          <w:lang w:eastAsia="en-AU"/>
        </w:rPr>
        <w:t>,</w:t>
      </w:r>
      <w:r w:rsidR="00BD309D" w:rsidRPr="00916133">
        <w:rPr>
          <w:lang w:eastAsia="en-AU"/>
        </w:rPr>
        <w:t xml:space="preserve"> but far enough away from the s</w:t>
      </w:r>
      <w:r w:rsidR="00BD309D">
        <w:rPr>
          <w:lang w:eastAsia="en-AU"/>
        </w:rPr>
        <w:t xml:space="preserve">ound source not to be impacted. </w:t>
      </w:r>
      <w:r w:rsidR="00BD309D" w:rsidRPr="00916133">
        <w:rPr>
          <w:lang w:eastAsia="en-AU"/>
        </w:rPr>
        <w:t>These distances were verified after the MSS using the underwater sound monitoring informatio</w:t>
      </w:r>
      <w:r w:rsidR="00BD309D">
        <w:rPr>
          <w:lang w:eastAsia="en-AU"/>
        </w:rPr>
        <w:t xml:space="preserve">n collected during the </w:t>
      </w:r>
      <w:r w:rsidR="00CA44C5">
        <w:rPr>
          <w:lang w:eastAsia="en-AU"/>
        </w:rPr>
        <w:t>MSS</w:t>
      </w:r>
      <w:r w:rsidR="00BD309D">
        <w:rPr>
          <w:lang w:eastAsia="en-AU"/>
        </w:rPr>
        <w:t>.</w:t>
      </w:r>
    </w:p>
    <w:p w14:paraId="58125B37" w14:textId="285DA4EE" w:rsidR="00AE6CD0" w:rsidRDefault="006B6A7E" w:rsidP="00AE6CD0">
      <w:pPr>
        <w:pStyle w:val="ADBodyText"/>
        <w:rPr>
          <w:lang w:val="en-US" w:eastAsia="en-AU"/>
        </w:rPr>
      </w:pPr>
      <w:r>
        <w:rPr>
          <w:lang w:val="en-US" w:eastAsia="en-AU"/>
        </w:rPr>
        <w:t>B</w:t>
      </w:r>
      <w:r w:rsidRPr="00BE638F">
        <w:rPr>
          <w:lang w:val="en-US" w:eastAsia="en-AU"/>
        </w:rPr>
        <w:t>est practice in environmental monitoring</w:t>
      </w:r>
      <w:r w:rsidDel="0094213C">
        <w:rPr>
          <w:lang w:eastAsia="en-AU"/>
        </w:rPr>
        <w:t xml:space="preserve"> </w:t>
      </w:r>
      <w:r>
        <w:rPr>
          <w:lang w:eastAsia="en-AU"/>
        </w:rPr>
        <w:t xml:space="preserve">was used </w:t>
      </w:r>
      <w:r>
        <w:rPr>
          <w:lang w:val="en-US" w:eastAsia="en-AU"/>
        </w:rPr>
        <w:t xml:space="preserve">by Advisian </w:t>
      </w:r>
      <w:r>
        <w:rPr>
          <w:lang w:eastAsia="en-AU"/>
        </w:rPr>
        <w:t xml:space="preserve">to develop </w:t>
      </w:r>
      <w:r w:rsidR="00CA44C5">
        <w:rPr>
          <w:lang w:eastAsia="en-AU"/>
        </w:rPr>
        <w:t>a suitable</w:t>
      </w:r>
      <w:r w:rsidR="00CA44C5">
        <w:rPr>
          <w:lang w:val="en-US" w:eastAsia="en-AU"/>
        </w:rPr>
        <w:t xml:space="preserve"> </w:t>
      </w:r>
      <w:r>
        <w:rPr>
          <w:lang w:val="en-US" w:eastAsia="en-AU"/>
        </w:rPr>
        <w:t xml:space="preserve">methodology </w:t>
      </w:r>
      <w:r w:rsidR="00EE4277">
        <w:rPr>
          <w:lang w:val="en-US" w:eastAsia="en-AU"/>
        </w:rPr>
        <w:t>whi</w:t>
      </w:r>
      <w:r>
        <w:rPr>
          <w:lang w:val="en-US" w:eastAsia="en-AU"/>
        </w:rPr>
        <w:t xml:space="preserve">ch </w:t>
      </w:r>
      <w:r w:rsidR="00F7542C">
        <w:rPr>
          <w:lang w:val="en-US" w:eastAsia="en-AU"/>
        </w:rPr>
        <w:t>considered</w:t>
      </w:r>
      <w:r w:rsidR="00EE4277">
        <w:rPr>
          <w:lang w:val="en-US" w:eastAsia="en-AU"/>
        </w:rPr>
        <w:t xml:space="preserve"> </w:t>
      </w:r>
      <w:r w:rsidR="00AE6CD0" w:rsidRPr="00BE638F">
        <w:rPr>
          <w:lang w:val="en-US" w:eastAsia="en-AU"/>
        </w:rPr>
        <w:t xml:space="preserve">the limitations in what </w:t>
      </w:r>
      <w:r w:rsidR="00AE6CD0">
        <w:rPr>
          <w:lang w:val="en-US" w:eastAsia="en-AU"/>
        </w:rPr>
        <w:t>could be</w:t>
      </w:r>
      <w:r w:rsidR="00AE6CD0" w:rsidRPr="00BE638F">
        <w:rPr>
          <w:lang w:val="en-US" w:eastAsia="en-AU"/>
        </w:rPr>
        <w:t xml:space="preserve"> achieved </w:t>
      </w:r>
      <w:r w:rsidR="00AE6CD0">
        <w:rPr>
          <w:lang w:val="en-US" w:eastAsia="en-AU"/>
        </w:rPr>
        <w:t>to ensure that the methods proposed were</w:t>
      </w:r>
      <w:r w:rsidR="00AE6CD0" w:rsidRPr="00BE638F">
        <w:rPr>
          <w:lang w:val="en-US" w:eastAsia="en-AU"/>
        </w:rPr>
        <w:t xml:space="preserve"> both cost effective and scientifically meaningful. </w:t>
      </w:r>
      <w:r>
        <w:rPr>
          <w:lang w:val="en-US" w:eastAsia="en-AU"/>
        </w:rPr>
        <w:t>The timing of the assessments was informed by current scientific literature and recommendations made by the Advisory Panel.</w:t>
      </w:r>
    </w:p>
    <w:p w14:paraId="2A038A97" w14:textId="40387F0D" w:rsidR="00EE4277" w:rsidRDefault="00916133" w:rsidP="0058740E">
      <w:pPr>
        <w:pStyle w:val="ADBodyText"/>
        <w:rPr>
          <w:rFonts w:ascii="SegoeUI" w:eastAsiaTheme="minorHAnsi" w:hAnsi="SegoeUI" w:cs="SegoeUI"/>
          <w:szCs w:val="20"/>
          <w:lang w:eastAsia="en-US"/>
        </w:rPr>
      </w:pPr>
      <w:r w:rsidRPr="00916133">
        <w:rPr>
          <w:lang w:eastAsia="en-AU"/>
        </w:rPr>
        <w:t>Field activities for the pre-MSS habitat assessments were carried out between the</w:t>
      </w:r>
      <w:r w:rsidR="00A12609">
        <w:rPr>
          <w:lang w:eastAsia="en-AU"/>
        </w:rPr>
        <w:t xml:space="preserve"> 15th and 26th of January 2018. </w:t>
      </w:r>
      <w:r w:rsidRPr="00916133">
        <w:rPr>
          <w:lang w:eastAsia="en-AU"/>
        </w:rPr>
        <w:t xml:space="preserve">Post-MSS </w:t>
      </w:r>
      <w:r w:rsidR="00CA44C5">
        <w:rPr>
          <w:lang w:eastAsia="en-AU"/>
        </w:rPr>
        <w:t>habitat</w:t>
      </w:r>
      <w:r w:rsidR="00CA44C5" w:rsidRPr="00916133">
        <w:rPr>
          <w:lang w:eastAsia="en-AU"/>
        </w:rPr>
        <w:t xml:space="preserve"> </w:t>
      </w:r>
      <w:r w:rsidRPr="00916133">
        <w:rPr>
          <w:lang w:eastAsia="en-AU"/>
        </w:rPr>
        <w:t xml:space="preserve">assessments were carried out in a staged approach with zooplankton assessments completed on the 26th of February (within 3 days of the final MSS acquisition line), </w:t>
      </w:r>
      <w:r w:rsidR="001D0E7D">
        <w:rPr>
          <w:lang w:eastAsia="en-AU"/>
        </w:rPr>
        <w:t>finfish</w:t>
      </w:r>
      <w:r w:rsidRPr="00916133">
        <w:rPr>
          <w:lang w:eastAsia="en-AU"/>
        </w:rPr>
        <w:t xml:space="preserve"> and rock lobster assessments </w:t>
      </w:r>
      <w:r w:rsidR="00CA44C5">
        <w:rPr>
          <w:lang w:eastAsia="en-AU"/>
        </w:rPr>
        <w:t xml:space="preserve">completed </w:t>
      </w:r>
      <w:r w:rsidRPr="00916133">
        <w:rPr>
          <w:lang w:eastAsia="en-AU"/>
        </w:rPr>
        <w:t xml:space="preserve">between the 10th and 12th of </w:t>
      </w:r>
      <w:r w:rsidRPr="00916133">
        <w:rPr>
          <w:lang w:eastAsia="en-AU"/>
        </w:rPr>
        <w:lastRenderedPageBreak/>
        <w:t>July</w:t>
      </w:r>
      <w:r w:rsidR="00D46311">
        <w:rPr>
          <w:lang w:eastAsia="en-AU"/>
        </w:rPr>
        <w:t>,</w:t>
      </w:r>
      <w:r w:rsidRPr="00916133">
        <w:rPr>
          <w:lang w:eastAsia="en-AU"/>
        </w:rPr>
        <w:t xml:space="preserve"> and scallop assessments completed between the 22nd and 23rd of August</w:t>
      </w:r>
      <w:r w:rsidR="001D0E7D">
        <w:rPr>
          <w:lang w:eastAsia="en-AU"/>
        </w:rPr>
        <w:t xml:space="preserve"> 2018</w:t>
      </w:r>
      <w:r w:rsidRPr="00916133">
        <w:rPr>
          <w:lang w:eastAsia="en-AU"/>
        </w:rPr>
        <w:t xml:space="preserve">. </w:t>
      </w:r>
      <w:r w:rsidR="00EE4277">
        <w:rPr>
          <w:rFonts w:ascii="SegoeUI" w:eastAsiaTheme="minorHAnsi" w:hAnsi="SegoeUI" w:cs="SegoeUI"/>
          <w:szCs w:val="20"/>
          <w:lang w:eastAsia="en-US"/>
        </w:rPr>
        <w:t>The assessments were conducted in a non-invasive manner, with only the monitoring of plankton requiring the permanent removal of marine species</w:t>
      </w:r>
      <w:r w:rsidR="00CA44C5">
        <w:rPr>
          <w:rFonts w:ascii="SegoeUI" w:eastAsiaTheme="minorHAnsi" w:hAnsi="SegoeUI" w:cs="SegoeUI"/>
          <w:szCs w:val="20"/>
          <w:lang w:eastAsia="en-US"/>
        </w:rPr>
        <w:t>.</w:t>
      </w:r>
      <w:r w:rsidR="00EE4277">
        <w:rPr>
          <w:rFonts w:ascii="SegoeUI" w:eastAsiaTheme="minorHAnsi" w:hAnsi="SegoeUI" w:cs="SegoeUI"/>
          <w:szCs w:val="20"/>
          <w:lang w:eastAsia="en-US"/>
        </w:rPr>
        <w:t xml:space="preserve"> </w:t>
      </w:r>
    </w:p>
    <w:p w14:paraId="63C28B7E" w14:textId="3DEAC516" w:rsidR="00CA44C5" w:rsidRPr="005B1566" w:rsidRDefault="00CA44C5" w:rsidP="00CA44C5">
      <w:pPr>
        <w:pStyle w:val="ADBodyText"/>
        <w:rPr>
          <w:lang w:val="en-US" w:eastAsia="en-AU"/>
        </w:rPr>
      </w:pPr>
      <w:r>
        <w:rPr>
          <w:lang w:val="en-US" w:eastAsia="en-AU"/>
        </w:rPr>
        <w:t xml:space="preserve">Underwater sound measurements carried out between 31 January and 6 February 2018 using sound and particle motion recorders placed on the </w:t>
      </w:r>
      <w:r w:rsidR="00D00650">
        <w:rPr>
          <w:lang w:val="en-US" w:eastAsia="en-AU"/>
        </w:rPr>
        <w:t xml:space="preserve">seafloor confirmed </w:t>
      </w:r>
      <w:r>
        <w:rPr>
          <w:lang w:val="en-US" w:eastAsia="en-AU"/>
        </w:rPr>
        <w:t xml:space="preserve">that measured sound levels were less than those predicted by the modelling. </w:t>
      </w:r>
    </w:p>
    <w:p w14:paraId="506694C7" w14:textId="68FA3EDD" w:rsidR="00D14252" w:rsidRPr="00916133" w:rsidRDefault="00D14252" w:rsidP="00D14252">
      <w:pPr>
        <w:pStyle w:val="ADBodyText"/>
        <w:rPr>
          <w:lang w:eastAsia="en-AU"/>
        </w:rPr>
      </w:pPr>
      <w:r>
        <w:rPr>
          <w:lang w:eastAsia="en-AU"/>
        </w:rPr>
        <w:t>Overall, no impact was observed that could be attributed to the MSS.</w:t>
      </w:r>
      <w:r w:rsidR="002712B3">
        <w:rPr>
          <w:lang w:eastAsia="en-AU"/>
        </w:rPr>
        <w:t xml:space="preserve"> </w:t>
      </w:r>
      <w:r w:rsidR="00926B64">
        <w:rPr>
          <w:lang w:eastAsia="en-AU"/>
        </w:rPr>
        <w:t>Scallop numbers were extremely low both before and after the MSS.</w:t>
      </w:r>
      <w:r w:rsidR="002712B3">
        <w:rPr>
          <w:lang w:eastAsia="en-AU"/>
        </w:rPr>
        <w:t xml:space="preserve"> </w:t>
      </w:r>
      <w:r w:rsidR="00926B64">
        <w:rPr>
          <w:lang w:eastAsia="en-AU"/>
        </w:rPr>
        <w:t>Rock lobster numbers increased post the MSS</w:t>
      </w:r>
      <w:r w:rsidR="004322F3">
        <w:rPr>
          <w:lang w:eastAsia="en-AU"/>
        </w:rPr>
        <w:t>.</w:t>
      </w:r>
      <w:r w:rsidR="002712B3">
        <w:rPr>
          <w:lang w:eastAsia="en-AU"/>
        </w:rPr>
        <w:t xml:space="preserve"> </w:t>
      </w:r>
      <w:r w:rsidR="00926B64">
        <w:rPr>
          <w:lang w:eastAsia="en-AU"/>
        </w:rPr>
        <w:t xml:space="preserve">Results from fish and zooplankton were highly variable with both </w:t>
      </w:r>
      <w:r w:rsidR="00384E0C">
        <w:rPr>
          <w:lang w:eastAsia="en-AU"/>
        </w:rPr>
        <w:t>pre – and post–MSS</w:t>
      </w:r>
      <w:r w:rsidR="00926B64">
        <w:rPr>
          <w:lang w:eastAsia="en-AU"/>
        </w:rPr>
        <w:t xml:space="preserve"> samples considered typical of a healthy temperate marine ecosystem.</w:t>
      </w:r>
      <w:r w:rsidR="002712B3">
        <w:rPr>
          <w:lang w:eastAsia="en-AU"/>
        </w:rPr>
        <w:t xml:space="preserve"> </w:t>
      </w:r>
      <w:r w:rsidR="00926B64">
        <w:rPr>
          <w:lang w:eastAsia="en-AU"/>
        </w:rPr>
        <w:t xml:space="preserve">A more detailed summary for each biological </w:t>
      </w:r>
      <w:r w:rsidR="0001181C">
        <w:rPr>
          <w:lang w:eastAsia="en-AU"/>
        </w:rPr>
        <w:t xml:space="preserve">entity </w:t>
      </w:r>
      <w:r w:rsidR="00926B64">
        <w:rPr>
          <w:lang w:eastAsia="en-AU"/>
        </w:rPr>
        <w:t>is provided below.</w:t>
      </w:r>
    </w:p>
    <w:p w14:paraId="0C912D83" w14:textId="77777777" w:rsidR="00916133" w:rsidRPr="00A12609" w:rsidRDefault="00916133" w:rsidP="00916133">
      <w:pPr>
        <w:pStyle w:val="ADBodyText"/>
        <w:rPr>
          <w:b/>
          <w:lang w:eastAsia="en-AU"/>
        </w:rPr>
      </w:pPr>
      <w:r w:rsidRPr="00A12609">
        <w:rPr>
          <w:b/>
          <w:lang w:eastAsia="en-AU"/>
        </w:rPr>
        <w:t>Scallops</w:t>
      </w:r>
    </w:p>
    <w:p w14:paraId="388BA17A" w14:textId="2E9F0D9E" w:rsidR="00916133" w:rsidRPr="00916133" w:rsidRDefault="00916133" w:rsidP="00916133">
      <w:pPr>
        <w:pStyle w:val="ADBodyText"/>
        <w:rPr>
          <w:lang w:eastAsia="en-AU"/>
        </w:rPr>
      </w:pPr>
      <w:r w:rsidRPr="00916133">
        <w:rPr>
          <w:lang w:eastAsia="en-AU"/>
        </w:rPr>
        <w:t xml:space="preserve">For the scallop assessment, 36 sites were monitored, including: 16 sites within the acquisition area; nine reference sites </w:t>
      </w:r>
      <w:r w:rsidR="00A12609">
        <w:rPr>
          <w:lang w:eastAsia="en-AU"/>
        </w:rPr>
        <w:t>within</w:t>
      </w:r>
      <w:r w:rsidRPr="00916133">
        <w:rPr>
          <w:lang w:eastAsia="en-AU"/>
        </w:rPr>
        <w:t xml:space="preserve"> 1.2 km </w:t>
      </w:r>
      <w:r w:rsidR="00A12609">
        <w:rPr>
          <w:lang w:eastAsia="en-AU"/>
        </w:rPr>
        <w:t>of the acquisition area</w:t>
      </w:r>
      <w:r w:rsidRPr="00916133">
        <w:rPr>
          <w:lang w:eastAsia="en-AU"/>
        </w:rPr>
        <w:t xml:space="preserve"> border; six reference sites at 10 km from the southwest and northeast boundary; and five reference sites coinciding with those from the VFA stock assessment</w:t>
      </w:r>
      <w:r w:rsidR="006B6A7E">
        <w:rPr>
          <w:lang w:eastAsia="en-AU"/>
        </w:rPr>
        <w:t xml:space="preserve"> (</w:t>
      </w:r>
      <w:r w:rsidR="004E2D35">
        <w:rPr>
          <w:lang w:eastAsia="en-AU"/>
        </w:rPr>
        <w:t xml:space="preserve">done </w:t>
      </w:r>
      <w:r w:rsidR="006B6A7E">
        <w:rPr>
          <w:lang w:eastAsia="en-AU"/>
        </w:rPr>
        <w:t>over December 2017/January 2018)</w:t>
      </w:r>
      <w:r w:rsidRPr="00916133">
        <w:rPr>
          <w:lang w:eastAsia="en-AU"/>
        </w:rPr>
        <w:t>.</w:t>
      </w:r>
      <w:r w:rsidR="002712B3">
        <w:rPr>
          <w:lang w:eastAsia="en-AU"/>
        </w:rPr>
        <w:t xml:space="preserve"> </w:t>
      </w:r>
      <w:r w:rsidRPr="00916133">
        <w:rPr>
          <w:lang w:eastAsia="en-AU"/>
        </w:rPr>
        <w:t xml:space="preserve">Eighty-one (81) towed video transects were completed pre-MSS and </w:t>
      </w:r>
      <w:r w:rsidR="004B7F7A">
        <w:rPr>
          <w:lang w:eastAsia="en-AU"/>
        </w:rPr>
        <w:t>64 were</w:t>
      </w:r>
      <w:r w:rsidRPr="00916133">
        <w:rPr>
          <w:lang w:eastAsia="en-AU"/>
        </w:rPr>
        <w:t xml:space="preserve"> completed post</w:t>
      </w:r>
      <w:r w:rsidR="004B7F7A">
        <w:rPr>
          <w:lang w:eastAsia="en-AU"/>
        </w:rPr>
        <w:t>-MSS</w:t>
      </w:r>
      <w:r w:rsidRPr="00916133">
        <w:rPr>
          <w:lang w:eastAsia="en-AU"/>
        </w:rPr>
        <w:t>.</w:t>
      </w:r>
    </w:p>
    <w:p w14:paraId="5FBEA993" w14:textId="3CA2F111" w:rsidR="00916133" w:rsidRDefault="00916133" w:rsidP="00916133">
      <w:pPr>
        <w:pStyle w:val="ADBodyText"/>
        <w:rPr>
          <w:lang w:eastAsia="en-AU"/>
        </w:rPr>
      </w:pPr>
      <w:r w:rsidRPr="00916133">
        <w:rPr>
          <w:lang w:eastAsia="en-AU"/>
        </w:rPr>
        <w:t xml:space="preserve">The key finding from this assessment was the </w:t>
      </w:r>
      <w:r w:rsidR="00D00650">
        <w:rPr>
          <w:lang w:eastAsia="en-AU"/>
        </w:rPr>
        <w:t>very low numbers</w:t>
      </w:r>
      <w:r w:rsidR="00D00650" w:rsidRPr="00916133">
        <w:rPr>
          <w:lang w:eastAsia="en-AU"/>
        </w:rPr>
        <w:t xml:space="preserve"> </w:t>
      </w:r>
      <w:r w:rsidRPr="00916133">
        <w:rPr>
          <w:lang w:eastAsia="en-AU"/>
        </w:rPr>
        <w:t xml:space="preserve">of commercial and doughboy scallops present throughout the acquisition area and surrounds (less than 10 scallops per 100 m transect). This was consistent with the VFA stock assessment which also found very low numbers inside or in </w:t>
      </w:r>
      <w:r w:rsidR="00D00650">
        <w:rPr>
          <w:lang w:eastAsia="en-AU"/>
        </w:rPr>
        <w:t>close proximity to</w:t>
      </w:r>
      <w:r w:rsidR="004B7F7A">
        <w:rPr>
          <w:lang w:eastAsia="en-AU"/>
        </w:rPr>
        <w:t xml:space="preserve"> the MSS acquisition area.</w:t>
      </w:r>
      <w:r w:rsidR="002712B3">
        <w:rPr>
          <w:lang w:eastAsia="en-AU"/>
        </w:rPr>
        <w:t xml:space="preserve"> </w:t>
      </w:r>
      <w:r w:rsidRPr="00916133">
        <w:rPr>
          <w:lang w:eastAsia="en-AU"/>
        </w:rPr>
        <w:t xml:space="preserve">Due to the low numbers, no conclusions could be drawn </w:t>
      </w:r>
      <w:r w:rsidR="008F5D1F">
        <w:rPr>
          <w:lang w:eastAsia="en-AU"/>
        </w:rPr>
        <w:t>about</w:t>
      </w:r>
      <w:r w:rsidR="008F5D1F" w:rsidRPr="00916133">
        <w:rPr>
          <w:lang w:eastAsia="en-AU"/>
        </w:rPr>
        <w:t xml:space="preserve"> </w:t>
      </w:r>
      <w:r w:rsidRPr="00916133">
        <w:rPr>
          <w:lang w:eastAsia="en-AU"/>
        </w:rPr>
        <w:t xml:space="preserve">any effects </w:t>
      </w:r>
      <w:r w:rsidR="001D0E7D">
        <w:rPr>
          <w:lang w:eastAsia="en-AU"/>
        </w:rPr>
        <w:t>of</w:t>
      </w:r>
      <w:r w:rsidRPr="00916133">
        <w:rPr>
          <w:lang w:eastAsia="en-AU"/>
        </w:rPr>
        <w:t xml:space="preserve"> the MSS on scallops.</w:t>
      </w:r>
    </w:p>
    <w:p w14:paraId="307C4797" w14:textId="0A1DDC69" w:rsidR="00916133" w:rsidRPr="00A12609" w:rsidRDefault="00916133" w:rsidP="00916133">
      <w:pPr>
        <w:pStyle w:val="ADBodyText"/>
        <w:rPr>
          <w:b/>
          <w:lang w:eastAsia="en-AU"/>
        </w:rPr>
      </w:pPr>
      <w:r w:rsidRPr="00A12609">
        <w:rPr>
          <w:b/>
          <w:lang w:eastAsia="en-AU"/>
        </w:rPr>
        <w:t>Rock Lobster</w:t>
      </w:r>
    </w:p>
    <w:p w14:paraId="2AD347DE" w14:textId="34BDC160" w:rsidR="00916133" w:rsidRPr="00916133" w:rsidRDefault="00CD6609" w:rsidP="00916133">
      <w:pPr>
        <w:pStyle w:val="ADBodyText"/>
        <w:rPr>
          <w:lang w:eastAsia="en-AU"/>
        </w:rPr>
      </w:pPr>
      <w:r w:rsidRPr="00CD6609">
        <w:rPr>
          <w:lang w:eastAsia="en-AU"/>
        </w:rPr>
        <w:t>For the rock lobster assessment, ten sites (in areas of reef) were monitored, including six sites within the acquisition area and four reference sites located more than 15 km to the northeast. The locations of these sites were recommended as known or potential rock lobster habitat by the local fisherman who assisted with the sampling. This person was also a member of the Advisory Panel.</w:t>
      </w:r>
    </w:p>
    <w:p w14:paraId="0678EB97" w14:textId="101A825E" w:rsidR="00916133" w:rsidRPr="00916133" w:rsidRDefault="00916133" w:rsidP="00916133">
      <w:pPr>
        <w:pStyle w:val="ADBodyText"/>
        <w:rPr>
          <w:lang w:eastAsia="en-AU"/>
        </w:rPr>
      </w:pPr>
      <w:r w:rsidRPr="00916133">
        <w:rPr>
          <w:lang w:eastAsia="en-AU"/>
        </w:rPr>
        <w:t>At all sites</w:t>
      </w:r>
      <w:r w:rsidR="004B7F7A">
        <w:rPr>
          <w:lang w:eastAsia="en-AU"/>
        </w:rPr>
        <w:t>,</w:t>
      </w:r>
      <w:r w:rsidRPr="00916133">
        <w:rPr>
          <w:lang w:eastAsia="en-AU"/>
        </w:rPr>
        <w:t xml:space="preserve"> more rock lobster</w:t>
      </w:r>
      <w:r w:rsidR="004B7F7A">
        <w:rPr>
          <w:lang w:eastAsia="en-AU"/>
        </w:rPr>
        <w:t>s</w:t>
      </w:r>
      <w:r w:rsidRPr="00916133">
        <w:rPr>
          <w:lang w:eastAsia="en-AU"/>
        </w:rPr>
        <w:t xml:space="preserve"> were retrieved during the post</w:t>
      </w:r>
      <w:r w:rsidR="001D0E7D">
        <w:rPr>
          <w:lang w:eastAsia="en-AU"/>
        </w:rPr>
        <w:t>-</w:t>
      </w:r>
      <w:r w:rsidRPr="00916133">
        <w:rPr>
          <w:lang w:eastAsia="en-AU"/>
        </w:rPr>
        <w:t>MSS assessment</w:t>
      </w:r>
      <w:r w:rsidR="001D0E7D">
        <w:rPr>
          <w:lang w:eastAsia="en-AU"/>
        </w:rPr>
        <w:t>,</w:t>
      </w:r>
      <w:r w:rsidRPr="00916133">
        <w:rPr>
          <w:lang w:eastAsia="en-AU"/>
        </w:rPr>
        <w:t xml:space="preserve"> with 81 individuals trapped </w:t>
      </w:r>
      <w:r w:rsidR="004B7F7A">
        <w:rPr>
          <w:lang w:eastAsia="en-AU"/>
        </w:rPr>
        <w:t>during the pre</w:t>
      </w:r>
      <w:r w:rsidR="001D0E7D">
        <w:rPr>
          <w:lang w:eastAsia="en-AU"/>
        </w:rPr>
        <w:t>-</w:t>
      </w:r>
      <w:r w:rsidR="004B7F7A">
        <w:rPr>
          <w:lang w:eastAsia="en-AU"/>
        </w:rPr>
        <w:t xml:space="preserve">MSS assessment compared to 122 </w:t>
      </w:r>
      <w:r w:rsidR="001D0E7D">
        <w:rPr>
          <w:lang w:eastAsia="en-AU"/>
        </w:rPr>
        <w:t xml:space="preserve">trapped </w:t>
      </w:r>
      <w:r w:rsidR="004B7F7A">
        <w:rPr>
          <w:lang w:eastAsia="en-AU"/>
        </w:rPr>
        <w:t>post</w:t>
      </w:r>
      <w:r w:rsidR="001D0E7D">
        <w:rPr>
          <w:lang w:eastAsia="en-AU"/>
        </w:rPr>
        <w:t>-</w:t>
      </w:r>
      <w:r w:rsidR="004B7F7A">
        <w:rPr>
          <w:lang w:eastAsia="en-AU"/>
        </w:rPr>
        <w:t>MSS</w:t>
      </w:r>
      <w:r w:rsidRPr="00916133">
        <w:rPr>
          <w:lang w:eastAsia="en-AU"/>
        </w:rPr>
        <w:t xml:space="preserve">. </w:t>
      </w:r>
      <w:r w:rsidR="007B0010">
        <w:rPr>
          <w:lang w:eastAsia="en-AU"/>
        </w:rPr>
        <w:t>T</w:t>
      </w:r>
      <w:r w:rsidRPr="00916133">
        <w:rPr>
          <w:lang w:eastAsia="en-AU"/>
        </w:rPr>
        <w:t xml:space="preserve">his increase in numbers post-MSS was most likely due to seasonal effects rather than any impact </w:t>
      </w:r>
      <w:r w:rsidR="00D00650">
        <w:rPr>
          <w:lang w:eastAsia="en-AU"/>
        </w:rPr>
        <w:t>of</w:t>
      </w:r>
      <w:r w:rsidRPr="00916133">
        <w:rPr>
          <w:lang w:eastAsia="en-AU"/>
        </w:rPr>
        <w:t xml:space="preserve"> the MSS.</w:t>
      </w:r>
    </w:p>
    <w:p w14:paraId="67F2AE75" w14:textId="1899BEB6" w:rsidR="00916133" w:rsidRPr="004B7F7A" w:rsidRDefault="00916133" w:rsidP="00916133">
      <w:pPr>
        <w:pStyle w:val="ADBodyText"/>
        <w:rPr>
          <w:b/>
          <w:lang w:eastAsia="en-AU"/>
        </w:rPr>
      </w:pPr>
      <w:r w:rsidRPr="004B7F7A">
        <w:rPr>
          <w:b/>
          <w:lang w:eastAsia="en-AU"/>
        </w:rPr>
        <w:t>Fi</w:t>
      </w:r>
      <w:r w:rsidR="004B7F7A">
        <w:rPr>
          <w:b/>
          <w:lang w:eastAsia="en-AU"/>
        </w:rPr>
        <w:t>n</w:t>
      </w:r>
      <w:r w:rsidR="00CD3FF6">
        <w:rPr>
          <w:b/>
          <w:lang w:eastAsia="en-AU"/>
        </w:rPr>
        <w:t>f</w:t>
      </w:r>
      <w:r w:rsidRPr="004B7F7A">
        <w:rPr>
          <w:b/>
          <w:lang w:eastAsia="en-AU"/>
        </w:rPr>
        <w:t>ish</w:t>
      </w:r>
    </w:p>
    <w:p w14:paraId="25DECF69" w14:textId="69250256" w:rsidR="00E623F6" w:rsidRDefault="00916133" w:rsidP="00916133">
      <w:pPr>
        <w:pStyle w:val="ADBodyText"/>
        <w:rPr>
          <w:lang w:eastAsia="en-AU"/>
        </w:rPr>
      </w:pPr>
      <w:r w:rsidRPr="00916133">
        <w:rPr>
          <w:lang w:eastAsia="en-AU"/>
        </w:rPr>
        <w:t>For the fish assessment, BRUVS (Baited Remote Underwater Video Stations) were deployed across the s</w:t>
      </w:r>
      <w:r w:rsidR="004B7F7A">
        <w:rPr>
          <w:lang w:eastAsia="en-AU"/>
        </w:rPr>
        <w:t xml:space="preserve">ame </w:t>
      </w:r>
      <w:r w:rsidR="001D0E7D">
        <w:rPr>
          <w:lang w:eastAsia="en-AU"/>
        </w:rPr>
        <w:t xml:space="preserve">reef </w:t>
      </w:r>
      <w:r w:rsidR="004B7F7A">
        <w:rPr>
          <w:lang w:eastAsia="en-AU"/>
        </w:rPr>
        <w:t xml:space="preserve">sites </w:t>
      </w:r>
      <w:r w:rsidR="001D0E7D">
        <w:rPr>
          <w:lang w:eastAsia="en-AU"/>
        </w:rPr>
        <w:t>used for</w:t>
      </w:r>
      <w:r w:rsidR="004B7F7A">
        <w:rPr>
          <w:lang w:eastAsia="en-AU"/>
        </w:rPr>
        <w:t xml:space="preserve"> the rock lobster</w:t>
      </w:r>
      <w:r w:rsidR="001D0E7D">
        <w:rPr>
          <w:lang w:eastAsia="en-AU"/>
        </w:rPr>
        <w:t xml:space="preserve"> assessment</w:t>
      </w:r>
      <w:r w:rsidR="004B7F7A">
        <w:rPr>
          <w:lang w:eastAsia="en-AU"/>
        </w:rPr>
        <w:t>.</w:t>
      </w:r>
      <w:r w:rsidR="002712B3">
        <w:rPr>
          <w:lang w:eastAsia="en-AU"/>
        </w:rPr>
        <w:t xml:space="preserve"> </w:t>
      </w:r>
      <w:r w:rsidRPr="00916133">
        <w:rPr>
          <w:lang w:eastAsia="en-AU"/>
        </w:rPr>
        <w:t xml:space="preserve">The results showed that fish abundance was higher in the pre-MSS assessment, with 637 individuals being observed before and 523 </w:t>
      </w:r>
      <w:r w:rsidR="001D0E7D" w:rsidRPr="00916133">
        <w:rPr>
          <w:lang w:eastAsia="en-AU"/>
        </w:rPr>
        <w:t xml:space="preserve">individuals being observed </w:t>
      </w:r>
      <w:r w:rsidRPr="00916133">
        <w:rPr>
          <w:lang w:eastAsia="en-AU"/>
        </w:rPr>
        <w:t>after. In contrast, species richness was lower in the pre-MSS assessment with a total of 39 species recorded</w:t>
      </w:r>
      <w:r w:rsidR="001D0E7D">
        <w:rPr>
          <w:lang w:eastAsia="en-AU"/>
        </w:rPr>
        <w:t>,</w:t>
      </w:r>
      <w:r w:rsidRPr="00916133">
        <w:rPr>
          <w:lang w:eastAsia="en-AU"/>
        </w:rPr>
        <w:t xml:space="preserve"> compared to 43 species post</w:t>
      </w:r>
      <w:r w:rsidR="001D0E7D">
        <w:rPr>
          <w:lang w:eastAsia="en-AU"/>
        </w:rPr>
        <w:t>-MSS</w:t>
      </w:r>
      <w:r w:rsidRPr="00916133">
        <w:rPr>
          <w:lang w:eastAsia="en-AU"/>
        </w:rPr>
        <w:t xml:space="preserve">. Twenty-seven species were </w:t>
      </w:r>
      <w:r w:rsidRPr="00916133">
        <w:rPr>
          <w:lang w:eastAsia="en-AU"/>
        </w:rPr>
        <w:lastRenderedPageBreak/>
        <w:t>common to both assessments.</w:t>
      </w:r>
      <w:r w:rsidR="002712B3">
        <w:rPr>
          <w:lang w:eastAsia="en-AU"/>
        </w:rPr>
        <w:t xml:space="preserve"> </w:t>
      </w:r>
      <w:r w:rsidRPr="00916133">
        <w:rPr>
          <w:lang w:eastAsia="en-AU"/>
        </w:rPr>
        <w:t xml:space="preserve">The most abundant (and common) species recorded during both assessments was the Barber Perch, </w:t>
      </w:r>
      <w:r w:rsidRPr="004B7F7A">
        <w:rPr>
          <w:i/>
          <w:lang w:eastAsia="en-AU"/>
        </w:rPr>
        <w:t>Caesioperca razor</w:t>
      </w:r>
      <w:r w:rsidRPr="00916133">
        <w:rPr>
          <w:lang w:eastAsia="en-AU"/>
        </w:rPr>
        <w:t>.</w:t>
      </w:r>
    </w:p>
    <w:p w14:paraId="058BE039" w14:textId="58172F1F" w:rsidR="00D14252" w:rsidRDefault="00916133" w:rsidP="00916133">
      <w:pPr>
        <w:pStyle w:val="ADBodyText"/>
        <w:rPr>
          <w:b/>
          <w:lang w:eastAsia="en-AU"/>
        </w:rPr>
      </w:pPr>
      <w:r w:rsidRPr="00916133">
        <w:rPr>
          <w:lang w:eastAsia="en-AU"/>
        </w:rPr>
        <w:t>As with the other taxa, no conclusions about any impact from the MSS could be made</w:t>
      </w:r>
      <w:r w:rsidR="00F011AC">
        <w:rPr>
          <w:lang w:eastAsia="en-AU"/>
        </w:rPr>
        <w:t>.</w:t>
      </w:r>
      <w:r w:rsidRPr="00916133">
        <w:rPr>
          <w:lang w:eastAsia="en-AU"/>
        </w:rPr>
        <w:t xml:space="preserve"> </w:t>
      </w:r>
    </w:p>
    <w:p w14:paraId="6EB3C714" w14:textId="6706A8F0" w:rsidR="00916133" w:rsidRPr="004B7F7A" w:rsidRDefault="00916133" w:rsidP="00916133">
      <w:pPr>
        <w:pStyle w:val="ADBodyText"/>
        <w:rPr>
          <w:b/>
          <w:lang w:eastAsia="en-AU"/>
        </w:rPr>
      </w:pPr>
      <w:r w:rsidRPr="004B7F7A">
        <w:rPr>
          <w:b/>
          <w:lang w:eastAsia="en-AU"/>
        </w:rPr>
        <w:t>Zooplankton</w:t>
      </w:r>
    </w:p>
    <w:p w14:paraId="5C2DF68B" w14:textId="124F92E5" w:rsidR="00D14252" w:rsidRPr="00916133" w:rsidRDefault="00D14252" w:rsidP="00D14252">
      <w:pPr>
        <w:pStyle w:val="ADBodyText"/>
        <w:rPr>
          <w:lang w:eastAsia="en-AU"/>
        </w:rPr>
      </w:pPr>
      <w:r w:rsidRPr="00916133">
        <w:rPr>
          <w:lang w:eastAsia="en-AU"/>
        </w:rPr>
        <w:t>For the zooplankton</w:t>
      </w:r>
      <w:r w:rsidR="00691B9E">
        <w:rPr>
          <w:lang w:eastAsia="en-AU"/>
        </w:rPr>
        <w:t xml:space="preserve"> assessment</w:t>
      </w:r>
      <w:r w:rsidRPr="00916133">
        <w:rPr>
          <w:lang w:eastAsia="en-AU"/>
        </w:rPr>
        <w:t>, prior to the MSS, six sites</w:t>
      </w:r>
      <w:r>
        <w:rPr>
          <w:lang w:eastAsia="en-AU"/>
        </w:rPr>
        <w:t xml:space="preserve"> </w:t>
      </w:r>
      <w:r w:rsidR="00D00650">
        <w:rPr>
          <w:lang w:eastAsia="en-AU"/>
        </w:rPr>
        <w:t xml:space="preserve">within </w:t>
      </w:r>
      <w:r>
        <w:rPr>
          <w:lang w:eastAsia="en-AU"/>
        </w:rPr>
        <w:t>the acquisition area</w:t>
      </w:r>
      <w:r w:rsidRPr="00916133">
        <w:rPr>
          <w:lang w:eastAsia="en-AU"/>
        </w:rPr>
        <w:t xml:space="preserve"> and four </w:t>
      </w:r>
      <w:r w:rsidR="001B6574">
        <w:rPr>
          <w:lang w:eastAsia="en-AU"/>
        </w:rPr>
        <w:t xml:space="preserve">reference </w:t>
      </w:r>
      <w:r>
        <w:rPr>
          <w:lang w:eastAsia="en-AU"/>
        </w:rPr>
        <w:t>s</w:t>
      </w:r>
      <w:r w:rsidRPr="00916133">
        <w:rPr>
          <w:lang w:eastAsia="en-AU"/>
        </w:rPr>
        <w:t>ites to</w:t>
      </w:r>
      <w:r w:rsidR="00691B9E">
        <w:rPr>
          <w:lang w:eastAsia="en-AU"/>
        </w:rPr>
        <w:t xml:space="preserve"> </w:t>
      </w:r>
      <w:r w:rsidRPr="00916133">
        <w:rPr>
          <w:lang w:eastAsia="en-AU"/>
        </w:rPr>
        <w:t xml:space="preserve">the north and south of the acquisition area were </w:t>
      </w:r>
      <w:r w:rsidR="00D00650">
        <w:rPr>
          <w:lang w:eastAsia="en-AU"/>
        </w:rPr>
        <w:t>sampled</w:t>
      </w:r>
      <w:r w:rsidRPr="00916133">
        <w:rPr>
          <w:lang w:eastAsia="en-AU"/>
        </w:rPr>
        <w:t>.</w:t>
      </w:r>
      <w:r w:rsidR="002712B3">
        <w:rPr>
          <w:lang w:eastAsia="en-AU"/>
        </w:rPr>
        <w:t xml:space="preserve"> </w:t>
      </w:r>
      <w:r w:rsidRPr="00916133">
        <w:rPr>
          <w:lang w:eastAsia="en-AU"/>
        </w:rPr>
        <w:t xml:space="preserve">Post-MSS sampling was undertaken within three days of acquiring the final seismic line, consisting of three sites in </w:t>
      </w:r>
      <w:r w:rsidR="00D00650">
        <w:rPr>
          <w:lang w:eastAsia="en-AU"/>
        </w:rPr>
        <w:t>close proximity to</w:t>
      </w:r>
      <w:r w:rsidRPr="00916133">
        <w:rPr>
          <w:lang w:eastAsia="en-AU"/>
        </w:rPr>
        <w:t xml:space="preserve"> the final </w:t>
      </w:r>
      <w:r w:rsidR="00D00650">
        <w:rPr>
          <w:lang w:eastAsia="en-AU"/>
        </w:rPr>
        <w:t xml:space="preserve">MSS </w:t>
      </w:r>
      <w:r w:rsidRPr="00916133">
        <w:rPr>
          <w:lang w:eastAsia="en-AU"/>
        </w:rPr>
        <w:t>line</w:t>
      </w:r>
      <w:r w:rsidR="00E62117">
        <w:rPr>
          <w:lang w:eastAsia="en-AU"/>
        </w:rPr>
        <w:t>,</w:t>
      </w:r>
      <w:r w:rsidRPr="00916133">
        <w:rPr>
          <w:lang w:eastAsia="en-AU"/>
        </w:rPr>
        <w:t xml:space="preserve"> and repeats </w:t>
      </w:r>
      <w:r w:rsidR="00BC27F6">
        <w:rPr>
          <w:lang w:eastAsia="en-AU"/>
        </w:rPr>
        <w:t>at</w:t>
      </w:r>
      <w:r w:rsidR="00BC27F6" w:rsidRPr="00916133">
        <w:rPr>
          <w:lang w:eastAsia="en-AU"/>
        </w:rPr>
        <w:t xml:space="preserve"> </w:t>
      </w:r>
      <w:r w:rsidRPr="00916133">
        <w:rPr>
          <w:lang w:eastAsia="en-AU"/>
        </w:rPr>
        <w:t xml:space="preserve">three </w:t>
      </w:r>
      <w:r w:rsidR="001B6574">
        <w:rPr>
          <w:lang w:eastAsia="en-AU"/>
        </w:rPr>
        <w:t>reference</w:t>
      </w:r>
      <w:r w:rsidRPr="00916133">
        <w:rPr>
          <w:lang w:eastAsia="en-AU"/>
        </w:rPr>
        <w:t xml:space="preserve"> sites. </w:t>
      </w:r>
    </w:p>
    <w:p w14:paraId="6A582B34" w14:textId="7BA255FA" w:rsidR="00D14252" w:rsidRPr="00916133" w:rsidRDefault="00D14252" w:rsidP="00D14252">
      <w:pPr>
        <w:pStyle w:val="ADBodyText"/>
        <w:rPr>
          <w:lang w:eastAsia="en-AU"/>
        </w:rPr>
      </w:pPr>
      <w:r>
        <w:rPr>
          <w:lang w:eastAsia="en-AU"/>
        </w:rPr>
        <w:t xml:space="preserve">Pre-MSS </w:t>
      </w:r>
      <w:r w:rsidR="008C46AC">
        <w:rPr>
          <w:lang w:eastAsia="en-AU"/>
        </w:rPr>
        <w:t xml:space="preserve">plankton </w:t>
      </w:r>
      <w:r>
        <w:rPr>
          <w:lang w:eastAsia="en-AU"/>
        </w:rPr>
        <w:t>s</w:t>
      </w:r>
      <w:r w:rsidRPr="00916133">
        <w:rPr>
          <w:lang w:eastAsia="en-AU"/>
        </w:rPr>
        <w:t>amples collected were dominated by copepods, cladocerans and salps</w:t>
      </w:r>
      <w:r>
        <w:rPr>
          <w:lang w:eastAsia="en-AU"/>
        </w:rPr>
        <w:t>.</w:t>
      </w:r>
      <w:r w:rsidR="002712B3">
        <w:rPr>
          <w:lang w:eastAsia="en-AU"/>
        </w:rPr>
        <w:t xml:space="preserve"> </w:t>
      </w:r>
      <w:r>
        <w:rPr>
          <w:lang w:eastAsia="en-AU"/>
        </w:rPr>
        <w:t xml:space="preserve">Post-MSS </w:t>
      </w:r>
      <w:r w:rsidR="008C46AC">
        <w:rPr>
          <w:lang w:eastAsia="en-AU"/>
        </w:rPr>
        <w:t xml:space="preserve">plankton </w:t>
      </w:r>
      <w:r>
        <w:rPr>
          <w:lang w:eastAsia="en-AU"/>
        </w:rPr>
        <w:t xml:space="preserve">samples were dominated by the dinoflagellate </w:t>
      </w:r>
      <w:r w:rsidRPr="00D14252">
        <w:rPr>
          <w:i/>
          <w:lang w:eastAsia="en-AU"/>
        </w:rPr>
        <w:t>Noctiluca scintillans</w:t>
      </w:r>
      <w:r>
        <w:rPr>
          <w:lang w:eastAsia="en-AU"/>
        </w:rPr>
        <w:t>.</w:t>
      </w:r>
      <w:r w:rsidR="002712B3">
        <w:rPr>
          <w:lang w:eastAsia="en-AU"/>
        </w:rPr>
        <w:t xml:space="preserve"> </w:t>
      </w:r>
      <w:r>
        <w:rPr>
          <w:lang w:eastAsia="en-AU"/>
        </w:rPr>
        <w:t>Variance both between and within assessments was high</w:t>
      </w:r>
      <w:r w:rsidR="00691B9E">
        <w:rPr>
          <w:lang w:eastAsia="en-AU"/>
        </w:rPr>
        <w:t>,</w:t>
      </w:r>
      <w:r w:rsidRPr="00916133">
        <w:rPr>
          <w:lang w:eastAsia="en-AU"/>
        </w:rPr>
        <w:t xml:space="preserve"> with </w:t>
      </w:r>
      <w:r>
        <w:rPr>
          <w:lang w:eastAsia="en-AU"/>
        </w:rPr>
        <w:t xml:space="preserve">samples exhibiting </w:t>
      </w:r>
      <w:r w:rsidR="00691B9E">
        <w:rPr>
          <w:lang w:eastAsia="en-AU"/>
        </w:rPr>
        <w:t xml:space="preserve">levels of </w:t>
      </w:r>
      <w:r>
        <w:rPr>
          <w:lang w:eastAsia="en-AU"/>
        </w:rPr>
        <w:t>diversity and abundance</w:t>
      </w:r>
      <w:r w:rsidRPr="00916133">
        <w:rPr>
          <w:lang w:eastAsia="en-AU"/>
        </w:rPr>
        <w:t xml:space="preserve"> typical of healthy temperate coastal waters. </w:t>
      </w:r>
      <w:r w:rsidR="00691B9E">
        <w:rPr>
          <w:lang w:eastAsia="en-AU"/>
        </w:rPr>
        <w:t>Neither l</w:t>
      </w:r>
      <w:r w:rsidRPr="00916133">
        <w:rPr>
          <w:lang w:eastAsia="en-AU"/>
        </w:rPr>
        <w:t>obst</w:t>
      </w:r>
      <w:r>
        <w:rPr>
          <w:lang w:eastAsia="en-AU"/>
        </w:rPr>
        <w:t xml:space="preserve">er </w:t>
      </w:r>
      <w:r w:rsidR="00E62117">
        <w:rPr>
          <w:lang w:eastAsia="en-AU"/>
        </w:rPr>
        <w:t>n</w:t>
      </w:r>
      <w:r>
        <w:rPr>
          <w:lang w:eastAsia="en-AU"/>
        </w:rPr>
        <w:t xml:space="preserve">or scallop larvae were </w:t>
      </w:r>
      <w:r w:rsidR="00691B9E">
        <w:rPr>
          <w:lang w:eastAsia="en-AU"/>
        </w:rPr>
        <w:t>p</w:t>
      </w:r>
      <w:r>
        <w:rPr>
          <w:lang w:eastAsia="en-AU"/>
        </w:rPr>
        <w:t xml:space="preserve">resent in </w:t>
      </w:r>
      <w:r w:rsidR="0058740E">
        <w:rPr>
          <w:lang w:eastAsia="en-AU"/>
        </w:rPr>
        <w:t>any of the</w:t>
      </w:r>
      <w:r>
        <w:rPr>
          <w:lang w:eastAsia="en-AU"/>
        </w:rPr>
        <w:t xml:space="preserve"> samples</w:t>
      </w:r>
      <w:r w:rsidR="0058740E">
        <w:rPr>
          <w:lang w:eastAsia="en-AU"/>
        </w:rPr>
        <w:t xml:space="preserve"> assessed</w:t>
      </w:r>
      <w:r w:rsidR="00E62117">
        <w:rPr>
          <w:lang w:eastAsia="en-AU"/>
        </w:rPr>
        <w:t xml:space="preserve">. </w:t>
      </w:r>
    </w:p>
    <w:p w14:paraId="1301E499" w14:textId="0521214E" w:rsidR="00916133" w:rsidRDefault="00D14252" w:rsidP="00D14252">
      <w:pPr>
        <w:pStyle w:val="ADBodyText"/>
        <w:rPr>
          <w:lang w:eastAsia="en-AU"/>
        </w:rPr>
      </w:pPr>
      <w:r w:rsidRPr="00916133">
        <w:rPr>
          <w:lang w:eastAsia="en-AU"/>
        </w:rPr>
        <w:t>Results show</w:t>
      </w:r>
      <w:r w:rsidR="00691B9E">
        <w:rPr>
          <w:lang w:eastAsia="en-AU"/>
        </w:rPr>
        <w:t>ed</w:t>
      </w:r>
      <w:r w:rsidRPr="00916133">
        <w:rPr>
          <w:lang w:eastAsia="en-AU"/>
        </w:rPr>
        <w:t xml:space="preserve"> a high proportion of live copepods at all sites both pre</w:t>
      </w:r>
      <w:r w:rsidR="00691B9E">
        <w:rPr>
          <w:lang w:eastAsia="en-AU"/>
        </w:rPr>
        <w:t>-</w:t>
      </w:r>
      <w:r w:rsidRPr="00916133">
        <w:rPr>
          <w:lang w:eastAsia="en-AU"/>
        </w:rPr>
        <w:t xml:space="preserve"> and post</w:t>
      </w:r>
      <w:r w:rsidR="00691B9E">
        <w:rPr>
          <w:lang w:eastAsia="en-AU"/>
        </w:rPr>
        <w:t>-</w:t>
      </w:r>
      <w:r w:rsidRPr="00916133">
        <w:rPr>
          <w:lang w:eastAsia="en-AU"/>
        </w:rPr>
        <w:t>MSS</w:t>
      </w:r>
      <w:r w:rsidR="00691B9E">
        <w:rPr>
          <w:lang w:eastAsia="en-AU"/>
        </w:rPr>
        <w:t>,</w:t>
      </w:r>
      <w:r w:rsidRPr="00916133">
        <w:rPr>
          <w:lang w:eastAsia="en-AU"/>
        </w:rPr>
        <w:t xml:space="preserve"> but also a high proportion of dead cladocer</w:t>
      </w:r>
      <w:r>
        <w:rPr>
          <w:lang w:eastAsia="en-AU"/>
        </w:rPr>
        <w:t>a</w:t>
      </w:r>
      <w:r w:rsidRPr="00916133">
        <w:rPr>
          <w:lang w:eastAsia="en-AU"/>
        </w:rPr>
        <w:t>ns.</w:t>
      </w:r>
      <w:r w:rsidR="002712B3">
        <w:rPr>
          <w:lang w:eastAsia="en-AU"/>
        </w:rPr>
        <w:t xml:space="preserve"> </w:t>
      </w:r>
      <w:r w:rsidRPr="00916133">
        <w:rPr>
          <w:lang w:eastAsia="en-AU"/>
        </w:rPr>
        <w:t>Cladocer</w:t>
      </w:r>
      <w:r>
        <w:rPr>
          <w:lang w:eastAsia="en-AU"/>
        </w:rPr>
        <w:t>a</w:t>
      </w:r>
      <w:r w:rsidRPr="00916133">
        <w:rPr>
          <w:lang w:eastAsia="en-AU"/>
        </w:rPr>
        <w:t xml:space="preserve">ns are known for their delicate structure and were most likely </w:t>
      </w:r>
      <w:r w:rsidR="00E62117">
        <w:rPr>
          <w:lang w:eastAsia="en-AU"/>
        </w:rPr>
        <w:t>destr</w:t>
      </w:r>
      <w:r w:rsidR="0058740E">
        <w:rPr>
          <w:lang w:eastAsia="en-AU"/>
        </w:rPr>
        <w:t>o</w:t>
      </w:r>
      <w:r w:rsidR="00E62117">
        <w:rPr>
          <w:lang w:eastAsia="en-AU"/>
        </w:rPr>
        <w:t>yed</w:t>
      </w:r>
      <w:r w:rsidRPr="00916133">
        <w:rPr>
          <w:lang w:eastAsia="en-AU"/>
        </w:rPr>
        <w:t xml:space="preserve"> during the </w:t>
      </w:r>
      <w:r>
        <w:rPr>
          <w:lang w:eastAsia="en-AU"/>
        </w:rPr>
        <w:t>sampling</w:t>
      </w:r>
      <w:r w:rsidRPr="00916133">
        <w:rPr>
          <w:lang w:eastAsia="en-AU"/>
        </w:rPr>
        <w:t xml:space="preserve"> process</w:t>
      </w:r>
      <w:r w:rsidR="00691B9E">
        <w:rPr>
          <w:lang w:eastAsia="en-AU"/>
        </w:rPr>
        <w:t>,</w:t>
      </w:r>
      <w:r w:rsidRPr="00916133">
        <w:rPr>
          <w:lang w:eastAsia="en-AU"/>
        </w:rPr>
        <w:t xml:space="preserve"> rather than any impact fr</w:t>
      </w:r>
      <w:r>
        <w:rPr>
          <w:lang w:eastAsia="en-AU"/>
        </w:rPr>
        <w:t>om the MSS.</w:t>
      </w:r>
      <w:r w:rsidR="002712B3">
        <w:rPr>
          <w:lang w:eastAsia="en-AU"/>
        </w:rPr>
        <w:t xml:space="preserve"> </w:t>
      </w:r>
      <w:r>
        <w:rPr>
          <w:lang w:eastAsia="en-AU"/>
        </w:rPr>
        <w:t>This was e</w:t>
      </w:r>
      <w:r w:rsidRPr="00916133">
        <w:rPr>
          <w:lang w:eastAsia="en-AU"/>
        </w:rPr>
        <w:t>videnced by the fact that high mortality rates were seen in</w:t>
      </w:r>
      <w:r w:rsidR="00691B9E">
        <w:rPr>
          <w:lang w:eastAsia="en-AU"/>
        </w:rPr>
        <w:t xml:space="preserve"> samples collected</w:t>
      </w:r>
      <w:r w:rsidRPr="00916133">
        <w:rPr>
          <w:lang w:eastAsia="en-AU"/>
        </w:rPr>
        <w:t xml:space="preserve"> both before and after </w:t>
      </w:r>
      <w:r w:rsidR="00691B9E">
        <w:rPr>
          <w:lang w:eastAsia="en-AU"/>
        </w:rPr>
        <w:t xml:space="preserve">the </w:t>
      </w:r>
      <w:r w:rsidRPr="00916133">
        <w:rPr>
          <w:lang w:eastAsia="en-AU"/>
        </w:rPr>
        <w:t>MSS.</w:t>
      </w:r>
      <w:r w:rsidR="002712B3">
        <w:rPr>
          <w:lang w:eastAsia="en-AU"/>
        </w:rPr>
        <w:t xml:space="preserve"> </w:t>
      </w:r>
    </w:p>
    <w:p w14:paraId="3A4FB463" w14:textId="04497DE7" w:rsidR="00916133" w:rsidRDefault="008A5146" w:rsidP="003F6286">
      <w:pPr>
        <w:pStyle w:val="ADBodyText"/>
        <w:rPr>
          <w:lang w:eastAsia="en-AU"/>
        </w:rPr>
      </w:pPr>
      <w:r>
        <w:rPr>
          <w:lang w:eastAsia="en-AU"/>
        </w:rPr>
        <w:t>The full report contains commercial</w:t>
      </w:r>
      <w:r w:rsidR="00CD3B05">
        <w:rPr>
          <w:lang w:eastAsia="en-AU"/>
        </w:rPr>
        <w:t>-</w:t>
      </w:r>
      <w:r>
        <w:rPr>
          <w:lang w:eastAsia="en-AU"/>
        </w:rPr>
        <w:t>in</w:t>
      </w:r>
      <w:r w:rsidR="00CD3B05">
        <w:rPr>
          <w:lang w:eastAsia="en-AU"/>
        </w:rPr>
        <w:t>-</w:t>
      </w:r>
      <w:r>
        <w:rPr>
          <w:lang w:eastAsia="en-AU"/>
        </w:rPr>
        <w:t xml:space="preserve">confidence information </w:t>
      </w:r>
      <w:r w:rsidR="008C46AC">
        <w:rPr>
          <w:lang w:eastAsia="en-AU"/>
        </w:rPr>
        <w:t>on</w:t>
      </w:r>
      <w:r>
        <w:rPr>
          <w:lang w:eastAsia="en-AU"/>
        </w:rPr>
        <w:t xml:space="preserve"> commercial fisheries, and as such is not for public release.</w:t>
      </w:r>
    </w:p>
    <w:sectPr w:rsidR="00916133" w:rsidSect="00C94C07">
      <w:headerReference w:type="default" r:id="rId11"/>
      <w:pgSz w:w="11907" w:h="16839" w:code="9"/>
      <w:pgMar w:top="2268" w:right="1582" w:bottom="2268" w:left="1582" w:header="561" w:footer="50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C42522" w14:textId="77777777" w:rsidR="003C7E7E" w:rsidRDefault="003C7E7E" w:rsidP="00B83BED">
      <w:pPr>
        <w:spacing w:before="0" w:after="0" w:line="240" w:lineRule="auto"/>
      </w:pPr>
      <w:r>
        <w:separator/>
      </w:r>
    </w:p>
  </w:endnote>
  <w:endnote w:type="continuationSeparator" w:id="0">
    <w:p w14:paraId="03C227D5" w14:textId="77777777" w:rsidR="003C7E7E" w:rsidRDefault="003C7E7E" w:rsidP="00B83BE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inion Pro">
    <w:panose1 w:val="00000000000000000000"/>
    <w:charset w:val="00"/>
    <w:family w:val="roman"/>
    <w:notTrueType/>
    <w:pitch w:val="variable"/>
    <w:sig w:usb0="60000287" w:usb1="00000001" w:usb2="00000000" w:usb3="00000000" w:csb0="0000019F" w:csb1="00000000"/>
  </w:font>
  <w:font w:name="SegoeUI">
    <w:altName w:val="Segoe UI"/>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BC3524" w14:textId="77777777" w:rsidR="003C7E7E" w:rsidRDefault="003C7E7E" w:rsidP="00B83BED">
      <w:pPr>
        <w:spacing w:before="0" w:after="0" w:line="240" w:lineRule="auto"/>
      </w:pPr>
      <w:r>
        <w:separator/>
      </w:r>
    </w:p>
  </w:footnote>
  <w:footnote w:type="continuationSeparator" w:id="0">
    <w:p w14:paraId="4EEA7E14" w14:textId="77777777" w:rsidR="003C7E7E" w:rsidRDefault="003C7E7E" w:rsidP="00B83BED">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EPTableStyle41"/>
      <w:tblW w:w="10197"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2987"/>
      <w:gridCol w:w="3524"/>
    </w:tblGrid>
    <w:tr w:rsidR="00121E48" w14:paraId="26CEC28E" w14:textId="77777777" w:rsidTr="00D21D0B">
      <w:trPr>
        <w:trHeight w:val="277"/>
      </w:trPr>
      <w:tc>
        <w:tcPr>
          <w:tcW w:w="3686" w:type="dxa"/>
        </w:tcPr>
        <w:p w14:paraId="21C23039" w14:textId="77777777" w:rsidR="00121E48" w:rsidRDefault="00121E48" w:rsidP="00531D2F">
          <w:pPr>
            <w:spacing w:before="120" w:after="120"/>
            <w:rPr>
              <w:rFonts w:cs="Segoe UI"/>
              <w:b/>
              <w:bCs/>
              <w:sz w:val="16"/>
              <w:szCs w:val="20"/>
            </w:rPr>
          </w:pPr>
          <w:r>
            <w:rPr>
              <w:noProof/>
              <w:lang w:eastAsia="en-AU"/>
            </w:rPr>
            <w:drawing>
              <wp:anchor distT="0" distB="0" distL="114300" distR="114300" simplePos="0" relativeHeight="251660800" behindDoc="0" locked="1" layoutInCell="1" allowOverlap="1" wp14:anchorId="6169E83E" wp14:editId="36FF8FA8">
                <wp:simplePos x="0" y="0"/>
                <wp:positionH relativeFrom="page">
                  <wp:posOffset>-337185</wp:posOffset>
                </wp:positionH>
                <wp:positionV relativeFrom="page">
                  <wp:posOffset>-226695</wp:posOffset>
                </wp:positionV>
                <wp:extent cx="2042160" cy="81915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l="-23624" t="-73767" r="-35419" b="-15900"/>
                        <a:stretch>
                          <a:fillRect/>
                        </a:stretch>
                      </pic:blipFill>
                      <pic:spPr bwMode="auto">
                        <a:xfrm>
                          <a:off x="0" y="0"/>
                          <a:ext cx="2042160" cy="819150"/>
                        </a:xfrm>
                        <a:prstGeom prst="rect">
                          <a:avLst/>
                        </a:prstGeom>
                        <a:noFill/>
                      </pic:spPr>
                    </pic:pic>
                  </a:graphicData>
                </a:graphic>
                <wp14:sizeRelH relativeFrom="margin">
                  <wp14:pctWidth>0</wp14:pctWidth>
                </wp14:sizeRelH>
                <wp14:sizeRelV relativeFrom="margin">
                  <wp14:pctHeight>0</wp14:pctHeight>
                </wp14:sizeRelV>
              </wp:anchor>
            </w:drawing>
          </w:r>
        </w:p>
      </w:tc>
      <w:tc>
        <w:tcPr>
          <w:tcW w:w="2987" w:type="dxa"/>
        </w:tcPr>
        <w:p w14:paraId="31C0C436" w14:textId="77777777" w:rsidR="00121E48" w:rsidRDefault="003C7E7E" w:rsidP="00D21D0B">
          <w:pPr>
            <w:pStyle w:val="HeaderBold"/>
          </w:pPr>
          <w:r>
            <w:fldChar w:fldCharType="begin"/>
          </w:r>
          <w:r>
            <w:instrText xml:space="preserve"> DOCPROPERTY  CusName  \* MERGEFORMAT </w:instrText>
          </w:r>
          <w:r>
            <w:fldChar w:fldCharType="separate"/>
          </w:r>
          <w:r w:rsidR="00121E48">
            <w:t>CarbonNet - DEDJTR</w:t>
          </w:r>
          <w:r>
            <w:fldChar w:fldCharType="end"/>
          </w:r>
        </w:p>
        <w:p w14:paraId="4B342CB9" w14:textId="77777777" w:rsidR="00121E48" w:rsidRDefault="003C7E7E" w:rsidP="00D21D0B">
          <w:pPr>
            <w:pStyle w:val="HeaderBold"/>
          </w:pPr>
          <w:r>
            <w:fldChar w:fldCharType="begin"/>
          </w:r>
          <w:r>
            <w:instrText xml:space="preserve"> DOCPROPERTY  PropTitle  \* MERGEFORMAT </w:instrText>
          </w:r>
          <w:r>
            <w:fldChar w:fldCharType="separate"/>
          </w:r>
          <w:r w:rsidR="00121E48">
            <w:t>CarbonNet Pelican 3D Marine Seismic Survey (MSS) Offshore Habitat Assessments</w:t>
          </w:r>
          <w:r>
            <w:fldChar w:fldCharType="end"/>
          </w:r>
        </w:p>
        <w:p w14:paraId="2BA49EA2" w14:textId="77777777" w:rsidR="00121E48" w:rsidRPr="00D21D0B" w:rsidRDefault="003C7E7E" w:rsidP="00D21D0B">
          <w:pPr>
            <w:pStyle w:val="HeaderUnbold"/>
            <w:rPr>
              <w:b/>
              <w:bCs/>
            </w:rPr>
          </w:pPr>
          <w:r>
            <w:fldChar w:fldCharType="begin"/>
          </w:r>
          <w:r>
            <w:instrText xml:space="preserve"> DOCPROPERTY  PropSubTitle  \* MERGEFORMAT </w:instrText>
          </w:r>
          <w:r>
            <w:fldChar w:fldCharType="separate"/>
          </w:r>
          <w:r w:rsidR="00121E48">
            <w:t>Final Report</w:t>
          </w:r>
          <w:r>
            <w:fldChar w:fldCharType="end"/>
          </w:r>
        </w:p>
      </w:tc>
      <w:tc>
        <w:tcPr>
          <w:tcW w:w="3524" w:type="dxa"/>
          <w:hideMark/>
        </w:tcPr>
        <w:p w14:paraId="65667621" w14:textId="77777777" w:rsidR="00121E48" w:rsidRDefault="00121E48" w:rsidP="003D11DE">
          <w:pPr>
            <w:spacing w:before="120" w:after="120"/>
            <w:rPr>
              <w:rFonts w:cs="Segoe UI"/>
              <w:b/>
              <w:bCs/>
              <w:sz w:val="16"/>
              <w:szCs w:val="20"/>
            </w:rPr>
          </w:pPr>
          <w:r>
            <w:rPr>
              <w:rFonts w:cs="Segoe UI"/>
              <w:b/>
              <w:bCs/>
              <w:noProof/>
              <w:sz w:val="16"/>
              <w:szCs w:val="20"/>
              <w:lang w:eastAsia="en-AU"/>
            </w:rPr>
            <w:drawing>
              <wp:inline distT="0" distB="0" distL="0" distR="0" wp14:anchorId="0536E08C" wp14:editId="25511D66">
                <wp:extent cx="1792605" cy="40259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92605" cy="402590"/>
                        </a:xfrm>
                        <a:prstGeom prst="rect">
                          <a:avLst/>
                        </a:prstGeom>
                        <a:noFill/>
                      </pic:spPr>
                    </pic:pic>
                  </a:graphicData>
                </a:graphic>
              </wp:inline>
            </w:drawing>
          </w:r>
        </w:p>
      </w:tc>
    </w:tr>
  </w:tbl>
  <w:p w14:paraId="650A9102" w14:textId="77777777" w:rsidR="00121E48" w:rsidRDefault="00121E4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61128532"/>
    <w:lvl w:ilvl="0">
      <w:start w:val="1"/>
      <w:numFmt w:val="decimal"/>
      <w:pStyle w:val="ListNumber5"/>
      <w:lvlText w:val="%1."/>
      <w:lvlJc w:val="left"/>
      <w:pPr>
        <w:tabs>
          <w:tab w:val="num" w:pos="1492"/>
        </w:tabs>
        <w:ind w:left="1492" w:hanging="360"/>
      </w:pPr>
    </w:lvl>
  </w:abstractNum>
  <w:abstractNum w:abstractNumId="1" w15:restartNumberingAfterBreak="0">
    <w:nsid w:val="01A13C8A"/>
    <w:multiLevelType w:val="multilevel"/>
    <w:tmpl w:val="420AF5C2"/>
    <w:lvl w:ilvl="0">
      <w:start w:val="1"/>
      <w:numFmt w:val="bullet"/>
      <w:lvlText w:val=""/>
      <w:lvlJc w:val="left"/>
      <w:pPr>
        <w:ind w:left="357" w:hanging="357"/>
      </w:pPr>
      <w:rPr>
        <w:rFonts w:ascii="Wingdings" w:hAnsi="Wingdings" w:cs="Wingdings" w:hint="default"/>
        <w:color w:val="005F83" w:themeColor="accent6"/>
      </w:rPr>
    </w:lvl>
    <w:lvl w:ilvl="1">
      <w:start w:val="1"/>
      <w:numFmt w:val="bullet"/>
      <w:lvlText w:val=""/>
      <w:lvlJc w:val="left"/>
      <w:pPr>
        <w:ind w:left="714" w:hanging="357"/>
      </w:pPr>
      <w:rPr>
        <w:rFonts w:ascii="Symbol" w:hAnsi="Symbol" w:hint="default"/>
      </w:rPr>
    </w:lvl>
    <w:lvl w:ilvl="2">
      <w:start w:val="1"/>
      <w:numFmt w:val="bullet"/>
      <w:pStyle w:val="ADBullet3"/>
      <w:lvlText w:val=""/>
      <w:lvlJc w:val="left"/>
      <w:pPr>
        <w:ind w:left="1071" w:hanging="357"/>
      </w:pPr>
      <w:rPr>
        <w:rFonts w:ascii="Symbol" w:hAnsi="Symbol" w:hint="default"/>
        <w:color w:val="005F83"/>
      </w:rPr>
    </w:lvl>
    <w:lvl w:ilvl="3">
      <w:start w:val="1"/>
      <w:numFmt w:val="bullet"/>
      <w:lvlText w:val=""/>
      <w:lvlJc w:val="left"/>
      <w:pPr>
        <w:ind w:left="1428" w:hanging="356"/>
      </w:pPr>
      <w:rPr>
        <w:rFonts w:ascii="Symbol" w:hAnsi="Symbol" w:hint="default"/>
      </w:rPr>
    </w:lvl>
    <w:lvl w:ilvl="4">
      <w:start w:val="1"/>
      <w:numFmt w:val="bullet"/>
      <w:lvlText w:val="o"/>
      <w:lvlJc w:val="left"/>
      <w:pPr>
        <w:ind w:left="1785" w:hanging="357"/>
      </w:pPr>
      <w:rPr>
        <w:rFonts w:ascii="Courier New" w:hAnsi="Courier New" w:cs="Courier New" w:hint="default"/>
      </w:rPr>
    </w:lvl>
    <w:lvl w:ilvl="5">
      <w:start w:val="1"/>
      <w:numFmt w:val="bullet"/>
      <w:lvlText w:val=""/>
      <w:lvlJc w:val="left"/>
      <w:pPr>
        <w:ind w:left="2142" w:hanging="357"/>
      </w:pPr>
      <w:rPr>
        <w:rFonts w:ascii="Wingdings" w:hAnsi="Wingdings" w:hint="default"/>
      </w:rPr>
    </w:lvl>
    <w:lvl w:ilvl="6">
      <w:start w:val="1"/>
      <w:numFmt w:val="bullet"/>
      <w:lvlText w:val=""/>
      <w:lvlJc w:val="left"/>
      <w:pPr>
        <w:ind w:left="2499" w:hanging="357"/>
      </w:pPr>
      <w:rPr>
        <w:rFonts w:ascii="Symbol" w:hAnsi="Symbol" w:hint="default"/>
      </w:rPr>
    </w:lvl>
    <w:lvl w:ilvl="7">
      <w:start w:val="1"/>
      <w:numFmt w:val="bullet"/>
      <w:lvlText w:val="o"/>
      <w:lvlJc w:val="left"/>
      <w:pPr>
        <w:ind w:left="2856" w:hanging="357"/>
      </w:pPr>
      <w:rPr>
        <w:rFonts w:ascii="Courier New" w:hAnsi="Courier New" w:cs="Courier New" w:hint="default"/>
      </w:rPr>
    </w:lvl>
    <w:lvl w:ilvl="8">
      <w:start w:val="1"/>
      <w:numFmt w:val="bullet"/>
      <w:lvlText w:val=""/>
      <w:lvlJc w:val="left"/>
      <w:pPr>
        <w:ind w:left="3213" w:hanging="357"/>
      </w:pPr>
      <w:rPr>
        <w:rFonts w:ascii="Wingdings" w:hAnsi="Wingdings" w:hint="default"/>
      </w:rPr>
    </w:lvl>
  </w:abstractNum>
  <w:abstractNum w:abstractNumId="2" w15:restartNumberingAfterBreak="0">
    <w:nsid w:val="04210EBE"/>
    <w:multiLevelType w:val="hybridMultilevel"/>
    <w:tmpl w:val="B7D62C84"/>
    <w:lvl w:ilvl="0" w:tplc="98CA21BE">
      <w:numFmt w:val="bullet"/>
      <w:lvlText w:val="-"/>
      <w:lvlJc w:val="left"/>
      <w:pPr>
        <w:ind w:left="720" w:hanging="360"/>
      </w:pPr>
      <w:rPr>
        <w:rFonts w:ascii="Segoe UI" w:eastAsia="MS Mincho" w:hAnsi="Segoe UI" w:cs="Segoe U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CD3272E"/>
    <w:multiLevelType w:val="multilevel"/>
    <w:tmpl w:val="5486F4CE"/>
    <w:styleLink w:val="AdvisianAlpha"/>
    <w:lvl w:ilvl="0">
      <w:start w:val="1"/>
      <w:numFmt w:val="lowerLetter"/>
      <w:pStyle w:val="ListAlpha"/>
      <w:lvlText w:val="(%1)"/>
      <w:lvlJc w:val="left"/>
      <w:pPr>
        <w:tabs>
          <w:tab w:val="num" w:pos="964"/>
        </w:tabs>
        <w:ind w:left="567" w:hanging="567"/>
      </w:pPr>
      <w:rPr>
        <w:rFonts w:ascii="Georgia" w:hAnsi="Georgia" w:hint="default"/>
        <w:b w:val="0"/>
        <w:i w:val="0"/>
        <w:caps w:val="0"/>
        <w:strike w:val="0"/>
        <w:dstrike w:val="0"/>
        <w:vanish w:val="0"/>
        <w:sz w:val="19"/>
        <w:vertAlign w:val="baseline"/>
      </w:rPr>
    </w:lvl>
    <w:lvl w:ilvl="1">
      <w:start w:val="1"/>
      <w:numFmt w:val="lowerRoman"/>
      <w:lvlText w:val="(%2)"/>
      <w:lvlJc w:val="left"/>
      <w:pPr>
        <w:tabs>
          <w:tab w:val="num" w:pos="1531"/>
        </w:tabs>
        <w:ind w:left="1134" w:hanging="567"/>
      </w:pPr>
      <w:rPr>
        <w:rFonts w:ascii="Georgia" w:hAnsi="Georgia" w:hint="default"/>
        <w:b w:val="0"/>
        <w:i w:val="0"/>
        <w:sz w:val="19"/>
      </w:rPr>
    </w:lvl>
    <w:lvl w:ilvl="2">
      <w:start w:val="1"/>
      <w:numFmt w:val="decimal"/>
      <w:lvlText w:val="(%3)"/>
      <w:lvlJc w:val="left"/>
      <w:pPr>
        <w:tabs>
          <w:tab w:val="num" w:pos="2098"/>
        </w:tabs>
        <w:ind w:left="1701" w:hanging="567"/>
      </w:pPr>
      <w:rPr>
        <w:rFonts w:ascii="Georgia" w:hAnsi="Georgia" w:hint="default"/>
        <w:b w:val="0"/>
        <w:i w:val="0"/>
        <w:sz w:val="19"/>
      </w:rPr>
    </w:lvl>
    <w:lvl w:ilvl="3">
      <w:start w:val="1"/>
      <w:numFmt w:val="upperLetter"/>
      <w:lvlText w:val="(%4)"/>
      <w:lvlJc w:val="left"/>
      <w:pPr>
        <w:tabs>
          <w:tab w:val="num" w:pos="2665"/>
        </w:tabs>
        <w:ind w:left="2268" w:hanging="567"/>
      </w:pPr>
      <w:rPr>
        <w:rFonts w:ascii="Georgia" w:hAnsi="Georgia" w:hint="default"/>
        <w:b w:val="0"/>
        <w:i w:val="0"/>
        <w:sz w:val="19"/>
      </w:rPr>
    </w:lvl>
    <w:lvl w:ilvl="4">
      <w:start w:val="1"/>
      <w:numFmt w:val="none"/>
      <w:suff w:val="nothing"/>
      <w:lvlText w:val=""/>
      <w:lvlJc w:val="left"/>
      <w:pPr>
        <w:ind w:left="2835" w:hanging="567"/>
      </w:pPr>
      <w:rPr>
        <w:rFonts w:ascii="Arial" w:hAnsi="Arial" w:hint="default"/>
        <w:b w:val="0"/>
        <w:i w:val="0"/>
        <w:sz w:val="20"/>
      </w:rPr>
    </w:lvl>
    <w:lvl w:ilvl="5">
      <w:start w:val="1"/>
      <w:numFmt w:val="none"/>
      <w:suff w:val="nothing"/>
      <w:lvlText w:val=""/>
      <w:lvlJc w:val="left"/>
      <w:pPr>
        <w:ind w:left="3402" w:hanging="567"/>
      </w:pPr>
      <w:rPr>
        <w:rFonts w:ascii="Arial" w:hAnsi="Arial" w:hint="default"/>
        <w:b w:val="0"/>
        <w:i w:val="0"/>
        <w:sz w:val="20"/>
      </w:rPr>
    </w:lvl>
    <w:lvl w:ilvl="6">
      <w:start w:val="1"/>
      <w:numFmt w:val="none"/>
      <w:suff w:val="nothing"/>
      <w:lvlText w:val=""/>
      <w:lvlJc w:val="left"/>
      <w:pPr>
        <w:ind w:left="3969" w:hanging="567"/>
      </w:pPr>
      <w:rPr>
        <w:rFonts w:ascii="Arial" w:hAnsi="Arial" w:hint="default"/>
        <w:b w:val="0"/>
        <w:i w:val="0"/>
        <w:sz w:val="20"/>
      </w:rPr>
    </w:lvl>
    <w:lvl w:ilvl="7">
      <w:start w:val="1"/>
      <w:numFmt w:val="none"/>
      <w:suff w:val="nothing"/>
      <w:lvlText w:val="%8"/>
      <w:lvlJc w:val="left"/>
      <w:pPr>
        <w:ind w:left="4536" w:hanging="567"/>
      </w:pPr>
      <w:rPr>
        <w:rFonts w:hint="default"/>
      </w:rPr>
    </w:lvl>
    <w:lvl w:ilvl="8">
      <w:start w:val="1"/>
      <w:numFmt w:val="none"/>
      <w:suff w:val="nothing"/>
      <w:lvlText w:val="%9"/>
      <w:lvlJc w:val="left"/>
      <w:pPr>
        <w:ind w:left="5103" w:hanging="567"/>
      </w:pPr>
      <w:rPr>
        <w:rFonts w:hint="default"/>
      </w:rPr>
    </w:lvl>
  </w:abstractNum>
  <w:abstractNum w:abstractNumId="4" w15:restartNumberingAfterBreak="0">
    <w:nsid w:val="13206FE0"/>
    <w:multiLevelType w:val="hybridMultilevel"/>
    <w:tmpl w:val="68CCD822"/>
    <w:lvl w:ilvl="0" w:tplc="42F88DE4">
      <w:start w:val="1"/>
      <w:numFmt w:val="lowerLetter"/>
      <w:pStyle w:val="ADNumberList2"/>
      <w:lvlText w:val="%1."/>
      <w:lvlJc w:val="left"/>
      <w:pPr>
        <w:ind w:left="774"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5" w15:restartNumberingAfterBreak="0">
    <w:nsid w:val="188670BA"/>
    <w:multiLevelType w:val="multilevel"/>
    <w:tmpl w:val="D66C9E08"/>
    <w:styleLink w:val="TOCAppendix"/>
    <w:lvl w:ilvl="0">
      <w:start w:val="1"/>
      <w:numFmt w:val="upperLetter"/>
      <w:lvlText w:val="Appendix %1"/>
      <w:lvlJc w:val="left"/>
      <w:pPr>
        <w:tabs>
          <w:tab w:val="num" w:pos="1559"/>
        </w:tabs>
        <w:ind w:left="0" w:firstLine="0"/>
      </w:pPr>
      <w:rPr>
        <w:rFonts w:hint="default"/>
      </w:rPr>
    </w:lvl>
    <w:lvl w:ilvl="1">
      <w:start w:val="1"/>
      <w:numFmt w:val="none"/>
      <w:lvlText w:val=""/>
      <w:lvlJc w:val="left"/>
      <w:pPr>
        <w:tabs>
          <w:tab w:val="num" w:pos="851"/>
        </w:tabs>
        <w:ind w:left="0" w:firstLine="0"/>
      </w:pPr>
      <w:rPr>
        <w:rFonts w:hint="default"/>
      </w:rPr>
    </w:lvl>
    <w:lvl w:ilvl="2">
      <w:start w:val="1"/>
      <w:numFmt w:val="none"/>
      <w:lvlText w:val=""/>
      <w:lvlJc w:val="left"/>
      <w:pPr>
        <w:tabs>
          <w:tab w:val="num" w:pos="851"/>
        </w:tabs>
        <w:ind w:left="0" w:firstLine="0"/>
      </w:pPr>
      <w:rPr>
        <w:rFonts w:hint="default"/>
      </w:rPr>
    </w:lvl>
    <w:lvl w:ilvl="3">
      <w:start w:val="1"/>
      <w:numFmt w:val="none"/>
      <w:lvlText w:val=""/>
      <w:lvlJc w:val="left"/>
      <w:pPr>
        <w:tabs>
          <w:tab w:val="num" w:pos="851"/>
        </w:tabs>
        <w:ind w:left="0" w:firstLine="0"/>
      </w:pPr>
      <w:rPr>
        <w:rFonts w:hint="default"/>
      </w:rPr>
    </w:lvl>
    <w:lvl w:ilvl="4">
      <w:start w:val="1"/>
      <w:numFmt w:val="none"/>
      <w:lvlText w:val=""/>
      <w:lvlJc w:val="left"/>
      <w:pPr>
        <w:tabs>
          <w:tab w:val="num" w:pos="851"/>
        </w:tabs>
        <w:ind w:left="0" w:firstLine="0"/>
      </w:pPr>
      <w:rPr>
        <w:rFonts w:hint="default"/>
      </w:rPr>
    </w:lvl>
    <w:lvl w:ilvl="5">
      <w:start w:val="1"/>
      <w:numFmt w:val="none"/>
      <w:lvlText w:val=""/>
      <w:lvlJc w:val="left"/>
      <w:pPr>
        <w:tabs>
          <w:tab w:val="num" w:pos="851"/>
        </w:tabs>
        <w:ind w:left="0" w:firstLine="0"/>
      </w:pPr>
      <w:rPr>
        <w:rFonts w:hint="default"/>
      </w:rPr>
    </w:lvl>
    <w:lvl w:ilvl="6">
      <w:start w:val="1"/>
      <w:numFmt w:val="none"/>
      <w:lvlText w:val=""/>
      <w:lvlJc w:val="left"/>
      <w:pPr>
        <w:tabs>
          <w:tab w:val="num" w:pos="851"/>
        </w:tabs>
        <w:ind w:left="0" w:firstLine="0"/>
      </w:pPr>
      <w:rPr>
        <w:rFonts w:hint="default"/>
      </w:rPr>
    </w:lvl>
    <w:lvl w:ilvl="7">
      <w:start w:val="1"/>
      <w:numFmt w:val="none"/>
      <w:lvlText w:val=""/>
      <w:lvlJc w:val="left"/>
      <w:pPr>
        <w:tabs>
          <w:tab w:val="num" w:pos="851"/>
        </w:tabs>
        <w:ind w:left="0" w:firstLine="0"/>
      </w:pPr>
      <w:rPr>
        <w:rFonts w:hint="default"/>
      </w:rPr>
    </w:lvl>
    <w:lvl w:ilvl="8">
      <w:start w:val="1"/>
      <w:numFmt w:val="none"/>
      <w:lvlText w:val=""/>
      <w:lvlJc w:val="left"/>
      <w:pPr>
        <w:tabs>
          <w:tab w:val="num" w:pos="851"/>
        </w:tabs>
        <w:ind w:left="0" w:firstLine="0"/>
      </w:pPr>
      <w:rPr>
        <w:rFonts w:hint="default"/>
      </w:rPr>
    </w:lvl>
  </w:abstractNum>
  <w:abstractNum w:abstractNumId="6" w15:restartNumberingAfterBreak="0">
    <w:nsid w:val="1C662AA9"/>
    <w:multiLevelType w:val="multilevel"/>
    <w:tmpl w:val="5486F4CE"/>
    <w:numStyleLink w:val="AdvisianAlpha"/>
  </w:abstractNum>
  <w:abstractNum w:abstractNumId="7" w15:restartNumberingAfterBreak="0">
    <w:nsid w:val="23D00AF5"/>
    <w:multiLevelType w:val="hybridMultilevel"/>
    <w:tmpl w:val="8326D784"/>
    <w:lvl w:ilvl="0" w:tplc="905464CA">
      <w:start w:val="1"/>
      <w:numFmt w:val="decimal"/>
      <w:pStyle w:val="ADTableTitleCaptio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85041A2"/>
    <w:multiLevelType w:val="hybridMultilevel"/>
    <w:tmpl w:val="420C3AB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1D14C7E"/>
    <w:multiLevelType w:val="hybridMultilevel"/>
    <w:tmpl w:val="782817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AE511B1"/>
    <w:multiLevelType w:val="hybridMultilevel"/>
    <w:tmpl w:val="168EC88C"/>
    <w:lvl w:ilvl="0" w:tplc="5380B59E">
      <w:start w:val="1"/>
      <w:numFmt w:val="decimal"/>
      <w:pStyle w:val="ADNumberList1"/>
      <w:lvlText w:val="%1."/>
      <w:lvlJc w:val="left"/>
      <w:pPr>
        <w:ind w:left="720" w:hanging="360"/>
      </w:pPr>
    </w:lvl>
    <w:lvl w:ilvl="1" w:tplc="C18476AA">
      <w:start w:val="1"/>
      <w:numFmt w:val="lowerLetter"/>
      <w:lvlText w:val="%2."/>
      <w:lvlJc w:val="left"/>
      <w:pPr>
        <w:ind w:left="1440" w:hanging="360"/>
      </w:pPr>
    </w:lvl>
    <w:lvl w:ilvl="2" w:tplc="96641790">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43845951"/>
    <w:multiLevelType w:val="hybridMultilevel"/>
    <w:tmpl w:val="EDD6B568"/>
    <w:lvl w:ilvl="0" w:tplc="DC680690">
      <w:start w:val="1"/>
      <w:numFmt w:val="decimal"/>
      <w:pStyle w:val="ADFigureTitl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3576DC8"/>
    <w:multiLevelType w:val="hybridMultilevel"/>
    <w:tmpl w:val="B3F2C7D2"/>
    <w:lvl w:ilvl="0" w:tplc="9E908F16">
      <w:start w:val="1"/>
      <w:numFmt w:val="decimal"/>
      <w:pStyle w:val="ReferenceBullet"/>
      <w:lvlText w:val="[Ref %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14D18C0"/>
    <w:multiLevelType w:val="hybridMultilevel"/>
    <w:tmpl w:val="70782EB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4" w15:restartNumberingAfterBreak="0">
    <w:nsid w:val="624F49EF"/>
    <w:multiLevelType w:val="multilevel"/>
    <w:tmpl w:val="C714CA48"/>
    <w:styleLink w:val="1ai"/>
    <w:lvl w:ilvl="0">
      <w:start w:val="1"/>
      <w:numFmt w:val="decimal"/>
      <w:lvlText w:val="%1.0"/>
      <w:lvlJc w:val="left"/>
      <w:pPr>
        <w:ind w:left="0" w:firstLine="0"/>
      </w:pPr>
      <w:rPr>
        <w:rFonts w:ascii="Calibri" w:hAnsi="Calibri" w:cstheme="minorHAnsi"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5" w15:restartNumberingAfterBreak="0">
    <w:nsid w:val="634D53D4"/>
    <w:multiLevelType w:val="multilevel"/>
    <w:tmpl w:val="A0E87B2C"/>
    <w:lvl w:ilvl="0">
      <w:start w:val="1"/>
      <w:numFmt w:val="decimal"/>
      <w:pStyle w:val="Heading1"/>
      <w:lvlText w:val="%1"/>
      <w:lvlJc w:val="left"/>
      <w:pPr>
        <w:ind w:left="1134" w:hanging="1134"/>
      </w:pPr>
      <w:rPr>
        <w:rFonts w:hint="default"/>
      </w:rPr>
    </w:lvl>
    <w:lvl w:ilvl="1">
      <w:start w:val="1"/>
      <w:numFmt w:val="decimal"/>
      <w:pStyle w:val="Heading2"/>
      <w:lvlText w:val="%1.%2"/>
      <w:lvlJc w:val="left"/>
      <w:pPr>
        <w:ind w:left="1134" w:hanging="1134"/>
      </w:pPr>
      <w:rPr>
        <w:rFonts w:hint="default"/>
        <w:b/>
      </w:rPr>
    </w:lvl>
    <w:lvl w:ilvl="2">
      <w:start w:val="1"/>
      <w:numFmt w:val="decimal"/>
      <w:pStyle w:val="Heading3"/>
      <w:lvlText w:val="%1.%2.%3"/>
      <w:lvlJc w:val="left"/>
      <w:pPr>
        <w:ind w:left="1134" w:hanging="1134"/>
      </w:pPr>
      <w:rPr>
        <w:rFonts w:hint="default"/>
        <w:b/>
      </w:rPr>
    </w:lvl>
    <w:lvl w:ilvl="3">
      <w:start w:val="1"/>
      <w:numFmt w:val="decimal"/>
      <w:pStyle w:val="Heading4"/>
      <w:lvlText w:val="%1.%2.%3.%4"/>
      <w:lvlJc w:val="left"/>
      <w:pPr>
        <w:ind w:left="3402" w:hanging="1134"/>
      </w:pPr>
      <w:rPr>
        <w:rFonts w:hint="default"/>
        <w:b/>
      </w:rPr>
    </w:lvl>
    <w:lvl w:ilvl="4">
      <w:start w:val="1"/>
      <w:numFmt w:val="decimal"/>
      <w:lvlText w:val="%1.%2.%3.%4.%5"/>
      <w:lvlJc w:val="left"/>
      <w:pPr>
        <w:ind w:left="1134" w:hanging="113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1.%2.%3.%4.%5.%6"/>
      <w:lvlJc w:val="left"/>
      <w:pPr>
        <w:ind w:left="1134" w:hanging="1134"/>
      </w:pPr>
      <w:rPr>
        <w:rFonts w:hint="default"/>
      </w:rPr>
    </w:lvl>
    <w:lvl w:ilvl="6">
      <w:start w:val="1"/>
      <w:numFmt w:val="decimal"/>
      <w:lvlText w:val="%1.%2.%3.%4.%5.%6.%7"/>
      <w:lvlJc w:val="left"/>
      <w:pPr>
        <w:ind w:left="1134" w:hanging="1134"/>
      </w:pPr>
      <w:rPr>
        <w:rFonts w:hint="default"/>
      </w:rPr>
    </w:lvl>
    <w:lvl w:ilvl="7">
      <w:start w:val="1"/>
      <w:numFmt w:val="decimal"/>
      <w:lvlText w:val="%1.%2.%3.%4.%5.%6.%7.%8"/>
      <w:lvlJc w:val="left"/>
      <w:pPr>
        <w:ind w:left="1134" w:hanging="1134"/>
      </w:pPr>
      <w:rPr>
        <w:rFonts w:hint="default"/>
      </w:rPr>
    </w:lvl>
    <w:lvl w:ilvl="8">
      <w:start w:val="1"/>
      <w:numFmt w:val="decimal"/>
      <w:lvlText w:val="%1.%2.%3.%4.%5.%6.%7.%8.%9"/>
      <w:lvlJc w:val="left"/>
      <w:pPr>
        <w:ind w:left="1134" w:hanging="1134"/>
      </w:pPr>
      <w:rPr>
        <w:rFonts w:hint="default"/>
      </w:rPr>
    </w:lvl>
  </w:abstractNum>
  <w:abstractNum w:abstractNumId="16" w15:restartNumberingAfterBreak="0">
    <w:nsid w:val="63ED46C4"/>
    <w:multiLevelType w:val="hybridMultilevel"/>
    <w:tmpl w:val="FDCE78C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C7B693E"/>
    <w:multiLevelType w:val="multilevel"/>
    <w:tmpl w:val="A8D22482"/>
    <w:styleLink w:val="AppendixList"/>
    <w:lvl w:ilvl="0">
      <w:start w:val="1"/>
      <w:numFmt w:val="upperLetter"/>
      <w:lvlText w:val="Appendix %1"/>
      <w:lvlJc w:val="left"/>
      <w:pPr>
        <w:ind w:left="2835" w:hanging="2835"/>
      </w:pPr>
      <w:rPr>
        <w:b/>
        <w:i w:val="0"/>
        <w:color w:val="auto"/>
        <w:sz w:val="60"/>
      </w:rPr>
    </w:lvl>
    <w:lvl w:ilvl="1">
      <w:start w:val="1"/>
      <w:numFmt w:val="none"/>
      <w:lvlText w:val=""/>
      <w:lvlJc w:val="left"/>
      <w:pPr>
        <w:ind w:left="720" w:hanging="360"/>
      </w:pPr>
      <w:rPr>
        <w:rFonts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8" w15:restartNumberingAfterBreak="0">
    <w:nsid w:val="6F8A61EF"/>
    <w:multiLevelType w:val="hybridMultilevel"/>
    <w:tmpl w:val="C7A827FC"/>
    <w:lvl w:ilvl="0" w:tplc="9C76DDE8">
      <w:start w:val="1"/>
      <w:numFmt w:val="bullet"/>
      <w:lvlText w:val=""/>
      <w:lvlJc w:val="left"/>
      <w:pPr>
        <w:ind w:left="360" w:hanging="360"/>
      </w:pPr>
      <w:rPr>
        <w:rFonts w:ascii="Wingdings" w:hAnsi="Wingdings" w:hint="default"/>
        <w:color w:val="004662" w:themeColor="accent1" w:themeShade="BF"/>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728C2401"/>
    <w:multiLevelType w:val="hybridMultilevel"/>
    <w:tmpl w:val="E886DB00"/>
    <w:lvl w:ilvl="0" w:tplc="3956F66A">
      <w:start w:val="1"/>
      <w:numFmt w:val="bullet"/>
      <w:pStyle w:val="ADTableBullet1"/>
      <w:lvlText w:val=""/>
      <w:lvlJc w:val="left"/>
      <w:pPr>
        <w:ind w:left="822" w:hanging="360"/>
      </w:pPr>
      <w:rPr>
        <w:rFonts w:ascii="Wingdings" w:hAnsi="Wingdings" w:cs="Wingdings" w:hint="default"/>
        <w:color w:val="005F83"/>
      </w:rPr>
    </w:lvl>
    <w:lvl w:ilvl="1" w:tplc="AE1E32B8">
      <w:start w:val="1"/>
      <w:numFmt w:val="bullet"/>
      <w:lvlText w:val="-"/>
      <w:lvlJc w:val="left"/>
      <w:pPr>
        <w:ind w:left="1542" w:hanging="360"/>
      </w:pPr>
      <w:rPr>
        <w:rFonts w:ascii="Arial" w:hAnsi="Arial" w:cs="Arial" w:hint="default"/>
        <w:color w:val="005F83" w:themeColor="accent6"/>
      </w:rPr>
    </w:lvl>
    <w:lvl w:ilvl="2" w:tplc="0C090005" w:tentative="1">
      <w:start w:val="1"/>
      <w:numFmt w:val="bullet"/>
      <w:lvlText w:val=""/>
      <w:lvlJc w:val="left"/>
      <w:pPr>
        <w:ind w:left="2262" w:hanging="360"/>
      </w:pPr>
      <w:rPr>
        <w:rFonts w:ascii="Wingdings" w:hAnsi="Wingdings" w:hint="default"/>
      </w:rPr>
    </w:lvl>
    <w:lvl w:ilvl="3" w:tplc="0C090001" w:tentative="1">
      <w:start w:val="1"/>
      <w:numFmt w:val="bullet"/>
      <w:lvlText w:val=""/>
      <w:lvlJc w:val="left"/>
      <w:pPr>
        <w:ind w:left="2982" w:hanging="360"/>
      </w:pPr>
      <w:rPr>
        <w:rFonts w:ascii="Symbol" w:hAnsi="Symbol" w:hint="default"/>
      </w:rPr>
    </w:lvl>
    <w:lvl w:ilvl="4" w:tplc="0C090003" w:tentative="1">
      <w:start w:val="1"/>
      <w:numFmt w:val="bullet"/>
      <w:lvlText w:val="o"/>
      <w:lvlJc w:val="left"/>
      <w:pPr>
        <w:ind w:left="3702" w:hanging="360"/>
      </w:pPr>
      <w:rPr>
        <w:rFonts w:ascii="Courier New" w:hAnsi="Courier New" w:cs="Courier New" w:hint="default"/>
      </w:rPr>
    </w:lvl>
    <w:lvl w:ilvl="5" w:tplc="0C090005" w:tentative="1">
      <w:start w:val="1"/>
      <w:numFmt w:val="bullet"/>
      <w:lvlText w:val=""/>
      <w:lvlJc w:val="left"/>
      <w:pPr>
        <w:ind w:left="4422" w:hanging="360"/>
      </w:pPr>
      <w:rPr>
        <w:rFonts w:ascii="Wingdings" w:hAnsi="Wingdings" w:hint="default"/>
      </w:rPr>
    </w:lvl>
    <w:lvl w:ilvl="6" w:tplc="0C090001" w:tentative="1">
      <w:start w:val="1"/>
      <w:numFmt w:val="bullet"/>
      <w:lvlText w:val=""/>
      <w:lvlJc w:val="left"/>
      <w:pPr>
        <w:ind w:left="5142" w:hanging="360"/>
      </w:pPr>
      <w:rPr>
        <w:rFonts w:ascii="Symbol" w:hAnsi="Symbol" w:hint="default"/>
      </w:rPr>
    </w:lvl>
    <w:lvl w:ilvl="7" w:tplc="0C090003" w:tentative="1">
      <w:start w:val="1"/>
      <w:numFmt w:val="bullet"/>
      <w:lvlText w:val="o"/>
      <w:lvlJc w:val="left"/>
      <w:pPr>
        <w:ind w:left="5862" w:hanging="360"/>
      </w:pPr>
      <w:rPr>
        <w:rFonts w:ascii="Courier New" w:hAnsi="Courier New" w:cs="Courier New" w:hint="default"/>
      </w:rPr>
    </w:lvl>
    <w:lvl w:ilvl="8" w:tplc="0C090005" w:tentative="1">
      <w:start w:val="1"/>
      <w:numFmt w:val="bullet"/>
      <w:lvlText w:val=""/>
      <w:lvlJc w:val="left"/>
      <w:pPr>
        <w:ind w:left="6582" w:hanging="360"/>
      </w:pPr>
      <w:rPr>
        <w:rFonts w:ascii="Wingdings" w:hAnsi="Wingdings" w:hint="default"/>
      </w:rPr>
    </w:lvl>
  </w:abstractNum>
  <w:abstractNum w:abstractNumId="20" w15:restartNumberingAfterBreak="0">
    <w:nsid w:val="734158A4"/>
    <w:multiLevelType w:val="multilevel"/>
    <w:tmpl w:val="E012CB16"/>
    <w:lvl w:ilvl="0">
      <w:start w:val="1"/>
      <w:numFmt w:val="bullet"/>
      <w:pStyle w:val="ADBullet1"/>
      <w:lvlText w:val=""/>
      <w:lvlJc w:val="left"/>
      <w:pPr>
        <w:ind w:left="360" w:hanging="360"/>
      </w:pPr>
      <w:rPr>
        <w:rFonts w:ascii="Wingdings" w:hAnsi="Wingdings" w:hint="default"/>
        <w:color w:val="005F83"/>
      </w:rPr>
    </w:lvl>
    <w:lvl w:ilvl="1">
      <w:start w:val="1"/>
      <w:numFmt w:val="bullet"/>
      <w:pStyle w:val="ADBullet2"/>
      <w:lvlText w:val=""/>
      <w:lvlJc w:val="left"/>
      <w:pPr>
        <w:ind w:left="714" w:hanging="357"/>
      </w:pPr>
      <w:rPr>
        <w:rFonts w:ascii="Symbol" w:hAnsi="Symbol" w:hint="default"/>
      </w:rPr>
    </w:lvl>
    <w:lvl w:ilvl="2">
      <w:start w:val="1"/>
      <w:numFmt w:val="bullet"/>
      <w:lvlText w:val="-"/>
      <w:lvlJc w:val="left"/>
      <w:pPr>
        <w:ind w:left="1071" w:hanging="357"/>
      </w:pPr>
      <w:rPr>
        <w:rFonts w:ascii="Arial" w:hAnsi="Arial" w:cs="Arial" w:hint="default"/>
        <w:color w:val="005F83" w:themeColor="accent6"/>
      </w:rPr>
    </w:lvl>
    <w:lvl w:ilvl="3">
      <w:start w:val="1"/>
      <w:numFmt w:val="bullet"/>
      <w:lvlText w:val=""/>
      <w:lvlJc w:val="left"/>
      <w:pPr>
        <w:ind w:left="1428" w:hanging="356"/>
      </w:pPr>
      <w:rPr>
        <w:rFonts w:ascii="Symbol" w:hAnsi="Symbol" w:hint="default"/>
      </w:rPr>
    </w:lvl>
    <w:lvl w:ilvl="4">
      <w:start w:val="1"/>
      <w:numFmt w:val="bullet"/>
      <w:lvlText w:val="o"/>
      <w:lvlJc w:val="left"/>
      <w:pPr>
        <w:ind w:left="1785" w:hanging="357"/>
      </w:pPr>
      <w:rPr>
        <w:rFonts w:ascii="Courier New" w:hAnsi="Courier New" w:cs="Courier New" w:hint="default"/>
      </w:rPr>
    </w:lvl>
    <w:lvl w:ilvl="5">
      <w:start w:val="1"/>
      <w:numFmt w:val="bullet"/>
      <w:lvlText w:val=""/>
      <w:lvlJc w:val="left"/>
      <w:pPr>
        <w:ind w:left="2142" w:hanging="357"/>
      </w:pPr>
      <w:rPr>
        <w:rFonts w:ascii="Wingdings" w:hAnsi="Wingdings" w:hint="default"/>
      </w:rPr>
    </w:lvl>
    <w:lvl w:ilvl="6">
      <w:start w:val="1"/>
      <w:numFmt w:val="bullet"/>
      <w:lvlText w:val=""/>
      <w:lvlJc w:val="left"/>
      <w:pPr>
        <w:ind w:left="2499" w:hanging="357"/>
      </w:pPr>
      <w:rPr>
        <w:rFonts w:ascii="Symbol" w:hAnsi="Symbol" w:hint="default"/>
      </w:rPr>
    </w:lvl>
    <w:lvl w:ilvl="7">
      <w:start w:val="1"/>
      <w:numFmt w:val="bullet"/>
      <w:lvlText w:val="o"/>
      <w:lvlJc w:val="left"/>
      <w:pPr>
        <w:ind w:left="2856" w:hanging="357"/>
      </w:pPr>
      <w:rPr>
        <w:rFonts w:ascii="Courier New" w:hAnsi="Courier New" w:cs="Courier New" w:hint="default"/>
      </w:rPr>
    </w:lvl>
    <w:lvl w:ilvl="8">
      <w:start w:val="1"/>
      <w:numFmt w:val="bullet"/>
      <w:lvlText w:val=""/>
      <w:lvlJc w:val="left"/>
      <w:pPr>
        <w:ind w:left="3213" w:hanging="357"/>
      </w:pPr>
      <w:rPr>
        <w:rFonts w:ascii="Wingdings" w:hAnsi="Wingdings" w:hint="default"/>
      </w:rPr>
    </w:lvl>
  </w:abstractNum>
  <w:abstractNum w:abstractNumId="21" w15:restartNumberingAfterBreak="0">
    <w:nsid w:val="73AD7EEB"/>
    <w:multiLevelType w:val="hybridMultilevel"/>
    <w:tmpl w:val="2BB8756C"/>
    <w:lvl w:ilvl="0" w:tplc="B0D0A568">
      <w:start w:val="1"/>
      <w:numFmt w:val="upperLetter"/>
      <w:pStyle w:val="ADHeadingAppendix"/>
      <w:lvlText w:val="Appendix %1"/>
      <w:lvlJc w:val="left"/>
      <w:pPr>
        <w:ind w:left="360" w:hanging="360"/>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818" w:hanging="360"/>
      </w:pPr>
    </w:lvl>
    <w:lvl w:ilvl="2" w:tplc="0409001B" w:tentative="1">
      <w:start w:val="1"/>
      <w:numFmt w:val="lowerRoman"/>
      <w:lvlText w:val="%3."/>
      <w:lvlJc w:val="right"/>
      <w:pPr>
        <w:ind w:left="-98" w:hanging="180"/>
      </w:pPr>
    </w:lvl>
    <w:lvl w:ilvl="3" w:tplc="0409000F" w:tentative="1">
      <w:start w:val="1"/>
      <w:numFmt w:val="decimal"/>
      <w:lvlText w:val="%4."/>
      <w:lvlJc w:val="left"/>
      <w:pPr>
        <w:ind w:left="622" w:hanging="360"/>
      </w:pPr>
    </w:lvl>
    <w:lvl w:ilvl="4" w:tplc="04090019" w:tentative="1">
      <w:start w:val="1"/>
      <w:numFmt w:val="lowerLetter"/>
      <w:lvlText w:val="%5."/>
      <w:lvlJc w:val="left"/>
      <w:pPr>
        <w:ind w:left="1342" w:hanging="360"/>
      </w:pPr>
    </w:lvl>
    <w:lvl w:ilvl="5" w:tplc="0409001B" w:tentative="1">
      <w:start w:val="1"/>
      <w:numFmt w:val="lowerRoman"/>
      <w:lvlText w:val="%6."/>
      <w:lvlJc w:val="right"/>
      <w:pPr>
        <w:ind w:left="2062" w:hanging="180"/>
      </w:pPr>
    </w:lvl>
    <w:lvl w:ilvl="6" w:tplc="0409000F" w:tentative="1">
      <w:start w:val="1"/>
      <w:numFmt w:val="decimal"/>
      <w:lvlText w:val="%7."/>
      <w:lvlJc w:val="left"/>
      <w:pPr>
        <w:ind w:left="2782" w:hanging="360"/>
      </w:pPr>
    </w:lvl>
    <w:lvl w:ilvl="7" w:tplc="04090019" w:tentative="1">
      <w:start w:val="1"/>
      <w:numFmt w:val="lowerLetter"/>
      <w:lvlText w:val="%8."/>
      <w:lvlJc w:val="left"/>
      <w:pPr>
        <w:ind w:left="3502" w:hanging="360"/>
      </w:pPr>
    </w:lvl>
    <w:lvl w:ilvl="8" w:tplc="0409001B" w:tentative="1">
      <w:start w:val="1"/>
      <w:numFmt w:val="lowerRoman"/>
      <w:lvlText w:val="%9."/>
      <w:lvlJc w:val="right"/>
      <w:pPr>
        <w:ind w:left="4222" w:hanging="180"/>
      </w:pPr>
    </w:lvl>
  </w:abstractNum>
  <w:abstractNum w:abstractNumId="22" w15:restartNumberingAfterBreak="0">
    <w:nsid w:val="74C15412"/>
    <w:multiLevelType w:val="hybridMultilevel"/>
    <w:tmpl w:val="F070AB98"/>
    <w:lvl w:ilvl="0" w:tplc="04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6AB4CCB"/>
    <w:multiLevelType w:val="hybridMultilevel"/>
    <w:tmpl w:val="CB40F248"/>
    <w:lvl w:ilvl="0" w:tplc="6E4A81BE">
      <w:start w:val="1"/>
      <w:numFmt w:val="bullet"/>
      <w:lvlText w:val=""/>
      <w:lvlJc w:val="left"/>
      <w:pPr>
        <w:ind w:left="822" w:hanging="360"/>
      </w:pPr>
      <w:rPr>
        <w:rFonts w:ascii="Wingdings" w:hAnsi="Wingdings" w:cs="Wingdings" w:hint="default"/>
        <w:color w:val="005F83" w:themeColor="accent6"/>
      </w:rPr>
    </w:lvl>
    <w:lvl w:ilvl="1" w:tplc="7166B36C">
      <w:start w:val="1"/>
      <w:numFmt w:val="bullet"/>
      <w:pStyle w:val="ADTableBullet2"/>
      <w:lvlText w:val="-"/>
      <w:lvlJc w:val="left"/>
      <w:pPr>
        <w:ind w:left="1542" w:hanging="360"/>
      </w:pPr>
      <w:rPr>
        <w:rFonts w:ascii="Arial" w:hAnsi="Arial" w:cs="Arial" w:hint="default"/>
        <w:color w:val="005F83"/>
      </w:rPr>
    </w:lvl>
    <w:lvl w:ilvl="2" w:tplc="0C090005" w:tentative="1">
      <w:start w:val="1"/>
      <w:numFmt w:val="bullet"/>
      <w:lvlText w:val=""/>
      <w:lvlJc w:val="left"/>
      <w:pPr>
        <w:ind w:left="2262" w:hanging="360"/>
      </w:pPr>
      <w:rPr>
        <w:rFonts w:ascii="Wingdings" w:hAnsi="Wingdings" w:hint="default"/>
      </w:rPr>
    </w:lvl>
    <w:lvl w:ilvl="3" w:tplc="0C090001" w:tentative="1">
      <w:start w:val="1"/>
      <w:numFmt w:val="bullet"/>
      <w:lvlText w:val=""/>
      <w:lvlJc w:val="left"/>
      <w:pPr>
        <w:ind w:left="2982" w:hanging="360"/>
      </w:pPr>
      <w:rPr>
        <w:rFonts w:ascii="Symbol" w:hAnsi="Symbol" w:hint="default"/>
      </w:rPr>
    </w:lvl>
    <w:lvl w:ilvl="4" w:tplc="0C090003" w:tentative="1">
      <w:start w:val="1"/>
      <w:numFmt w:val="bullet"/>
      <w:lvlText w:val="o"/>
      <w:lvlJc w:val="left"/>
      <w:pPr>
        <w:ind w:left="3702" w:hanging="360"/>
      </w:pPr>
      <w:rPr>
        <w:rFonts w:ascii="Courier New" w:hAnsi="Courier New" w:cs="Courier New" w:hint="default"/>
      </w:rPr>
    </w:lvl>
    <w:lvl w:ilvl="5" w:tplc="0C090005" w:tentative="1">
      <w:start w:val="1"/>
      <w:numFmt w:val="bullet"/>
      <w:lvlText w:val=""/>
      <w:lvlJc w:val="left"/>
      <w:pPr>
        <w:ind w:left="4422" w:hanging="360"/>
      </w:pPr>
      <w:rPr>
        <w:rFonts w:ascii="Wingdings" w:hAnsi="Wingdings" w:hint="default"/>
      </w:rPr>
    </w:lvl>
    <w:lvl w:ilvl="6" w:tplc="0C090001" w:tentative="1">
      <w:start w:val="1"/>
      <w:numFmt w:val="bullet"/>
      <w:lvlText w:val=""/>
      <w:lvlJc w:val="left"/>
      <w:pPr>
        <w:ind w:left="5142" w:hanging="360"/>
      </w:pPr>
      <w:rPr>
        <w:rFonts w:ascii="Symbol" w:hAnsi="Symbol" w:hint="default"/>
      </w:rPr>
    </w:lvl>
    <w:lvl w:ilvl="7" w:tplc="0C090003" w:tentative="1">
      <w:start w:val="1"/>
      <w:numFmt w:val="bullet"/>
      <w:lvlText w:val="o"/>
      <w:lvlJc w:val="left"/>
      <w:pPr>
        <w:ind w:left="5862" w:hanging="360"/>
      </w:pPr>
      <w:rPr>
        <w:rFonts w:ascii="Courier New" w:hAnsi="Courier New" w:cs="Courier New" w:hint="default"/>
      </w:rPr>
    </w:lvl>
    <w:lvl w:ilvl="8" w:tplc="0C090005" w:tentative="1">
      <w:start w:val="1"/>
      <w:numFmt w:val="bullet"/>
      <w:lvlText w:val=""/>
      <w:lvlJc w:val="left"/>
      <w:pPr>
        <w:ind w:left="6582" w:hanging="360"/>
      </w:pPr>
      <w:rPr>
        <w:rFonts w:ascii="Wingdings" w:hAnsi="Wingdings" w:hint="default"/>
      </w:rPr>
    </w:lvl>
  </w:abstractNum>
  <w:abstractNum w:abstractNumId="24" w15:restartNumberingAfterBreak="0">
    <w:nsid w:val="7A03295E"/>
    <w:multiLevelType w:val="hybridMultilevel"/>
    <w:tmpl w:val="D0EA388A"/>
    <w:lvl w:ilvl="0" w:tplc="6F8E3602">
      <w:start w:val="1"/>
      <w:numFmt w:val="lowerRoman"/>
      <w:pStyle w:val="ADNumberList3"/>
      <w:lvlText w:val="%1."/>
      <w:lvlJc w:val="left"/>
      <w:pPr>
        <w:ind w:left="1571" w:hanging="360"/>
      </w:pPr>
      <w:rPr>
        <w:rFonts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num w:numId="1">
    <w:abstractNumId w:val="14"/>
  </w:num>
  <w:num w:numId="2">
    <w:abstractNumId w:val="17"/>
  </w:num>
  <w:num w:numId="3">
    <w:abstractNumId w:val="0"/>
  </w:num>
  <w:num w:numId="4">
    <w:abstractNumId w:val="5"/>
  </w:num>
  <w:num w:numId="5">
    <w:abstractNumId w:val="20"/>
  </w:num>
  <w:num w:numId="6">
    <w:abstractNumId w:val="1"/>
  </w:num>
  <w:num w:numId="7">
    <w:abstractNumId w:val="10"/>
  </w:num>
  <w:num w:numId="8">
    <w:abstractNumId w:val="4"/>
  </w:num>
  <w:num w:numId="9">
    <w:abstractNumId w:val="24"/>
  </w:num>
  <w:num w:numId="10">
    <w:abstractNumId w:val="19"/>
  </w:num>
  <w:num w:numId="11">
    <w:abstractNumId w:val="23"/>
  </w:num>
  <w:num w:numId="12">
    <w:abstractNumId w:val="15"/>
  </w:num>
  <w:num w:numId="13">
    <w:abstractNumId w:val="3"/>
  </w:num>
  <w:num w:numId="14">
    <w:abstractNumId w:val="6"/>
  </w:num>
  <w:num w:numId="15">
    <w:abstractNumId w:val="11"/>
  </w:num>
  <w:num w:numId="16">
    <w:abstractNumId w:val="7"/>
  </w:num>
  <w:num w:numId="17">
    <w:abstractNumId w:val="12"/>
  </w:num>
  <w:num w:numId="18">
    <w:abstractNumId w:val="21"/>
  </w:num>
  <w:num w:numId="19">
    <w:abstractNumId w:val="16"/>
  </w:num>
  <w:num w:numId="20">
    <w:abstractNumId w:val="8"/>
  </w:num>
  <w:num w:numId="21">
    <w:abstractNumId w:val="9"/>
  </w:num>
  <w:num w:numId="2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5"/>
  </w:num>
  <w:num w:numId="24">
    <w:abstractNumId w:val="22"/>
  </w:num>
  <w:num w:numId="25">
    <w:abstractNumId w:val="18"/>
  </w:num>
  <w:num w:numId="26">
    <w:abstractNumId w:val="13"/>
  </w:num>
  <w:num w:numId="27">
    <w:abstractNumId w:val="20"/>
  </w:num>
  <w:num w:numId="28">
    <w:abstractNumId w:val="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B5C23"/>
    <w:rsid w:val="00000F28"/>
    <w:rsid w:val="000019B9"/>
    <w:rsid w:val="00001F96"/>
    <w:rsid w:val="00002B22"/>
    <w:rsid w:val="00003CF3"/>
    <w:rsid w:val="000044EA"/>
    <w:rsid w:val="00005561"/>
    <w:rsid w:val="00006276"/>
    <w:rsid w:val="00007B53"/>
    <w:rsid w:val="0001040F"/>
    <w:rsid w:val="000111F2"/>
    <w:rsid w:val="0001181C"/>
    <w:rsid w:val="000135D9"/>
    <w:rsid w:val="00013ABC"/>
    <w:rsid w:val="0002052C"/>
    <w:rsid w:val="00021372"/>
    <w:rsid w:val="00022CC4"/>
    <w:rsid w:val="00025D64"/>
    <w:rsid w:val="0002722B"/>
    <w:rsid w:val="00033600"/>
    <w:rsid w:val="000348D8"/>
    <w:rsid w:val="000366E1"/>
    <w:rsid w:val="00041F34"/>
    <w:rsid w:val="00043738"/>
    <w:rsid w:val="00043EF4"/>
    <w:rsid w:val="000457DC"/>
    <w:rsid w:val="0004600D"/>
    <w:rsid w:val="00050576"/>
    <w:rsid w:val="00053FCB"/>
    <w:rsid w:val="000541B8"/>
    <w:rsid w:val="00054D7B"/>
    <w:rsid w:val="00055123"/>
    <w:rsid w:val="00060611"/>
    <w:rsid w:val="000627E6"/>
    <w:rsid w:val="00062931"/>
    <w:rsid w:val="000656CD"/>
    <w:rsid w:val="00066E93"/>
    <w:rsid w:val="00067CDF"/>
    <w:rsid w:val="000712C4"/>
    <w:rsid w:val="000724A9"/>
    <w:rsid w:val="00072B3B"/>
    <w:rsid w:val="00073625"/>
    <w:rsid w:val="000777FC"/>
    <w:rsid w:val="00081C49"/>
    <w:rsid w:val="00081E05"/>
    <w:rsid w:val="00086129"/>
    <w:rsid w:val="00087527"/>
    <w:rsid w:val="00090393"/>
    <w:rsid w:val="00090459"/>
    <w:rsid w:val="00092ED9"/>
    <w:rsid w:val="00095F7B"/>
    <w:rsid w:val="000966C8"/>
    <w:rsid w:val="000A1C0F"/>
    <w:rsid w:val="000A3BE4"/>
    <w:rsid w:val="000A433D"/>
    <w:rsid w:val="000A4A9D"/>
    <w:rsid w:val="000A4EBD"/>
    <w:rsid w:val="000B38EB"/>
    <w:rsid w:val="000B3BE7"/>
    <w:rsid w:val="000B5B4E"/>
    <w:rsid w:val="000C0458"/>
    <w:rsid w:val="000D03D7"/>
    <w:rsid w:val="000D0724"/>
    <w:rsid w:val="000D1FA4"/>
    <w:rsid w:val="000D27D1"/>
    <w:rsid w:val="000D2BDB"/>
    <w:rsid w:val="000D31F4"/>
    <w:rsid w:val="000D40A3"/>
    <w:rsid w:val="000D492E"/>
    <w:rsid w:val="000D49D3"/>
    <w:rsid w:val="000D4DC8"/>
    <w:rsid w:val="000D4E17"/>
    <w:rsid w:val="000D5AF2"/>
    <w:rsid w:val="000D62AA"/>
    <w:rsid w:val="000D6F63"/>
    <w:rsid w:val="000D733A"/>
    <w:rsid w:val="000D740B"/>
    <w:rsid w:val="000D7A07"/>
    <w:rsid w:val="000E14A1"/>
    <w:rsid w:val="000E1DB4"/>
    <w:rsid w:val="000E2CD8"/>
    <w:rsid w:val="000E4EF9"/>
    <w:rsid w:val="000E55A1"/>
    <w:rsid w:val="000E5D89"/>
    <w:rsid w:val="000E6350"/>
    <w:rsid w:val="000E7664"/>
    <w:rsid w:val="000F01BA"/>
    <w:rsid w:val="000F0991"/>
    <w:rsid w:val="000F145D"/>
    <w:rsid w:val="000F262B"/>
    <w:rsid w:val="000F31ED"/>
    <w:rsid w:val="000F35D1"/>
    <w:rsid w:val="000F6FA3"/>
    <w:rsid w:val="000F7180"/>
    <w:rsid w:val="001021C9"/>
    <w:rsid w:val="0010222F"/>
    <w:rsid w:val="00103726"/>
    <w:rsid w:val="001048E3"/>
    <w:rsid w:val="0011032D"/>
    <w:rsid w:val="00110A44"/>
    <w:rsid w:val="00113824"/>
    <w:rsid w:val="0011531C"/>
    <w:rsid w:val="00115EFD"/>
    <w:rsid w:val="00120C8B"/>
    <w:rsid w:val="00121071"/>
    <w:rsid w:val="00121E48"/>
    <w:rsid w:val="001254CD"/>
    <w:rsid w:val="00125BD0"/>
    <w:rsid w:val="00131257"/>
    <w:rsid w:val="00135293"/>
    <w:rsid w:val="00135A02"/>
    <w:rsid w:val="0014183C"/>
    <w:rsid w:val="0014497D"/>
    <w:rsid w:val="00147106"/>
    <w:rsid w:val="0015221D"/>
    <w:rsid w:val="0015275A"/>
    <w:rsid w:val="00153095"/>
    <w:rsid w:val="001556F8"/>
    <w:rsid w:val="00156667"/>
    <w:rsid w:val="001609AE"/>
    <w:rsid w:val="00163021"/>
    <w:rsid w:val="00163274"/>
    <w:rsid w:val="001649D4"/>
    <w:rsid w:val="00166182"/>
    <w:rsid w:val="00166222"/>
    <w:rsid w:val="00170E18"/>
    <w:rsid w:val="00171D7F"/>
    <w:rsid w:val="00172BB1"/>
    <w:rsid w:val="00173455"/>
    <w:rsid w:val="001734CC"/>
    <w:rsid w:val="00174226"/>
    <w:rsid w:val="0017474E"/>
    <w:rsid w:val="00174F03"/>
    <w:rsid w:val="001752CF"/>
    <w:rsid w:val="00176CC9"/>
    <w:rsid w:val="00181369"/>
    <w:rsid w:val="001824AF"/>
    <w:rsid w:val="00184445"/>
    <w:rsid w:val="001852EC"/>
    <w:rsid w:val="00185D45"/>
    <w:rsid w:val="00185E2B"/>
    <w:rsid w:val="00186C9B"/>
    <w:rsid w:val="00190E09"/>
    <w:rsid w:val="001914A0"/>
    <w:rsid w:val="00193629"/>
    <w:rsid w:val="0019638F"/>
    <w:rsid w:val="001965CD"/>
    <w:rsid w:val="001A42F7"/>
    <w:rsid w:val="001A5038"/>
    <w:rsid w:val="001A6A53"/>
    <w:rsid w:val="001A6A7E"/>
    <w:rsid w:val="001A6F87"/>
    <w:rsid w:val="001A7F1D"/>
    <w:rsid w:val="001B02B8"/>
    <w:rsid w:val="001B1971"/>
    <w:rsid w:val="001B2B28"/>
    <w:rsid w:val="001B30EC"/>
    <w:rsid w:val="001B5C23"/>
    <w:rsid w:val="001B6574"/>
    <w:rsid w:val="001B7C1C"/>
    <w:rsid w:val="001C162B"/>
    <w:rsid w:val="001C265E"/>
    <w:rsid w:val="001C2AC2"/>
    <w:rsid w:val="001C2EA3"/>
    <w:rsid w:val="001C372D"/>
    <w:rsid w:val="001C4C8B"/>
    <w:rsid w:val="001C5AED"/>
    <w:rsid w:val="001D07E0"/>
    <w:rsid w:val="001D0E7D"/>
    <w:rsid w:val="001D0F82"/>
    <w:rsid w:val="001D276B"/>
    <w:rsid w:val="001D33C6"/>
    <w:rsid w:val="001D65F6"/>
    <w:rsid w:val="001E05DB"/>
    <w:rsid w:val="001E1DC7"/>
    <w:rsid w:val="001E349A"/>
    <w:rsid w:val="001E40EC"/>
    <w:rsid w:val="001E4D30"/>
    <w:rsid w:val="001E4F47"/>
    <w:rsid w:val="001E6186"/>
    <w:rsid w:val="001E741F"/>
    <w:rsid w:val="001F07AE"/>
    <w:rsid w:val="001F72B1"/>
    <w:rsid w:val="001F762F"/>
    <w:rsid w:val="0020104D"/>
    <w:rsid w:val="00202900"/>
    <w:rsid w:val="0020452B"/>
    <w:rsid w:val="00205044"/>
    <w:rsid w:val="00217C30"/>
    <w:rsid w:val="002213C4"/>
    <w:rsid w:val="00224756"/>
    <w:rsid w:val="0022517D"/>
    <w:rsid w:val="0022525F"/>
    <w:rsid w:val="00226F13"/>
    <w:rsid w:val="0022700F"/>
    <w:rsid w:val="00227E2C"/>
    <w:rsid w:val="002312A9"/>
    <w:rsid w:val="00231435"/>
    <w:rsid w:val="00231BE3"/>
    <w:rsid w:val="00233EEE"/>
    <w:rsid w:val="00236010"/>
    <w:rsid w:val="00240B32"/>
    <w:rsid w:val="0024769D"/>
    <w:rsid w:val="00251406"/>
    <w:rsid w:val="002566E4"/>
    <w:rsid w:val="002577F6"/>
    <w:rsid w:val="0026106B"/>
    <w:rsid w:val="00263490"/>
    <w:rsid w:val="00263E02"/>
    <w:rsid w:val="0026605E"/>
    <w:rsid w:val="00267FC3"/>
    <w:rsid w:val="002712B3"/>
    <w:rsid w:val="002715BF"/>
    <w:rsid w:val="00273BB4"/>
    <w:rsid w:val="0027563C"/>
    <w:rsid w:val="0027696B"/>
    <w:rsid w:val="00277C7D"/>
    <w:rsid w:val="00281447"/>
    <w:rsid w:val="00284DCB"/>
    <w:rsid w:val="002859ED"/>
    <w:rsid w:val="00286FC5"/>
    <w:rsid w:val="00287FFB"/>
    <w:rsid w:val="002905B6"/>
    <w:rsid w:val="00290E9E"/>
    <w:rsid w:val="002916C1"/>
    <w:rsid w:val="002950D1"/>
    <w:rsid w:val="00295EE9"/>
    <w:rsid w:val="002A0E9D"/>
    <w:rsid w:val="002A1A5A"/>
    <w:rsid w:val="002A2660"/>
    <w:rsid w:val="002A4B10"/>
    <w:rsid w:val="002A5749"/>
    <w:rsid w:val="002A5F32"/>
    <w:rsid w:val="002B52F8"/>
    <w:rsid w:val="002B6570"/>
    <w:rsid w:val="002B712B"/>
    <w:rsid w:val="002B717E"/>
    <w:rsid w:val="002C14B1"/>
    <w:rsid w:val="002C1B2D"/>
    <w:rsid w:val="002C2DE2"/>
    <w:rsid w:val="002C36B1"/>
    <w:rsid w:val="002C4420"/>
    <w:rsid w:val="002C4593"/>
    <w:rsid w:val="002C490B"/>
    <w:rsid w:val="002C4C5A"/>
    <w:rsid w:val="002D08CA"/>
    <w:rsid w:val="002D3BD5"/>
    <w:rsid w:val="002D4A23"/>
    <w:rsid w:val="002D73E5"/>
    <w:rsid w:val="002E2AF9"/>
    <w:rsid w:val="002E2DEA"/>
    <w:rsid w:val="002E33E6"/>
    <w:rsid w:val="002E5655"/>
    <w:rsid w:val="002E7452"/>
    <w:rsid w:val="002F18F3"/>
    <w:rsid w:val="002F45F0"/>
    <w:rsid w:val="002F7DBF"/>
    <w:rsid w:val="00300498"/>
    <w:rsid w:val="00301CAF"/>
    <w:rsid w:val="00302166"/>
    <w:rsid w:val="00303CAE"/>
    <w:rsid w:val="00303F40"/>
    <w:rsid w:val="003043F3"/>
    <w:rsid w:val="00304F8C"/>
    <w:rsid w:val="00305168"/>
    <w:rsid w:val="00307225"/>
    <w:rsid w:val="00307BEE"/>
    <w:rsid w:val="00310E00"/>
    <w:rsid w:val="003110D5"/>
    <w:rsid w:val="003125DB"/>
    <w:rsid w:val="00314786"/>
    <w:rsid w:val="003152E2"/>
    <w:rsid w:val="00316171"/>
    <w:rsid w:val="00316E2D"/>
    <w:rsid w:val="00317D76"/>
    <w:rsid w:val="00320F73"/>
    <w:rsid w:val="00321995"/>
    <w:rsid w:val="003319FB"/>
    <w:rsid w:val="003403E6"/>
    <w:rsid w:val="00341896"/>
    <w:rsid w:val="0034250A"/>
    <w:rsid w:val="00343BCA"/>
    <w:rsid w:val="00343CA7"/>
    <w:rsid w:val="00345BEA"/>
    <w:rsid w:val="003462DB"/>
    <w:rsid w:val="003466A0"/>
    <w:rsid w:val="0034754E"/>
    <w:rsid w:val="003477A5"/>
    <w:rsid w:val="00347B45"/>
    <w:rsid w:val="003514CA"/>
    <w:rsid w:val="00353FC8"/>
    <w:rsid w:val="00354742"/>
    <w:rsid w:val="0035691D"/>
    <w:rsid w:val="00356A44"/>
    <w:rsid w:val="0036228A"/>
    <w:rsid w:val="00363120"/>
    <w:rsid w:val="00363FDC"/>
    <w:rsid w:val="003646BE"/>
    <w:rsid w:val="00366894"/>
    <w:rsid w:val="00366F54"/>
    <w:rsid w:val="00367A6D"/>
    <w:rsid w:val="00370993"/>
    <w:rsid w:val="00371305"/>
    <w:rsid w:val="00371A37"/>
    <w:rsid w:val="00374672"/>
    <w:rsid w:val="00375DD0"/>
    <w:rsid w:val="003765C1"/>
    <w:rsid w:val="00382D61"/>
    <w:rsid w:val="003839B5"/>
    <w:rsid w:val="00384E0C"/>
    <w:rsid w:val="003852F6"/>
    <w:rsid w:val="00387CD6"/>
    <w:rsid w:val="00387FCD"/>
    <w:rsid w:val="00391AE9"/>
    <w:rsid w:val="00391D32"/>
    <w:rsid w:val="00392948"/>
    <w:rsid w:val="00394BE7"/>
    <w:rsid w:val="00394FD4"/>
    <w:rsid w:val="00395092"/>
    <w:rsid w:val="00395B85"/>
    <w:rsid w:val="00395D86"/>
    <w:rsid w:val="003A019B"/>
    <w:rsid w:val="003B0E48"/>
    <w:rsid w:val="003B2280"/>
    <w:rsid w:val="003B2ED1"/>
    <w:rsid w:val="003B3137"/>
    <w:rsid w:val="003B3B90"/>
    <w:rsid w:val="003B5570"/>
    <w:rsid w:val="003C066C"/>
    <w:rsid w:val="003C1467"/>
    <w:rsid w:val="003C2A1E"/>
    <w:rsid w:val="003C3244"/>
    <w:rsid w:val="003C4523"/>
    <w:rsid w:val="003C68C4"/>
    <w:rsid w:val="003C7E7E"/>
    <w:rsid w:val="003D11DE"/>
    <w:rsid w:val="003D7017"/>
    <w:rsid w:val="003D7F35"/>
    <w:rsid w:val="003E4DC3"/>
    <w:rsid w:val="003E592E"/>
    <w:rsid w:val="003E5F01"/>
    <w:rsid w:val="003E7D5C"/>
    <w:rsid w:val="003F3B2B"/>
    <w:rsid w:val="003F4D34"/>
    <w:rsid w:val="003F60B8"/>
    <w:rsid w:val="003F6286"/>
    <w:rsid w:val="004000ED"/>
    <w:rsid w:val="0040115D"/>
    <w:rsid w:val="00402E47"/>
    <w:rsid w:val="0040695A"/>
    <w:rsid w:val="00407B75"/>
    <w:rsid w:val="004126AA"/>
    <w:rsid w:val="004217CB"/>
    <w:rsid w:val="00423489"/>
    <w:rsid w:val="00423950"/>
    <w:rsid w:val="004305BB"/>
    <w:rsid w:val="00430FF3"/>
    <w:rsid w:val="004322F3"/>
    <w:rsid w:val="00433635"/>
    <w:rsid w:val="004351AD"/>
    <w:rsid w:val="00435EAE"/>
    <w:rsid w:val="004365AB"/>
    <w:rsid w:val="00436B7A"/>
    <w:rsid w:val="00436FE8"/>
    <w:rsid w:val="00437CB4"/>
    <w:rsid w:val="00442F6B"/>
    <w:rsid w:val="00450997"/>
    <w:rsid w:val="00454C9C"/>
    <w:rsid w:val="00456288"/>
    <w:rsid w:val="004576DF"/>
    <w:rsid w:val="00460B5D"/>
    <w:rsid w:val="00462B74"/>
    <w:rsid w:val="00466AD0"/>
    <w:rsid w:val="00467414"/>
    <w:rsid w:val="00471948"/>
    <w:rsid w:val="0047358D"/>
    <w:rsid w:val="004742B0"/>
    <w:rsid w:val="0047469B"/>
    <w:rsid w:val="00475F25"/>
    <w:rsid w:val="00481CD0"/>
    <w:rsid w:val="0048206F"/>
    <w:rsid w:val="00483E3C"/>
    <w:rsid w:val="0048437D"/>
    <w:rsid w:val="004843B7"/>
    <w:rsid w:val="00484DC1"/>
    <w:rsid w:val="004858C3"/>
    <w:rsid w:val="00485E50"/>
    <w:rsid w:val="00486B5A"/>
    <w:rsid w:val="00490B09"/>
    <w:rsid w:val="0049226E"/>
    <w:rsid w:val="00494F0D"/>
    <w:rsid w:val="004963CB"/>
    <w:rsid w:val="00497EB9"/>
    <w:rsid w:val="004A3D76"/>
    <w:rsid w:val="004A4E60"/>
    <w:rsid w:val="004B04C1"/>
    <w:rsid w:val="004B16C8"/>
    <w:rsid w:val="004B1B98"/>
    <w:rsid w:val="004B2341"/>
    <w:rsid w:val="004B41E7"/>
    <w:rsid w:val="004B699E"/>
    <w:rsid w:val="004B7F7A"/>
    <w:rsid w:val="004C3A99"/>
    <w:rsid w:val="004C4C44"/>
    <w:rsid w:val="004C63CF"/>
    <w:rsid w:val="004D15D8"/>
    <w:rsid w:val="004D25B4"/>
    <w:rsid w:val="004D2984"/>
    <w:rsid w:val="004D30B6"/>
    <w:rsid w:val="004D4F0F"/>
    <w:rsid w:val="004D53DF"/>
    <w:rsid w:val="004D68CC"/>
    <w:rsid w:val="004E02A8"/>
    <w:rsid w:val="004E06C6"/>
    <w:rsid w:val="004E12D6"/>
    <w:rsid w:val="004E1CD2"/>
    <w:rsid w:val="004E2435"/>
    <w:rsid w:val="004E2D35"/>
    <w:rsid w:val="004E5E52"/>
    <w:rsid w:val="004F1EF3"/>
    <w:rsid w:val="004F22CD"/>
    <w:rsid w:val="004F35FB"/>
    <w:rsid w:val="005012F4"/>
    <w:rsid w:val="00503041"/>
    <w:rsid w:val="00505B06"/>
    <w:rsid w:val="00511091"/>
    <w:rsid w:val="0051119F"/>
    <w:rsid w:val="005128FE"/>
    <w:rsid w:val="00515D5C"/>
    <w:rsid w:val="00515EB6"/>
    <w:rsid w:val="00516774"/>
    <w:rsid w:val="00520F22"/>
    <w:rsid w:val="00523230"/>
    <w:rsid w:val="0052419C"/>
    <w:rsid w:val="00525296"/>
    <w:rsid w:val="00530324"/>
    <w:rsid w:val="00530639"/>
    <w:rsid w:val="00531D2F"/>
    <w:rsid w:val="00535515"/>
    <w:rsid w:val="005355AC"/>
    <w:rsid w:val="005405DD"/>
    <w:rsid w:val="0054143C"/>
    <w:rsid w:val="00541473"/>
    <w:rsid w:val="005437F0"/>
    <w:rsid w:val="00544185"/>
    <w:rsid w:val="00544AC4"/>
    <w:rsid w:val="00546032"/>
    <w:rsid w:val="00547432"/>
    <w:rsid w:val="00547511"/>
    <w:rsid w:val="005515C3"/>
    <w:rsid w:val="0055183E"/>
    <w:rsid w:val="00551F9F"/>
    <w:rsid w:val="005551E6"/>
    <w:rsid w:val="005619EF"/>
    <w:rsid w:val="00564DDE"/>
    <w:rsid w:val="00566269"/>
    <w:rsid w:val="00566F34"/>
    <w:rsid w:val="005724F3"/>
    <w:rsid w:val="005729CB"/>
    <w:rsid w:val="00576C12"/>
    <w:rsid w:val="0058084C"/>
    <w:rsid w:val="0058178D"/>
    <w:rsid w:val="005822F7"/>
    <w:rsid w:val="00582BA0"/>
    <w:rsid w:val="00584FFF"/>
    <w:rsid w:val="00587208"/>
    <w:rsid w:val="0058740E"/>
    <w:rsid w:val="0059169E"/>
    <w:rsid w:val="0059227B"/>
    <w:rsid w:val="00592AE8"/>
    <w:rsid w:val="00593B80"/>
    <w:rsid w:val="00593C53"/>
    <w:rsid w:val="00593FB4"/>
    <w:rsid w:val="005957F5"/>
    <w:rsid w:val="00596196"/>
    <w:rsid w:val="00596F6A"/>
    <w:rsid w:val="005A2A90"/>
    <w:rsid w:val="005A4341"/>
    <w:rsid w:val="005A44B6"/>
    <w:rsid w:val="005A4682"/>
    <w:rsid w:val="005A52C2"/>
    <w:rsid w:val="005A7299"/>
    <w:rsid w:val="005B1566"/>
    <w:rsid w:val="005B17BD"/>
    <w:rsid w:val="005B2FED"/>
    <w:rsid w:val="005B363F"/>
    <w:rsid w:val="005B3ADB"/>
    <w:rsid w:val="005C177F"/>
    <w:rsid w:val="005C5274"/>
    <w:rsid w:val="005C68ED"/>
    <w:rsid w:val="005C7294"/>
    <w:rsid w:val="005D0CB3"/>
    <w:rsid w:val="005D2616"/>
    <w:rsid w:val="005D47BC"/>
    <w:rsid w:val="005D5182"/>
    <w:rsid w:val="005D584F"/>
    <w:rsid w:val="005D5A98"/>
    <w:rsid w:val="005D7B0B"/>
    <w:rsid w:val="005E516F"/>
    <w:rsid w:val="005E653D"/>
    <w:rsid w:val="005E672D"/>
    <w:rsid w:val="005E728A"/>
    <w:rsid w:val="005E7A1E"/>
    <w:rsid w:val="005F09EE"/>
    <w:rsid w:val="005F29A7"/>
    <w:rsid w:val="005F30F0"/>
    <w:rsid w:val="005F5190"/>
    <w:rsid w:val="005F70EF"/>
    <w:rsid w:val="005F7643"/>
    <w:rsid w:val="005F7B8D"/>
    <w:rsid w:val="006005EE"/>
    <w:rsid w:val="00600F66"/>
    <w:rsid w:val="00601D8E"/>
    <w:rsid w:val="00602910"/>
    <w:rsid w:val="006038FA"/>
    <w:rsid w:val="00604A41"/>
    <w:rsid w:val="00604BF2"/>
    <w:rsid w:val="00607A19"/>
    <w:rsid w:val="006115BA"/>
    <w:rsid w:val="0061168D"/>
    <w:rsid w:val="00612A95"/>
    <w:rsid w:val="00613F81"/>
    <w:rsid w:val="0061447C"/>
    <w:rsid w:val="006147D4"/>
    <w:rsid w:val="00615B78"/>
    <w:rsid w:val="0062013C"/>
    <w:rsid w:val="00621EF3"/>
    <w:rsid w:val="00622502"/>
    <w:rsid w:val="00622A1D"/>
    <w:rsid w:val="00624D25"/>
    <w:rsid w:val="006255BF"/>
    <w:rsid w:val="00625674"/>
    <w:rsid w:val="00625B46"/>
    <w:rsid w:val="00626C7B"/>
    <w:rsid w:val="00627E6C"/>
    <w:rsid w:val="00627FCF"/>
    <w:rsid w:val="006307DD"/>
    <w:rsid w:val="00631779"/>
    <w:rsid w:val="006339EF"/>
    <w:rsid w:val="00633C19"/>
    <w:rsid w:val="00641BDD"/>
    <w:rsid w:val="006427FE"/>
    <w:rsid w:val="006433B4"/>
    <w:rsid w:val="00644F80"/>
    <w:rsid w:val="006464B6"/>
    <w:rsid w:val="00646D42"/>
    <w:rsid w:val="00646F69"/>
    <w:rsid w:val="00650EFA"/>
    <w:rsid w:val="006510AB"/>
    <w:rsid w:val="00652B30"/>
    <w:rsid w:val="00653587"/>
    <w:rsid w:val="006566D1"/>
    <w:rsid w:val="00657EEB"/>
    <w:rsid w:val="00663715"/>
    <w:rsid w:val="00663763"/>
    <w:rsid w:val="0066442A"/>
    <w:rsid w:val="006647A8"/>
    <w:rsid w:val="00665350"/>
    <w:rsid w:val="006653D9"/>
    <w:rsid w:val="006660F7"/>
    <w:rsid w:val="00666CA6"/>
    <w:rsid w:val="00670B1D"/>
    <w:rsid w:val="006714EA"/>
    <w:rsid w:val="0067515A"/>
    <w:rsid w:val="00675E47"/>
    <w:rsid w:val="0068190C"/>
    <w:rsid w:val="00681B2C"/>
    <w:rsid w:val="006836AA"/>
    <w:rsid w:val="00683A10"/>
    <w:rsid w:val="00683DAD"/>
    <w:rsid w:val="00684374"/>
    <w:rsid w:val="00684EB0"/>
    <w:rsid w:val="00684FA8"/>
    <w:rsid w:val="006863A3"/>
    <w:rsid w:val="006868A7"/>
    <w:rsid w:val="00686D42"/>
    <w:rsid w:val="00690C0E"/>
    <w:rsid w:val="00691B9E"/>
    <w:rsid w:val="006927CA"/>
    <w:rsid w:val="00693C98"/>
    <w:rsid w:val="00694C65"/>
    <w:rsid w:val="00695A2D"/>
    <w:rsid w:val="00695E7D"/>
    <w:rsid w:val="00697B23"/>
    <w:rsid w:val="006A1859"/>
    <w:rsid w:val="006A2F4E"/>
    <w:rsid w:val="006A32DA"/>
    <w:rsid w:val="006A3A34"/>
    <w:rsid w:val="006A668A"/>
    <w:rsid w:val="006A6D40"/>
    <w:rsid w:val="006B0088"/>
    <w:rsid w:val="006B03E4"/>
    <w:rsid w:val="006B0402"/>
    <w:rsid w:val="006B1124"/>
    <w:rsid w:val="006B4D27"/>
    <w:rsid w:val="006B500E"/>
    <w:rsid w:val="006B6A7E"/>
    <w:rsid w:val="006C03B8"/>
    <w:rsid w:val="006C0944"/>
    <w:rsid w:val="006C1BE9"/>
    <w:rsid w:val="006C44A6"/>
    <w:rsid w:val="006C4D37"/>
    <w:rsid w:val="006C5DCE"/>
    <w:rsid w:val="006C5DF2"/>
    <w:rsid w:val="006C72DA"/>
    <w:rsid w:val="006D0B56"/>
    <w:rsid w:val="006D11B6"/>
    <w:rsid w:val="006D545F"/>
    <w:rsid w:val="006D582D"/>
    <w:rsid w:val="006D5C32"/>
    <w:rsid w:val="006D79BB"/>
    <w:rsid w:val="006E03CE"/>
    <w:rsid w:val="006E059C"/>
    <w:rsid w:val="006E12A5"/>
    <w:rsid w:val="006E15AF"/>
    <w:rsid w:val="006E1E34"/>
    <w:rsid w:val="006E25B2"/>
    <w:rsid w:val="006E2C3E"/>
    <w:rsid w:val="006E3D11"/>
    <w:rsid w:val="006E4ADC"/>
    <w:rsid w:val="006E70D2"/>
    <w:rsid w:val="006F046A"/>
    <w:rsid w:val="006F0673"/>
    <w:rsid w:val="006F2D98"/>
    <w:rsid w:val="006F493C"/>
    <w:rsid w:val="006F7325"/>
    <w:rsid w:val="00700267"/>
    <w:rsid w:val="00702BAE"/>
    <w:rsid w:val="007057DA"/>
    <w:rsid w:val="007076CC"/>
    <w:rsid w:val="007103D7"/>
    <w:rsid w:val="00710A78"/>
    <w:rsid w:val="00710E71"/>
    <w:rsid w:val="0071134D"/>
    <w:rsid w:val="00712262"/>
    <w:rsid w:val="00714841"/>
    <w:rsid w:val="00721F64"/>
    <w:rsid w:val="007228F0"/>
    <w:rsid w:val="00726D53"/>
    <w:rsid w:val="00727935"/>
    <w:rsid w:val="007309E0"/>
    <w:rsid w:val="007310C0"/>
    <w:rsid w:val="00732AC3"/>
    <w:rsid w:val="00733B8B"/>
    <w:rsid w:val="0073403E"/>
    <w:rsid w:val="007342CA"/>
    <w:rsid w:val="00735655"/>
    <w:rsid w:val="00735B93"/>
    <w:rsid w:val="00737684"/>
    <w:rsid w:val="00743A5C"/>
    <w:rsid w:val="00745337"/>
    <w:rsid w:val="007502BB"/>
    <w:rsid w:val="00751BB9"/>
    <w:rsid w:val="00752243"/>
    <w:rsid w:val="00752E03"/>
    <w:rsid w:val="00753776"/>
    <w:rsid w:val="007538B3"/>
    <w:rsid w:val="00753DC4"/>
    <w:rsid w:val="0075618E"/>
    <w:rsid w:val="00760645"/>
    <w:rsid w:val="00761A70"/>
    <w:rsid w:val="007730EC"/>
    <w:rsid w:val="00775880"/>
    <w:rsid w:val="00776F01"/>
    <w:rsid w:val="007772CA"/>
    <w:rsid w:val="00777D40"/>
    <w:rsid w:val="0078063E"/>
    <w:rsid w:val="007806BB"/>
    <w:rsid w:val="00781CEE"/>
    <w:rsid w:val="00782CF2"/>
    <w:rsid w:val="00783A86"/>
    <w:rsid w:val="00783D09"/>
    <w:rsid w:val="00787D07"/>
    <w:rsid w:val="007910F1"/>
    <w:rsid w:val="007913FB"/>
    <w:rsid w:val="0079319E"/>
    <w:rsid w:val="007935AC"/>
    <w:rsid w:val="00793CEF"/>
    <w:rsid w:val="00796D72"/>
    <w:rsid w:val="007A0771"/>
    <w:rsid w:val="007A1FE9"/>
    <w:rsid w:val="007A254F"/>
    <w:rsid w:val="007A27BA"/>
    <w:rsid w:val="007A2881"/>
    <w:rsid w:val="007A770D"/>
    <w:rsid w:val="007A7811"/>
    <w:rsid w:val="007B0010"/>
    <w:rsid w:val="007B1C42"/>
    <w:rsid w:val="007B61B2"/>
    <w:rsid w:val="007C2390"/>
    <w:rsid w:val="007C3949"/>
    <w:rsid w:val="007C4444"/>
    <w:rsid w:val="007D00A4"/>
    <w:rsid w:val="007D3B43"/>
    <w:rsid w:val="007D62AC"/>
    <w:rsid w:val="007E02D9"/>
    <w:rsid w:val="007E2F6D"/>
    <w:rsid w:val="007E37A4"/>
    <w:rsid w:val="007F068C"/>
    <w:rsid w:val="007F0885"/>
    <w:rsid w:val="007F17E0"/>
    <w:rsid w:val="007F23CD"/>
    <w:rsid w:val="007F4FD2"/>
    <w:rsid w:val="007F6DC0"/>
    <w:rsid w:val="007F7017"/>
    <w:rsid w:val="007F749A"/>
    <w:rsid w:val="00801FCC"/>
    <w:rsid w:val="00803FCE"/>
    <w:rsid w:val="00805316"/>
    <w:rsid w:val="0080608B"/>
    <w:rsid w:val="008113DF"/>
    <w:rsid w:val="008144A0"/>
    <w:rsid w:val="00814C37"/>
    <w:rsid w:val="008202D7"/>
    <w:rsid w:val="00821ECB"/>
    <w:rsid w:val="0082224B"/>
    <w:rsid w:val="00823887"/>
    <w:rsid w:val="00824EDC"/>
    <w:rsid w:val="00826248"/>
    <w:rsid w:val="0082660F"/>
    <w:rsid w:val="00826945"/>
    <w:rsid w:val="00827920"/>
    <w:rsid w:val="0083139E"/>
    <w:rsid w:val="00831AE2"/>
    <w:rsid w:val="00834BC9"/>
    <w:rsid w:val="00836AF6"/>
    <w:rsid w:val="00841756"/>
    <w:rsid w:val="0084343B"/>
    <w:rsid w:val="00845FF8"/>
    <w:rsid w:val="00846084"/>
    <w:rsid w:val="00850C98"/>
    <w:rsid w:val="00856829"/>
    <w:rsid w:val="00856E88"/>
    <w:rsid w:val="008578D0"/>
    <w:rsid w:val="00857EA9"/>
    <w:rsid w:val="00864465"/>
    <w:rsid w:val="00864817"/>
    <w:rsid w:val="008657E8"/>
    <w:rsid w:val="00865BA1"/>
    <w:rsid w:val="00865E36"/>
    <w:rsid w:val="0086669D"/>
    <w:rsid w:val="00867939"/>
    <w:rsid w:val="008713EA"/>
    <w:rsid w:val="00872DF7"/>
    <w:rsid w:val="0087450B"/>
    <w:rsid w:val="00874C40"/>
    <w:rsid w:val="00880639"/>
    <w:rsid w:val="00882702"/>
    <w:rsid w:val="00885ACC"/>
    <w:rsid w:val="00886584"/>
    <w:rsid w:val="00892C15"/>
    <w:rsid w:val="00892D88"/>
    <w:rsid w:val="0089359F"/>
    <w:rsid w:val="00894C2E"/>
    <w:rsid w:val="00894F68"/>
    <w:rsid w:val="008955C7"/>
    <w:rsid w:val="008A028D"/>
    <w:rsid w:val="008A0A56"/>
    <w:rsid w:val="008A1E02"/>
    <w:rsid w:val="008A40B1"/>
    <w:rsid w:val="008A5146"/>
    <w:rsid w:val="008B01E8"/>
    <w:rsid w:val="008B0A4B"/>
    <w:rsid w:val="008B0AB7"/>
    <w:rsid w:val="008B4ED1"/>
    <w:rsid w:val="008B6484"/>
    <w:rsid w:val="008C08A0"/>
    <w:rsid w:val="008C2742"/>
    <w:rsid w:val="008C283B"/>
    <w:rsid w:val="008C2923"/>
    <w:rsid w:val="008C46AC"/>
    <w:rsid w:val="008C5447"/>
    <w:rsid w:val="008C60CE"/>
    <w:rsid w:val="008C6B73"/>
    <w:rsid w:val="008C72C3"/>
    <w:rsid w:val="008C7C6A"/>
    <w:rsid w:val="008D2F58"/>
    <w:rsid w:val="008D4D51"/>
    <w:rsid w:val="008D5BA2"/>
    <w:rsid w:val="008D646C"/>
    <w:rsid w:val="008D6560"/>
    <w:rsid w:val="008D67A6"/>
    <w:rsid w:val="008D7E7C"/>
    <w:rsid w:val="008E04BF"/>
    <w:rsid w:val="008E1A5A"/>
    <w:rsid w:val="008E467A"/>
    <w:rsid w:val="008F0B21"/>
    <w:rsid w:val="008F0B3C"/>
    <w:rsid w:val="008F0CEC"/>
    <w:rsid w:val="008F2FAC"/>
    <w:rsid w:val="008F48F5"/>
    <w:rsid w:val="008F4E75"/>
    <w:rsid w:val="008F5D1F"/>
    <w:rsid w:val="008F6036"/>
    <w:rsid w:val="009010F3"/>
    <w:rsid w:val="0090154F"/>
    <w:rsid w:val="009039AC"/>
    <w:rsid w:val="00903FA4"/>
    <w:rsid w:val="0090628F"/>
    <w:rsid w:val="00907A21"/>
    <w:rsid w:val="00910DC3"/>
    <w:rsid w:val="00912A8E"/>
    <w:rsid w:val="00913B9A"/>
    <w:rsid w:val="00915602"/>
    <w:rsid w:val="00915F29"/>
    <w:rsid w:val="00916133"/>
    <w:rsid w:val="009168CB"/>
    <w:rsid w:val="00917308"/>
    <w:rsid w:val="00922101"/>
    <w:rsid w:val="009242ED"/>
    <w:rsid w:val="00926B64"/>
    <w:rsid w:val="00930EE9"/>
    <w:rsid w:val="00932FF4"/>
    <w:rsid w:val="009339C7"/>
    <w:rsid w:val="0093470B"/>
    <w:rsid w:val="0093760D"/>
    <w:rsid w:val="00937779"/>
    <w:rsid w:val="0094213C"/>
    <w:rsid w:val="00943496"/>
    <w:rsid w:val="00945966"/>
    <w:rsid w:val="009464E2"/>
    <w:rsid w:val="009465AB"/>
    <w:rsid w:val="00953604"/>
    <w:rsid w:val="00955111"/>
    <w:rsid w:val="009575C6"/>
    <w:rsid w:val="0096068E"/>
    <w:rsid w:val="0096104E"/>
    <w:rsid w:val="0096160B"/>
    <w:rsid w:val="00961ADC"/>
    <w:rsid w:val="00962934"/>
    <w:rsid w:val="00962B37"/>
    <w:rsid w:val="00963752"/>
    <w:rsid w:val="009647C8"/>
    <w:rsid w:val="00965251"/>
    <w:rsid w:val="00965AD6"/>
    <w:rsid w:val="00967525"/>
    <w:rsid w:val="00967D96"/>
    <w:rsid w:val="00976B0F"/>
    <w:rsid w:val="00977327"/>
    <w:rsid w:val="009774BD"/>
    <w:rsid w:val="00977D64"/>
    <w:rsid w:val="009806A1"/>
    <w:rsid w:val="00981528"/>
    <w:rsid w:val="0098324D"/>
    <w:rsid w:val="00985A8C"/>
    <w:rsid w:val="009867E7"/>
    <w:rsid w:val="00986BD4"/>
    <w:rsid w:val="00987807"/>
    <w:rsid w:val="0099006C"/>
    <w:rsid w:val="0099192B"/>
    <w:rsid w:val="00991B59"/>
    <w:rsid w:val="00993A57"/>
    <w:rsid w:val="0099487B"/>
    <w:rsid w:val="00996376"/>
    <w:rsid w:val="009967F8"/>
    <w:rsid w:val="009A3E9E"/>
    <w:rsid w:val="009A546A"/>
    <w:rsid w:val="009A5F0F"/>
    <w:rsid w:val="009A7D35"/>
    <w:rsid w:val="009A7DD2"/>
    <w:rsid w:val="009B034A"/>
    <w:rsid w:val="009B0F8D"/>
    <w:rsid w:val="009B165D"/>
    <w:rsid w:val="009B1CEA"/>
    <w:rsid w:val="009B4171"/>
    <w:rsid w:val="009B4530"/>
    <w:rsid w:val="009B4A4D"/>
    <w:rsid w:val="009B4C52"/>
    <w:rsid w:val="009B6915"/>
    <w:rsid w:val="009B7B41"/>
    <w:rsid w:val="009C3A83"/>
    <w:rsid w:val="009C50C4"/>
    <w:rsid w:val="009C61E1"/>
    <w:rsid w:val="009D5A84"/>
    <w:rsid w:val="009D6107"/>
    <w:rsid w:val="009D7384"/>
    <w:rsid w:val="009D7CE5"/>
    <w:rsid w:val="009E321A"/>
    <w:rsid w:val="009E5506"/>
    <w:rsid w:val="009E5A9C"/>
    <w:rsid w:val="009E5C01"/>
    <w:rsid w:val="009E61E6"/>
    <w:rsid w:val="009E6F90"/>
    <w:rsid w:val="009E76C1"/>
    <w:rsid w:val="009F07C5"/>
    <w:rsid w:val="009F103E"/>
    <w:rsid w:val="009F175B"/>
    <w:rsid w:val="009F2565"/>
    <w:rsid w:val="009F2AD8"/>
    <w:rsid w:val="009F36DB"/>
    <w:rsid w:val="009F381E"/>
    <w:rsid w:val="009F485B"/>
    <w:rsid w:val="009F5FB5"/>
    <w:rsid w:val="009F6F57"/>
    <w:rsid w:val="009F72FE"/>
    <w:rsid w:val="009F7A61"/>
    <w:rsid w:val="009F7E34"/>
    <w:rsid w:val="00A0014C"/>
    <w:rsid w:val="00A028CD"/>
    <w:rsid w:val="00A0465B"/>
    <w:rsid w:val="00A04C20"/>
    <w:rsid w:val="00A05252"/>
    <w:rsid w:val="00A05A00"/>
    <w:rsid w:val="00A05BEE"/>
    <w:rsid w:val="00A06B15"/>
    <w:rsid w:val="00A12609"/>
    <w:rsid w:val="00A135A9"/>
    <w:rsid w:val="00A13E0B"/>
    <w:rsid w:val="00A14B89"/>
    <w:rsid w:val="00A14F67"/>
    <w:rsid w:val="00A164B5"/>
    <w:rsid w:val="00A20AB6"/>
    <w:rsid w:val="00A21DC4"/>
    <w:rsid w:val="00A2468E"/>
    <w:rsid w:val="00A25404"/>
    <w:rsid w:val="00A2569C"/>
    <w:rsid w:val="00A260B9"/>
    <w:rsid w:val="00A261C3"/>
    <w:rsid w:val="00A2648F"/>
    <w:rsid w:val="00A26AFA"/>
    <w:rsid w:val="00A303E0"/>
    <w:rsid w:val="00A31268"/>
    <w:rsid w:val="00A34E51"/>
    <w:rsid w:val="00A35943"/>
    <w:rsid w:val="00A36215"/>
    <w:rsid w:val="00A40302"/>
    <w:rsid w:val="00A4165A"/>
    <w:rsid w:val="00A43E13"/>
    <w:rsid w:val="00A52B10"/>
    <w:rsid w:val="00A559B2"/>
    <w:rsid w:val="00A55F3D"/>
    <w:rsid w:val="00A611F5"/>
    <w:rsid w:val="00A62AA3"/>
    <w:rsid w:val="00A63BE1"/>
    <w:rsid w:val="00A648BA"/>
    <w:rsid w:val="00A659E5"/>
    <w:rsid w:val="00A664F3"/>
    <w:rsid w:val="00A671DB"/>
    <w:rsid w:val="00A67703"/>
    <w:rsid w:val="00A67EA9"/>
    <w:rsid w:val="00A708E2"/>
    <w:rsid w:val="00A71153"/>
    <w:rsid w:val="00A7587F"/>
    <w:rsid w:val="00A824BB"/>
    <w:rsid w:val="00A851A3"/>
    <w:rsid w:val="00A869FE"/>
    <w:rsid w:val="00A92114"/>
    <w:rsid w:val="00A92B2D"/>
    <w:rsid w:val="00A93024"/>
    <w:rsid w:val="00A96188"/>
    <w:rsid w:val="00A96C77"/>
    <w:rsid w:val="00AA2EA9"/>
    <w:rsid w:val="00AA42DF"/>
    <w:rsid w:val="00AA6C1D"/>
    <w:rsid w:val="00AA7838"/>
    <w:rsid w:val="00AB281A"/>
    <w:rsid w:val="00AB2997"/>
    <w:rsid w:val="00AB45B0"/>
    <w:rsid w:val="00AB48CD"/>
    <w:rsid w:val="00AB5CF0"/>
    <w:rsid w:val="00AB5F57"/>
    <w:rsid w:val="00AB7795"/>
    <w:rsid w:val="00AC015E"/>
    <w:rsid w:val="00AC079F"/>
    <w:rsid w:val="00AC1455"/>
    <w:rsid w:val="00AC2942"/>
    <w:rsid w:val="00AC2B76"/>
    <w:rsid w:val="00AC62B9"/>
    <w:rsid w:val="00AC70F8"/>
    <w:rsid w:val="00AD04B2"/>
    <w:rsid w:val="00AD197B"/>
    <w:rsid w:val="00AD1A33"/>
    <w:rsid w:val="00AD1CA2"/>
    <w:rsid w:val="00AD2175"/>
    <w:rsid w:val="00AD4221"/>
    <w:rsid w:val="00AD548A"/>
    <w:rsid w:val="00AE0E96"/>
    <w:rsid w:val="00AE13ED"/>
    <w:rsid w:val="00AE16F0"/>
    <w:rsid w:val="00AE386A"/>
    <w:rsid w:val="00AE520A"/>
    <w:rsid w:val="00AE66F1"/>
    <w:rsid w:val="00AE6CD0"/>
    <w:rsid w:val="00AE7CF0"/>
    <w:rsid w:val="00AF1749"/>
    <w:rsid w:val="00AF2792"/>
    <w:rsid w:val="00AF2FC5"/>
    <w:rsid w:val="00AF4FF5"/>
    <w:rsid w:val="00AF503B"/>
    <w:rsid w:val="00AF54CC"/>
    <w:rsid w:val="00AF56C0"/>
    <w:rsid w:val="00B0044B"/>
    <w:rsid w:val="00B021ED"/>
    <w:rsid w:val="00B04192"/>
    <w:rsid w:val="00B0480E"/>
    <w:rsid w:val="00B11337"/>
    <w:rsid w:val="00B12E35"/>
    <w:rsid w:val="00B13BED"/>
    <w:rsid w:val="00B15A2F"/>
    <w:rsid w:val="00B1659C"/>
    <w:rsid w:val="00B16C57"/>
    <w:rsid w:val="00B17B3E"/>
    <w:rsid w:val="00B2378D"/>
    <w:rsid w:val="00B2385D"/>
    <w:rsid w:val="00B24A2B"/>
    <w:rsid w:val="00B24B92"/>
    <w:rsid w:val="00B26E7F"/>
    <w:rsid w:val="00B27294"/>
    <w:rsid w:val="00B304E3"/>
    <w:rsid w:val="00B317DE"/>
    <w:rsid w:val="00B3284D"/>
    <w:rsid w:val="00B334B5"/>
    <w:rsid w:val="00B353F5"/>
    <w:rsid w:val="00B354F1"/>
    <w:rsid w:val="00B358A0"/>
    <w:rsid w:val="00B373BA"/>
    <w:rsid w:val="00B377E9"/>
    <w:rsid w:val="00B37E83"/>
    <w:rsid w:val="00B40FF4"/>
    <w:rsid w:val="00B43848"/>
    <w:rsid w:val="00B44C83"/>
    <w:rsid w:val="00B44FA8"/>
    <w:rsid w:val="00B461E8"/>
    <w:rsid w:val="00B54BAA"/>
    <w:rsid w:val="00B5511E"/>
    <w:rsid w:val="00B5515B"/>
    <w:rsid w:val="00B573FB"/>
    <w:rsid w:val="00B57B71"/>
    <w:rsid w:val="00B633BC"/>
    <w:rsid w:val="00B649D3"/>
    <w:rsid w:val="00B67337"/>
    <w:rsid w:val="00B727BB"/>
    <w:rsid w:val="00B74B52"/>
    <w:rsid w:val="00B7743C"/>
    <w:rsid w:val="00B77F43"/>
    <w:rsid w:val="00B82786"/>
    <w:rsid w:val="00B8342C"/>
    <w:rsid w:val="00B83657"/>
    <w:rsid w:val="00B83BED"/>
    <w:rsid w:val="00B83E71"/>
    <w:rsid w:val="00B8498C"/>
    <w:rsid w:val="00B84A82"/>
    <w:rsid w:val="00B84C38"/>
    <w:rsid w:val="00B86F8D"/>
    <w:rsid w:val="00B945FA"/>
    <w:rsid w:val="00B95082"/>
    <w:rsid w:val="00B952C5"/>
    <w:rsid w:val="00BA4747"/>
    <w:rsid w:val="00BA5C80"/>
    <w:rsid w:val="00BA6872"/>
    <w:rsid w:val="00BA7376"/>
    <w:rsid w:val="00BA74C0"/>
    <w:rsid w:val="00BA7A97"/>
    <w:rsid w:val="00BB01FC"/>
    <w:rsid w:val="00BB3BA1"/>
    <w:rsid w:val="00BB401D"/>
    <w:rsid w:val="00BB5C78"/>
    <w:rsid w:val="00BB5E76"/>
    <w:rsid w:val="00BB6E15"/>
    <w:rsid w:val="00BB717D"/>
    <w:rsid w:val="00BC27F6"/>
    <w:rsid w:val="00BC3A03"/>
    <w:rsid w:val="00BC6113"/>
    <w:rsid w:val="00BC63BF"/>
    <w:rsid w:val="00BD21DD"/>
    <w:rsid w:val="00BD309D"/>
    <w:rsid w:val="00BD4D29"/>
    <w:rsid w:val="00BD5361"/>
    <w:rsid w:val="00BD546B"/>
    <w:rsid w:val="00BE0E18"/>
    <w:rsid w:val="00BE1709"/>
    <w:rsid w:val="00BF1EB0"/>
    <w:rsid w:val="00BF4506"/>
    <w:rsid w:val="00BF45AC"/>
    <w:rsid w:val="00BF6ECD"/>
    <w:rsid w:val="00BF7FA9"/>
    <w:rsid w:val="00C013F9"/>
    <w:rsid w:val="00C01A37"/>
    <w:rsid w:val="00C02ABE"/>
    <w:rsid w:val="00C02F28"/>
    <w:rsid w:val="00C0334C"/>
    <w:rsid w:val="00C0398C"/>
    <w:rsid w:val="00C0620F"/>
    <w:rsid w:val="00C07785"/>
    <w:rsid w:val="00C11915"/>
    <w:rsid w:val="00C132BB"/>
    <w:rsid w:val="00C139EA"/>
    <w:rsid w:val="00C148EC"/>
    <w:rsid w:val="00C163E7"/>
    <w:rsid w:val="00C16791"/>
    <w:rsid w:val="00C17372"/>
    <w:rsid w:val="00C17D1B"/>
    <w:rsid w:val="00C24A55"/>
    <w:rsid w:val="00C24FCE"/>
    <w:rsid w:val="00C256E8"/>
    <w:rsid w:val="00C269D3"/>
    <w:rsid w:val="00C26BEB"/>
    <w:rsid w:val="00C26F8F"/>
    <w:rsid w:val="00C2768A"/>
    <w:rsid w:val="00C30E1B"/>
    <w:rsid w:val="00C31718"/>
    <w:rsid w:val="00C328CA"/>
    <w:rsid w:val="00C33A94"/>
    <w:rsid w:val="00C33EC8"/>
    <w:rsid w:val="00C354F3"/>
    <w:rsid w:val="00C36E54"/>
    <w:rsid w:val="00C379E5"/>
    <w:rsid w:val="00C37E26"/>
    <w:rsid w:val="00C4601B"/>
    <w:rsid w:val="00C4677B"/>
    <w:rsid w:val="00C51346"/>
    <w:rsid w:val="00C52BFE"/>
    <w:rsid w:val="00C55EAC"/>
    <w:rsid w:val="00C566D4"/>
    <w:rsid w:val="00C57FA9"/>
    <w:rsid w:val="00C60335"/>
    <w:rsid w:val="00C61319"/>
    <w:rsid w:val="00C641DD"/>
    <w:rsid w:val="00C6571E"/>
    <w:rsid w:val="00C66AEA"/>
    <w:rsid w:val="00C67249"/>
    <w:rsid w:val="00C67446"/>
    <w:rsid w:val="00C67938"/>
    <w:rsid w:val="00C73D78"/>
    <w:rsid w:val="00C76758"/>
    <w:rsid w:val="00C8032B"/>
    <w:rsid w:val="00C81898"/>
    <w:rsid w:val="00C824AC"/>
    <w:rsid w:val="00C825E4"/>
    <w:rsid w:val="00C85534"/>
    <w:rsid w:val="00C858CF"/>
    <w:rsid w:val="00C87DF4"/>
    <w:rsid w:val="00C90B3F"/>
    <w:rsid w:val="00C91C67"/>
    <w:rsid w:val="00C927EC"/>
    <w:rsid w:val="00C94B9D"/>
    <w:rsid w:val="00C94C07"/>
    <w:rsid w:val="00C96871"/>
    <w:rsid w:val="00C96A13"/>
    <w:rsid w:val="00C978E2"/>
    <w:rsid w:val="00CA0AD7"/>
    <w:rsid w:val="00CA16D0"/>
    <w:rsid w:val="00CA18A8"/>
    <w:rsid w:val="00CA44C5"/>
    <w:rsid w:val="00CA44CC"/>
    <w:rsid w:val="00CA4A46"/>
    <w:rsid w:val="00CB120E"/>
    <w:rsid w:val="00CB1B6B"/>
    <w:rsid w:val="00CB2065"/>
    <w:rsid w:val="00CB3ECD"/>
    <w:rsid w:val="00CB3FFF"/>
    <w:rsid w:val="00CB6262"/>
    <w:rsid w:val="00CB6EF9"/>
    <w:rsid w:val="00CC13D5"/>
    <w:rsid w:val="00CC1495"/>
    <w:rsid w:val="00CC48B6"/>
    <w:rsid w:val="00CC55E6"/>
    <w:rsid w:val="00CC66F9"/>
    <w:rsid w:val="00CD14AE"/>
    <w:rsid w:val="00CD1668"/>
    <w:rsid w:val="00CD3B05"/>
    <w:rsid w:val="00CD3C69"/>
    <w:rsid w:val="00CD3CB9"/>
    <w:rsid w:val="00CD3FF6"/>
    <w:rsid w:val="00CD47FC"/>
    <w:rsid w:val="00CD5378"/>
    <w:rsid w:val="00CD5652"/>
    <w:rsid w:val="00CD6609"/>
    <w:rsid w:val="00CE0D9C"/>
    <w:rsid w:val="00CE2DF6"/>
    <w:rsid w:val="00CE329C"/>
    <w:rsid w:val="00CE57C3"/>
    <w:rsid w:val="00CE5E72"/>
    <w:rsid w:val="00CE6C6F"/>
    <w:rsid w:val="00CE7B31"/>
    <w:rsid w:val="00CF13FB"/>
    <w:rsid w:val="00CF1BF1"/>
    <w:rsid w:val="00CF2C10"/>
    <w:rsid w:val="00D00650"/>
    <w:rsid w:val="00D033DC"/>
    <w:rsid w:val="00D04A02"/>
    <w:rsid w:val="00D06E87"/>
    <w:rsid w:val="00D07B80"/>
    <w:rsid w:val="00D101FB"/>
    <w:rsid w:val="00D12BA4"/>
    <w:rsid w:val="00D14252"/>
    <w:rsid w:val="00D1587C"/>
    <w:rsid w:val="00D16282"/>
    <w:rsid w:val="00D16E48"/>
    <w:rsid w:val="00D206A6"/>
    <w:rsid w:val="00D20851"/>
    <w:rsid w:val="00D20C38"/>
    <w:rsid w:val="00D21162"/>
    <w:rsid w:val="00D21D0B"/>
    <w:rsid w:val="00D21DD6"/>
    <w:rsid w:val="00D255DC"/>
    <w:rsid w:val="00D25F96"/>
    <w:rsid w:val="00D2672E"/>
    <w:rsid w:val="00D33F11"/>
    <w:rsid w:val="00D35E16"/>
    <w:rsid w:val="00D36716"/>
    <w:rsid w:val="00D3692B"/>
    <w:rsid w:val="00D370C8"/>
    <w:rsid w:val="00D40D48"/>
    <w:rsid w:val="00D43109"/>
    <w:rsid w:val="00D4322A"/>
    <w:rsid w:val="00D456B8"/>
    <w:rsid w:val="00D45DFF"/>
    <w:rsid w:val="00D46311"/>
    <w:rsid w:val="00D5277F"/>
    <w:rsid w:val="00D533F7"/>
    <w:rsid w:val="00D53A10"/>
    <w:rsid w:val="00D56240"/>
    <w:rsid w:val="00D576A0"/>
    <w:rsid w:val="00D607A5"/>
    <w:rsid w:val="00D60835"/>
    <w:rsid w:val="00D60A87"/>
    <w:rsid w:val="00D60F68"/>
    <w:rsid w:val="00D61803"/>
    <w:rsid w:val="00D63CBC"/>
    <w:rsid w:val="00D63DBD"/>
    <w:rsid w:val="00D6424B"/>
    <w:rsid w:val="00D64632"/>
    <w:rsid w:val="00D64E22"/>
    <w:rsid w:val="00D675F8"/>
    <w:rsid w:val="00D7243A"/>
    <w:rsid w:val="00D7266D"/>
    <w:rsid w:val="00D72E49"/>
    <w:rsid w:val="00D756D4"/>
    <w:rsid w:val="00D75B3A"/>
    <w:rsid w:val="00D76174"/>
    <w:rsid w:val="00D77BC5"/>
    <w:rsid w:val="00D80A1C"/>
    <w:rsid w:val="00D81BC6"/>
    <w:rsid w:val="00D8503A"/>
    <w:rsid w:val="00D855B5"/>
    <w:rsid w:val="00D86A53"/>
    <w:rsid w:val="00D8792C"/>
    <w:rsid w:val="00D91871"/>
    <w:rsid w:val="00D9494B"/>
    <w:rsid w:val="00D95587"/>
    <w:rsid w:val="00D95728"/>
    <w:rsid w:val="00D96966"/>
    <w:rsid w:val="00DA0613"/>
    <w:rsid w:val="00DA2A27"/>
    <w:rsid w:val="00DA3E01"/>
    <w:rsid w:val="00DA417D"/>
    <w:rsid w:val="00DA5044"/>
    <w:rsid w:val="00DA63D3"/>
    <w:rsid w:val="00DA653F"/>
    <w:rsid w:val="00DB1CFC"/>
    <w:rsid w:val="00DB2242"/>
    <w:rsid w:val="00DB457E"/>
    <w:rsid w:val="00DB4F35"/>
    <w:rsid w:val="00DB6F08"/>
    <w:rsid w:val="00DC159D"/>
    <w:rsid w:val="00DC2A47"/>
    <w:rsid w:val="00DD30CF"/>
    <w:rsid w:val="00DD364B"/>
    <w:rsid w:val="00DD6F3E"/>
    <w:rsid w:val="00DE2B3F"/>
    <w:rsid w:val="00DE3926"/>
    <w:rsid w:val="00DE3FD0"/>
    <w:rsid w:val="00DE64B0"/>
    <w:rsid w:val="00DE691E"/>
    <w:rsid w:val="00DE762D"/>
    <w:rsid w:val="00DF03FB"/>
    <w:rsid w:val="00DF5C3F"/>
    <w:rsid w:val="00DF5D21"/>
    <w:rsid w:val="00DF6010"/>
    <w:rsid w:val="00DF6663"/>
    <w:rsid w:val="00DF6FBD"/>
    <w:rsid w:val="00E02FC1"/>
    <w:rsid w:val="00E03C94"/>
    <w:rsid w:val="00E04163"/>
    <w:rsid w:val="00E04EC3"/>
    <w:rsid w:val="00E05D21"/>
    <w:rsid w:val="00E06CEA"/>
    <w:rsid w:val="00E113C0"/>
    <w:rsid w:val="00E1192C"/>
    <w:rsid w:val="00E12398"/>
    <w:rsid w:val="00E1347D"/>
    <w:rsid w:val="00E155B2"/>
    <w:rsid w:val="00E163B2"/>
    <w:rsid w:val="00E163EC"/>
    <w:rsid w:val="00E21769"/>
    <w:rsid w:val="00E238AD"/>
    <w:rsid w:val="00E23AEE"/>
    <w:rsid w:val="00E2476A"/>
    <w:rsid w:val="00E3346D"/>
    <w:rsid w:val="00E33BBD"/>
    <w:rsid w:val="00E33BCD"/>
    <w:rsid w:val="00E35868"/>
    <w:rsid w:val="00E35A42"/>
    <w:rsid w:val="00E422A0"/>
    <w:rsid w:val="00E44AE2"/>
    <w:rsid w:val="00E47CCB"/>
    <w:rsid w:val="00E47D08"/>
    <w:rsid w:val="00E501DA"/>
    <w:rsid w:val="00E52146"/>
    <w:rsid w:val="00E535C4"/>
    <w:rsid w:val="00E5457D"/>
    <w:rsid w:val="00E566CF"/>
    <w:rsid w:val="00E60ABB"/>
    <w:rsid w:val="00E616F2"/>
    <w:rsid w:val="00E62117"/>
    <w:rsid w:val="00E623F6"/>
    <w:rsid w:val="00E62D18"/>
    <w:rsid w:val="00E64A14"/>
    <w:rsid w:val="00E65587"/>
    <w:rsid w:val="00E65AD2"/>
    <w:rsid w:val="00E70944"/>
    <w:rsid w:val="00E71C13"/>
    <w:rsid w:val="00E72687"/>
    <w:rsid w:val="00E74E28"/>
    <w:rsid w:val="00E74E3A"/>
    <w:rsid w:val="00E75575"/>
    <w:rsid w:val="00E75B16"/>
    <w:rsid w:val="00E803F6"/>
    <w:rsid w:val="00E82CF0"/>
    <w:rsid w:val="00E9120F"/>
    <w:rsid w:val="00E9146C"/>
    <w:rsid w:val="00E95779"/>
    <w:rsid w:val="00EA02E5"/>
    <w:rsid w:val="00EA1EBE"/>
    <w:rsid w:val="00EA2153"/>
    <w:rsid w:val="00EA355D"/>
    <w:rsid w:val="00EA3BAA"/>
    <w:rsid w:val="00EA4E31"/>
    <w:rsid w:val="00EA56B1"/>
    <w:rsid w:val="00EA59A1"/>
    <w:rsid w:val="00EA5FF5"/>
    <w:rsid w:val="00EB096B"/>
    <w:rsid w:val="00EB50A9"/>
    <w:rsid w:val="00EB74B7"/>
    <w:rsid w:val="00ED02FD"/>
    <w:rsid w:val="00ED1C9B"/>
    <w:rsid w:val="00ED2279"/>
    <w:rsid w:val="00ED2B50"/>
    <w:rsid w:val="00ED3AF2"/>
    <w:rsid w:val="00ED5BB8"/>
    <w:rsid w:val="00ED5D64"/>
    <w:rsid w:val="00EE26D4"/>
    <w:rsid w:val="00EE2AFA"/>
    <w:rsid w:val="00EE31D9"/>
    <w:rsid w:val="00EE4277"/>
    <w:rsid w:val="00EE6BF4"/>
    <w:rsid w:val="00EF1917"/>
    <w:rsid w:val="00EF194A"/>
    <w:rsid w:val="00EF21BC"/>
    <w:rsid w:val="00EF35B1"/>
    <w:rsid w:val="00EF6588"/>
    <w:rsid w:val="00EF796D"/>
    <w:rsid w:val="00F011AC"/>
    <w:rsid w:val="00F0668C"/>
    <w:rsid w:val="00F06934"/>
    <w:rsid w:val="00F104AF"/>
    <w:rsid w:val="00F112E6"/>
    <w:rsid w:val="00F1162D"/>
    <w:rsid w:val="00F13824"/>
    <w:rsid w:val="00F1389A"/>
    <w:rsid w:val="00F14155"/>
    <w:rsid w:val="00F14210"/>
    <w:rsid w:val="00F16C8A"/>
    <w:rsid w:val="00F16D75"/>
    <w:rsid w:val="00F2018A"/>
    <w:rsid w:val="00F20256"/>
    <w:rsid w:val="00F210CE"/>
    <w:rsid w:val="00F30A7F"/>
    <w:rsid w:val="00F31597"/>
    <w:rsid w:val="00F31A0A"/>
    <w:rsid w:val="00F335E7"/>
    <w:rsid w:val="00F34F63"/>
    <w:rsid w:val="00F35D2B"/>
    <w:rsid w:val="00F37D17"/>
    <w:rsid w:val="00F449FC"/>
    <w:rsid w:val="00F45198"/>
    <w:rsid w:val="00F45927"/>
    <w:rsid w:val="00F46741"/>
    <w:rsid w:val="00F46D79"/>
    <w:rsid w:val="00F512A6"/>
    <w:rsid w:val="00F52194"/>
    <w:rsid w:val="00F53EAB"/>
    <w:rsid w:val="00F549B9"/>
    <w:rsid w:val="00F554A6"/>
    <w:rsid w:val="00F576CF"/>
    <w:rsid w:val="00F608D3"/>
    <w:rsid w:val="00F60B20"/>
    <w:rsid w:val="00F61670"/>
    <w:rsid w:val="00F620F0"/>
    <w:rsid w:val="00F65ADC"/>
    <w:rsid w:val="00F6651B"/>
    <w:rsid w:val="00F668DC"/>
    <w:rsid w:val="00F67BDD"/>
    <w:rsid w:val="00F71968"/>
    <w:rsid w:val="00F723C7"/>
    <w:rsid w:val="00F7542C"/>
    <w:rsid w:val="00F80DDB"/>
    <w:rsid w:val="00F82114"/>
    <w:rsid w:val="00F83011"/>
    <w:rsid w:val="00F86533"/>
    <w:rsid w:val="00F8681C"/>
    <w:rsid w:val="00F90BD8"/>
    <w:rsid w:val="00F930E7"/>
    <w:rsid w:val="00F93D2F"/>
    <w:rsid w:val="00F955C1"/>
    <w:rsid w:val="00F969A7"/>
    <w:rsid w:val="00F97789"/>
    <w:rsid w:val="00FA021E"/>
    <w:rsid w:val="00FA4309"/>
    <w:rsid w:val="00FA6053"/>
    <w:rsid w:val="00FB0D47"/>
    <w:rsid w:val="00FB2CEB"/>
    <w:rsid w:val="00FB3676"/>
    <w:rsid w:val="00FB69E3"/>
    <w:rsid w:val="00FB736F"/>
    <w:rsid w:val="00FC0527"/>
    <w:rsid w:val="00FC06EC"/>
    <w:rsid w:val="00FC20AD"/>
    <w:rsid w:val="00FC27A1"/>
    <w:rsid w:val="00FC6907"/>
    <w:rsid w:val="00FD10A4"/>
    <w:rsid w:val="00FD17A1"/>
    <w:rsid w:val="00FD1F45"/>
    <w:rsid w:val="00FD3637"/>
    <w:rsid w:val="00FD3C20"/>
    <w:rsid w:val="00FD4368"/>
    <w:rsid w:val="00FD5BD7"/>
    <w:rsid w:val="00FD7504"/>
    <w:rsid w:val="00FE0925"/>
    <w:rsid w:val="00FE3E02"/>
    <w:rsid w:val="00FE5A40"/>
    <w:rsid w:val="00FE5A4F"/>
    <w:rsid w:val="00FE60D0"/>
    <w:rsid w:val="00FE6B11"/>
    <w:rsid w:val="00FE7299"/>
    <w:rsid w:val="00FE73B7"/>
    <w:rsid w:val="00FE7685"/>
    <w:rsid w:val="00FE7BF6"/>
    <w:rsid w:val="00FE7C3B"/>
    <w:rsid w:val="00FF1C14"/>
    <w:rsid w:val="00FF2749"/>
    <w:rsid w:val="00FF4474"/>
    <w:rsid w:val="00FF4E16"/>
    <w:rsid w:val="00FF5D1F"/>
    <w:rsid w:val="00FF653C"/>
    <w:rsid w:val="00FF79C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4B5F63"/>
  <w15:docId w15:val="{58C623D5-9C57-4968-8562-F574289106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3" w:qFormat="1"/>
    <w:lsdException w:name="heading 2" w:semiHidden="1" w:uiPriority="3" w:unhideWhenUsed="1" w:qFormat="1"/>
    <w:lsdException w:name="heading 3" w:semiHidden="1" w:uiPriority="3" w:unhideWhenUsed="1" w:qFormat="1"/>
    <w:lsdException w:name="heading 4" w:semiHidden="1" w:uiPriority="3" w:unhideWhenUsed="1" w:qFormat="1"/>
    <w:lsdException w:name="heading 5" w:semiHidden="1" w:uiPriority="3"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7"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iPriority="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iPriority="97"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D33C6"/>
    <w:pPr>
      <w:spacing w:before="240" w:after="240" w:line="260" w:lineRule="atLeast"/>
    </w:pPr>
    <w:rPr>
      <w:rFonts w:ascii="Segoe UI" w:eastAsia="MS Mincho" w:hAnsi="Segoe UI" w:cstheme="minorHAnsi"/>
      <w:sz w:val="20"/>
      <w:szCs w:val="24"/>
      <w:lang w:val="en-AU" w:eastAsia="ja-JP"/>
    </w:rPr>
  </w:style>
  <w:style w:type="paragraph" w:styleId="Heading1">
    <w:name w:val="heading 1"/>
    <w:basedOn w:val="ADBodyText"/>
    <w:next w:val="ADBodyText"/>
    <w:link w:val="Heading1Char"/>
    <w:uiPriority w:val="3"/>
    <w:qFormat/>
    <w:rsid w:val="00856829"/>
    <w:pPr>
      <w:keepNext/>
      <w:numPr>
        <w:numId w:val="12"/>
      </w:numPr>
      <w:pBdr>
        <w:bottom w:val="dotted" w:sz="4" w:space="1" w:color="auto"/>
      </w:pBdr>
      <w:outlineLvl w:val="0"/>
    </w:pPr>
    <w:rPr>
      <w:rFonts w:eastAsia="Times New Roman" w:cs="Times New Roman"/>
      <w:b/>
      <w:color w:val="005F83"/>
      <w:sz w:val="36"/>
      <w:szCs w:val="20"/>
      <w:lang w:eastAsia="en-AU"/>
    </w:rPr>
  </w:style>
  <w:style w:type="paragraph" w:styleId="Heading2">
    <w:name w:val="heading 2"/>
    <w:basedOn w:val="Heading1"/>
    <w:next w:val="ADBodyText"/>
    <w:link w:val="Heading2Char"/>
    <w:uiPriority w:val="3"/>
    <w:qFormat/>
    <w:rsid w:val="001E741F"/>
    <w:pPr>
      <w:numPr>
        <w:ilvl w:val="1"/>
      </w:numPr>
      <w:pBdr>
        <w:bottom w:val="none" w:sz="0" w:space="0" w:color="auto"/>
      </w:pBdr>
      <w:outlineLvl w:val="1"/>
    </w:pPr>
    <w:rPr>
      <w:rFonts w:cs="Arial"/>
      <w:bCs/>
      <w:iCs/>
      <w:sz w:val="28"/>
      <w:szCs w:val="28"/>
    </w:rPr>
  </w:style>
  <w:style w:type="paragraph" w:styleId="Heading3">
    <w:name w:val="heading 3"/>
    <w:basedOn w:val="Heading1"/>
    <w:next w:val="ADBodyText"/>
    <w:link w:val="Heading3Char"/>
    <w:uiPriority w:val="3"/>
    <w:qFormat/>
    <w:rsid w:val="001E741F"/>
    <w:pPr>
      <w:numPr>
        <w:ilvl w:val="2"/>
      </w:numPr>
      <w:pBdr>
        <w:bottom w:val="none" w:sz="0" w:space="0" w:color="auto"/>
      </w:pBdr>
      <w:outlineLvl w:val="2"/>
    </w:pPr>
    <w:rPr>
      <w:bCs/>
      <w:sz w:val="24"/>
    </w:rPr>
  </w:style>
  <w:style w:type="paragraph" w:styleId="Heading4">
    <w:name w:val="heading 4"/>
    <w:basedOn w:val="Heading1"/>
    <w:next w:val="ADBodyText"/>
    <w:link w:val="Heading4Char"/>
    <w:uiPriority w:val="3"/>
    <w:qFormat/>
    <w:rsid w:val="00F13824"/>
    <w:pPr>
      <w:numPr>
        <w:ilvl w:val="3"/>
      </w:numPr>
      <w:pBdr>
        <w:bottom w:val="none" w:sz="0" w:space="0" w:color="auto"/>
      </w:pBdr>
      <w:spacing w:before="320" w:after="40"/>
      <w:ind w:left="1170" w:hanging="1170"/>
      <w:outlineLvl w:val="3"/>
    </w:pPr>
    <w:rPr>
      <w:bCs/>
      <w:sz w:val="24"/>
      <w:szCs w:val="22"/>
    </w:rPr>
  </w:style>
  <w:style w:type="paragraph" w:styleId="Heading5">
    <w:name w:val="heading 5"/>
    <w:basedOn w:val="Heading1"/>
    <w:next w:val="ADBodyText"/>
    <w:link w:val="Heading5Char"/>
    <w:uiPriority w:val="3"/>
    <w:rsid w:val="001E741F"/>
    <w:pPr>
      <w:keepLines/>
      <w:numPr>
        <w:numId w:val="0"/>
      </w:numPr>
      <w:pBdr>
        <w:bottom w:val="none" w:sz="0" w:space="0" w:color="auto"/>
      </w:pBdr>
      <w:spacing w:before="320" w:after="40"/>
      <w:outlineLvl w:val="4"/>
    </w:pPr>
    <w:rPr>
      <w:rFonts w:eastAsiaTheme="majorEastAsia" w:cstheme="majorHAnsi"/>
      <w:sz w:val="24"/>
    </w:rPr>
  </w:style>
  <w:style w:type="paragraph" w:styleId="Heading6">
    <w:name w:val="heading 6"/>
    <w:basedOn w:val="Heading1"/>
    <w:next w:val="ADBodyText"/>
    <w:link w:val="Heading6Char"/>
    <w:uiPriority w:val="9"/>
    <w:unhideWhenUsed/>
    <w:rsid w:val="000D733A"/>
    <w:pPr>
      <w:keepLines/>
      <w:numPr>
        <w:numId w:val="0"/>
      </w:numPr>
      <w:pBdr>
        <w:bottom w:val="none" w:sz="0" w:space="0" w:color="auto"/>
      </w:pBdr>
      <w:spacing w:before="40"/>
      <w:outlineLvl w:val="5"/>
    </w:pPr>
    <w:rPr>
      <w:rFonts w:eastAsiaTheme="majorEastAsia" w:cstheme="majorBidi"/>
      <w:color w:val="005F83" w:themeColor="accent1"/>
      <w:sz w:val="20"/>
    </w:rPr>
  </w:style>
  <w:style w:type="paragraph" w:styleId="Heading7">
    <w:name w:val="heading 7"/>
    <w:basedOn w:val="Heading6"/>
    <w:next w:val="ADBodyText"/>
    <w:link w:val="Heading7Char"/>
    <w:uiPriority w:val="9"/>
    <w:unhideWhenUsed/>
    <w:rsid w:val="001D33C6"/>
    <w:pPr>
      <w:outlineLvl w:val="6"/>
    </w:pPr>
  </w:style>
  <w:style w:type="paragraph" w:styleId="Heading8">
    <w:name w:val="heading 8"/>
    <w:basedOn w:val="Heading1"/>
    <w:next w:val="ADBodyText"/>
    <w:link w:val="Heading8Char"/>
    <w:uiPriority w:val="9"/>
    <w:semiHidden/>
    <w:unhideWhenUsed/>
    <w:rsid w:val="001649D4"/>
    <w:pPr>
      <w:keepLines/>
      <w:numPr>
        <w:numId w:val="0"/>
      </w:numPr>
      <w:spacing w:before="200"/>
      <w:outlineLvl w:val="7"/>
    </w:pPr>
    <w:rPr>
      <w:rFonts w:eastAsiaTheme="majorEastAsia" w:cstheme="majorBidi"/>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DAppendixTitle">
    <w:name w:val="AD Appendix Title"/>
    <w:basedOn w:val="ADBodyText"/>
    <w:next w:val="ADBodyText"/>
    <w:qFormat/>
    <w:rsid w:val="001E741F"/>
    <w:rPr>
      <w:noProof/>
      <w:sz w:val="40"/>
    </w:rPr>
  </w:style>
  <w:style w:type="character" w:customStyle="1" w:styleId="Heading1Char">
    <w:name w:val="Heading 1 Char"/>
    <w:basedOn w:val="DefaultParagraphFont"/>
    <w:link w:val="Heading1"/>
    <w:uiPriority w:val="3"/>
    <w:rsid w:val="00856829"/>
    <w:rPr>
      <w:rFonts w:ascii="Segoe UI" w:eastAsia="Times New Roman" w:hAnsi="Segoe UI" w:cs="Times New Roman"/>
      <w:b/>
      <w:color w:val="005F83"/>
      <w:sz w:val="36"/>
      <w:szCs w:val="20"/>
      <w:lang w:val="en-AU" w:eastAsia="en-AU"/>
    </w:rPr>
  </w:style>
  <w:style w:type="paragraph" w:customStyle="1" w:styleId="ADBodyText">
    <w:name w:val="AD Body Text"/>
    <w:link w:val="ADBodyTextChar"/>
    <w:qFormat/>
    <w:rsid w:val="001E741F"/>
    <w:pPr>
      <w:spacing w:before="240" w:after="240" w:line="260" w:lineRule="atLeast"/>
    </w:pPr>
    <w:rPr>
      <w:rFonts w:ascii="Segoe UI" w:eastAsia="MS Mincho" w:hAnsi="Segoe UI" w:cstheme="minorHAnsi"/>
      <w:sz w:val="20"/>
      <w:szCs w:val="24"/>
      <w:lang w:val="en-AU" w:eastAsia="ja-JP"/>
    </w:rPr>
  </w:style>
  <w:style w:type="paragraph" w:customStyle="1" w:styleId="ADBullet1">
    <w:name w:val="AD Bullet 1"/>
    <w:basedOn w:val="ADBodyText"/>
    <w:qFormat/>
    <w:rsid w:val="00856829"/>
    <w:pPr>
      <w:numPr>
        <w:numId w:val="5"/>
      </w:numPr>
      <w:spacing w:before="80" w:after="80" w:line="240" w:lineRule="atLeast"/>
    </w:pPr>
  </w:style>
  <w:style w:type="paragraph" w:customStyle="1" w:styleId="ADBullet2">
    <w:name w:val="AD Bullet 2"/>
    <w:basedOn w:val="ADBullet1"/>
    <w:qFormat/>
    <w:rsid w:val="00856829"/>
    <w:pPr>
      <w:numPr>
        <w:ilvl w:val="1"/>
      </w:numPr>
    </w:pPr>
  </w:style>
  <w:style w:type="paragraph" w:customStyle="1" w:styleId="ADBullet3">
    <w:name w:val="AD Bullet 3"/>
    <w:basedOn w:val="ADBullet1"/>
    <w:qFormat/>
    <w:rsid w:val="00856829"/>
    <w:pPr>
      <w:numPr>
        <w:ilvl w:val="2"/>
        <w:numId w:val="6"/>
      </w:numPr>
      <w:tabs>
        <w:tab w:val="num" w:pos="360"/>
      </w:tabs>
      <w:ind w:left="1151"/>
    </w:pPr>
    <w:rPr>
      <w:lang w:eastAsia="en-AU"/>
    </w:rPr>
  </w:style>
  <w:style w:type="paragraph" w:customStyle="1" w:styleId="ADCoverDate">
    <w:name w:val="AD Cover Date"/>
    <w:basedOn w:val="ADTableText"/>
    <w:uiPriority w:val="10"/>
    <w:qFormat/>
    <w:rsid w:val="0027696B"/>
  </w:style>
  <w:style w:type="paragraph" w:customStyle="1" w:styleId="ADCoverHeading">
    <w:name w:val="AD Cover Heading"/>
    <w:basedOn w:val="ADBodyText"/>
    <w:next w:val="ADBodyText"/>
    <w:uiPriority w:val="8"/>
    <w:qFormat/>
    <w:rsid w:val="0027696B"/>
    <w:pPr>
      <w:spacing w:after="100"/>
      <w:contextualSpacing/>
    </w:pPr>
    <w:rPr>
      <w:rFonts w:eastAsia="Times New Roman" w:cstheme="majorHAnsi"/>
      <w:b/>
      <w:bCs/>
      <w:color w:val="000000" w:themeColor="text1"/>
      <w:spacing w:val="-3"/>
      <w:sz w:val="52"/>
      <w:szCs w:val="38"/>
    </w:rPr>
  </w:style>
  <w:style w:type="paragraph" w:customStyle="1" w:styleId="ADCoverSubheading">
    <w:name w:val="AD Cover Subheading"/>
    <w:basedOn w:val="ADBodyText"/>
    <w:uiPriority w:val="9"/>
    <w:rsid w:val="0027696B"/>
    <w:pPr>
      <w:spacing w:before="360" w:after="120" w:line="240" w:lineRule="auto"/>
    </w:pPr>
    <w:rPr>
      <w:rFonts w:eastAsia="Times New Roman"/>
      <w:bCs/>
      <w:sz w:val="28"/>
      <w:szCs w:val="38"/>
    </w:rPr>
  </w:style>
  <w:style w:type="paragraph" w:customStyle="1" w:styleId="ADDisclaimer">
    <w:name w:val="AD Disclaimer"/>
    <w:basedOn w:val="ADBodyText"/>
    <w:next w:val="ADBodyText"/>
    <w:qFormat/>
    <w:rsid w:val="001E741F"/>
    <w:rPr>
      <w:sz w:val="18"/>
      <w:szCs w:val="16"/>
    </w:rPr>
  </w:style>
  <w:style w:type="paragraph" w:customStyle="1" w:styleId="ADFigureTitle">
    <w:name w:val="AD Figure Title"/>
    <w:basedOn w:val="ADBodyText"/>
    <w:next w:val="ADBodyText"/>
    <w:qFormat/>
    <w:rsid w:val="00ED5BB8"/>
    <w:pPr>
      <w:numPr>
        <w:numId w:val="15"/>
      </w:numPr>
      <w:tabs>
        <w:tab w:val="left" w:pos="360"/>
      </w:tabs>
      <w:spacing w:before="0" w:line="240" w:lineRule="atLeast"/>
      <w:ind w:left="0" w:firstLine="0"/>
    </w:pPr>
    <w:rPr>
      <w:i/>
      <w:color w:val="8B8F94"/>
      <w:sz w:val="18"/>
    </w:rPr>
  </w:style>
  <w:style w:type="paragraph" w:customStyle="1" w:styleId="ADHeadingAppendix">
    <w:name w:val="AD Heading Appendix"/>
    <w:basedOn w:val="ADBodyText"/>
    <w:next w:val="ADBodyText"/>
    <w:qFormat/>
    <w:rsid w:val="00A67703"/>
    <w:pPr>
      <w:numPr>
        <w:numId w:val="18"/>
      </w:numPr>
      <w:pBdr>
        <w:bottom w:val="dotted" w:sz="4" w:space="1" w:color="auto"/>
      </w:pBdr>
      <w:spacing w:before="0" w:line="252" w:lineRule="auto"/>
    </w:pPr>
    <w:rPr>
      <w:b/>
      <w:color w:val="005F83"/>
      <w:sz w:val="36"/>
    </w:rPr>
  </w:style>
  <w:style w:type="paragraph" w:customStyle="1" w:styleId="ADHeadingRulingLine">
    <w:name w:val="AD Heading Ruling Line"/>
    <w:basedOn w:val="Heading1"/>
    <w:next w:val="ADBodyText"/>
    <w:qFormat/>
    <w:rsid w:val="00FD3C20"/>
    <w:pPr>
      <w:numPr>
        <w:numId w:val="0"/>
      </w:numPr>
      <w:pBdr>
        <w:bottom w:val="none" w:sz="0" w:space="0" w:color="auto"/>
      </w:pBdr>
    </w:pPr>
    <w:rPr>
      <w:sz w:val="24"/>
    </w:rPr>
  </w:style>
  <w:style w:type="paragraph" w:customStyle="1" w:styleId="ADTableText">
    <w:name w:val="AD Table Text"/>
    <w:basedOn w:val="ADBodyText"/>
    <w:uiPriority w:val="4"/>
    <w:qFormat/>
    <w:rsid w:val="00856829"/>
    <w:pPr>
      <w:spacing w:before="120" w:after="120"/>
    </w:pPr>
  </w:style>
  <w:style w:type="paragraph" w:styleId="ListNumber5">
    <w:name w:val="List Number 5"/>
    <w:uiPriority w:val="1"/>
    <w:semiHidden/>
    <w:rsid w:val="001D33C6"/>
    <w:pPr>
      <w:numPr>
        <w:numId w:val="3"/>
      </w:numPr>
      <w:spacing w:after="0" w:line="240" w:lineRule="auto"/>
      <w:contextualSpacing/>
    </w:pPr>
    <w:rPr>
      <w:rFonts w:eastAsia="MS Mincho" w:cstheme="minorHAnsi"/>
      <w:color w:val="172934" w:themeColor="text2"/>
      <w:sz w:val="18"/>
      <w:szCs w:val="24"/>
      <w:lang w:val="en-AU" w:eastAsia="ja-JP"/>
    </w:rPr>
  </w:style>
  <w:style w:type="paragraph" w:customStyle="1" w:styleId="ADNumberList1">
    <w:name w:val="AD Number List 1"/>
    <w:basedOn w:val="ADBodyText"/>
    <w:qFormat/>
    <w:rsid w:val="00287FFB"/>
    <w:pPr>
      <w:numPr>
        <w:numId w:val="7"/>
      </w:numPr>
      <w:tabs>
        <w:tab w:val="num" w:pos="360"/>
      </w:tabs>
      <w:spacing w:after="120" w:line="240" w:lineRule="atLeast"/>
      <w:ind w:left="357" w:hanging="357"/>
    </w:pPr>
    <w:rPr>
      <w:lang w:eastAsia="en-AU"/>
    </w:rPr>
  </w:style>
  <w:style w:type="paragraph" w:customStyle="1" w:styleId="ADNumberList2">
    <w:name w:val="AD Number List 2"/>
    <w:basedOn w:val="ADBodyText"/>
    <w:qFormat/>
    <w:rsid w:val="00856829"/>
    <w:pPr>
      <w:numPr>
        <w:numId w:val="8"/>
      </w:numPr>
      <w:spacing w:before="120" w:after="120" w:line="240" w:lineRule="atLeast"/>
      <w:ind w:left="754" w:hanging="357"/>
    </w:pPr>
    <w:rPr>
      <w:lang w:eastAsia="en-AU"/>
    </w:rPr>
  </w:style>
  <w:style w:type="paragraph" w:customStyle="1" w:styleId="ADNumberList3">
    <w:name w:val="AD Number List 3"/>
    <w:basedOn w:val="ADBodyText"/>
    <w:qFormat/>
    <w:rsid w:val="00856829"/>
    <w:pPr>
      <w:numPr>
        <w:numId w:val="9"/>
      </w:numPr>
      <w:spacing w:before="120" w:after="120" w:line="240" w:lineRule="atLeast"/>
      <w:ind w:left="1151" w:hanging="357"/>
    </w:pPr>
    <w:rPr>
      <w:lang w:eastAsia="en-AU"/>
    </w:rPr>
  </w:style>
  <w:style w:type="paragraph" w:customStyle="1" w:styleId="ADPullOut">
    <w:name w:val="AD Pull Out"/>
    <w:basedOn w:val="ADBodyText"/>
    <w:next w:val="ADBodyText"/>
    <w:qFormat/>
    <w:rsid w:val="001E741F"/>
    <w:pPr>
      <w:framePr w:w="3119" w:hSpace="397" w:wrap="around" w:vAnchor="text" w:hAnchor="margin" w:xAlign="right" w:y="1"/>
      <w:spacing w:before="0"/>
    </w:pPr>
    <w:rPr>
      <w:color w:val="DD0054"/>
      <w:sz w:val="28"/>
    </w:rPr>
  </w:style>
  <w:style w:type="paragraph" w:customStyle="1" w:styleId="ADSubheadingnoTOC">
    <w:name w:val="AD Subheading no TOC"/>
    <w:basedOn w:val="ADBodyText"/>
    <w:next w:val="ADBodyText"/>
    <w:qFormat/>
    <w:rsid w:val="001E741F"/>
    <w:pPr>
      <w:spacing w:after="60"/>
    </w:pPr>
    <w:rPr>
      <w:b/>
      <w:color w:val="005F83"/>
      <w:sz w:val="24"/>
    </w:rPr>
  </w:style>
  <w:style w:type="table" w:customStyle="1" w:styleId="ADTable1">
    <w:name w:val="AD Table 1"/>
    <w:basedOn w:val="TableNormal"/>
    <w:uiPriority w:val="99"/>
    <w:rsid w:val="00FD3C20"/>
    <w:pPr>
      <w:spacing w:before="120" w:after="120" w:line="240" w:lineRule="atLeast"/>
    </w:pPr>
    <w:rPr>
      <w:rFonts w:ascii="Segoe UI" w:hAnsi="Segoe UI"/>
      <w:sz w:val="20"/>
      <w:szCs w:val="20"/>
      <w:lang w:val="en-AU"/>
    </w:rPr>
    <w:tblPr>
      <w:tblStyleRowBandSize w:val="1"/>
      <w:tblStyleColBandSize w:val="1"/>
      <w:tblInd w:w="113" w:type="dxa"/>
      <w:tblBorders>
        <w:top w:val="single" w:sz="4" w:space="0" w:color="005F83"/>
        <w:bottom w:val="single" w:sz="4" w:space="0" w:color="005F83"/>
        <w:insideH w:val="single" w:sz="4" w:space="0" w:color="005F83"/>
      </w:tblBorders>
    </w:tblPr>
    <w:tcPr>
      <w:shd w:val="clear" w:color="auto" w:fill="auto"/>
      <w:vAlign w:val="center"/>
    </w:tcPr>
    <w:tblStylePr w:type="firstRow">
      <w:pPr>
        <w:jc w:val="center"/>
      </w:pPr>
      <w:rPr>
        <w:rFonts w:ascii="Franklin Gothic Book" w:hAnsi="Franklin Gothic Book"/>
        <w:b/>
        <w:i w:val="0"/>
        <w:color w:val="FFFFFF" w:themeColor="background1"/>
        <w:sz w:val="18"/>
      </w:rPr>
      <w:tblPr/>
      <w:trPr>
        <w:tblHeader/>
      </w:trPr>
      <w:tcPr>
        <w:shd w:val="clear" w:color="auto" w:fill="005F83"/>
      </w:tcPr>
    </w:tblStylePr>
    <w:tblStylePr w:type="band1Vert">
      <w:tblPr/>
      <w:tcPr>
        <w:shd w:val="clear" w:color="auto" w:fill="EFEFEF"/>
      </w:tcPr>
    </w:tblStylePr>
    <w:tblStylePr w:type="band2Vert">
      <w:tblPr/>
      <w:tcPr>
        <w:shd w:val="clear" w:color="auto" w:fill="D5D2CA"/>
      </w:tcPr>
    </w:tblStylePr>
    <w:tblStylePr w:type="band1Horz">
      <w:pPr>
        <w:jc w:val="left"/>
      </w:pPr>
      <w:rPr>
        <w:rFonts w:ascii="Franklin Gothic Medium Cond" w:hAnsi="Franklin Gothic Medium Cond"/>
        <w:b w:val="0"/>
        <w:i w:val="0"/>
        <w:sz w:val="18"/>
      </w:rPr>
    </w:tblStylePr>
  </w:style>
  <w:style w:type="table" w:customStyle="1" w:styleId="ADTable3">
    <w:name w:val="AD Table 3"/>
    <w:basedOn w:val="TableNormal"/>
    <w:uiPriority w:val="99"/>
    <w:rsid w:val="00FD3C20"/>
    <w:pPr>
      <w:spacing w:before="120" w:after="120" w:line="240" w:lineRule="atLeast"/>
    </w:pPr>
    <w:rPr>
      <w:rFonts w:ascii="Segoe UI" w:hAnsi="Segoe UI"/>
      <w:sz w:val="20"/>
      <w:szCs w:val="20"/>
      <w:lang w:val="en-AU"/>
    </w:rPr>
    <w:tblPr>
      <w:tblStyleRowBandSize w:val="1"/>
      <w:tblStyleColBandSize w:val="1"/>
      <w:tblInd w:w="113"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Pr>
    <w:tcPr>
      <w:shd w:val="clear" w:color="auto" w:fill="D5D2CA"/>
      <w:vAlign w:val="center"/>
    </w:tcPr>
    <w:tblStylePr w:type="firstRow">
      <w:pPr>
        <w:wordWrap/>
        <w:jc w:val="center"/>
        <w:outlineLvl w:val="8"/>
      </w:pPr>
      <w:rPr>
        <w:rFonts w:ascii="Arial" w:hAnsi="Arial"/>
        <w:b/>
        <w:color w:val="FFFFFF" w:themeColor="background1"/>
        <w:sz w:val="18"/>
      </w:rPr>
      <w:tblPr/>
      <w:trPr>
        <w:tblHeader/>
      </w:trPr>
      <w:tcPr>
        <w:shd w:val="clear" w:color="auto" w:fill="005F83"/>
      </w:tcPr>
    </w:tblStylePr>
    <w:tblStylePr w:type="band1Horz">
      <w:tblPr/>
      <w:tcPr>
        <w:shd w:val="clear" w:color="auto" w:fill="FFFFFF" w:themeFill="background1"/>
      </w:tcPr>
    </w:tblStylePr>
    <w:tblStylePr w:type="band2Horz">
      <w:tblPr/>
      <w:tcPr>
        <w:shd w:val="clear" w:color="auto" w:fill="D9D9D9" w:themeFill="background1" w:themeFillShade="D9"/>
      </w:tcPr>
    </w:tblStylePr>
  </w:style>
  <w:style w:type="table" w:customStyle="1" w:styleId="ADTable4">
    <w:name w:val="AD Table 4"/>
    <w:basedOn w:val="TableNormal"/>
    <w:rsid w:val="00FD3C20"/>
    <w:pPr>
      <w:spacing w:before="120" w:after="120" w:line="240" w:lineRule="atLeast"/>
    </w:pPr>
    <w:rPr>
      <w:rFonts w:ascii="Franklin Gothic Medium Cond" w:eastAsia="Times New Roman" w:hAnsi="Franklin Gothic Medium Cond" w:cs="Times New Roman"/>
      <w:sz w:val="20"/>
      <w:szCs w:val="20"/>
      <w:lang w:val="en-AU" w:eastAsia="en-AU"/>
    </w:rPr>
    <w:tblPr>
      <w:tblStyleRowBandSize w:val="1"/>
      <w:tblStyleColBandSize w:val="1"/>
      <w:tblInd w:w="113" w:type="dxa"/>
      <w:tblBorders>
        <w:insideH w:val="single" w:sz="18" w:space="0" w:color="FFFFFF"/>
        <w:insideV w:val="single" w:sz="18" w:space="0" w:color="FFFFFF"/>
      </w:tblBorders>
    </w:tblPr>
    <w:tcPr>
      <w:shd w:val="clear" w:color="auto" w:fill="auto"/>
      <w:vAlign w:val="center"/>
    </w:tcPr>
    <w:tblStylePr w:type="firstRow">
      <w:pPr>
        <w:wordWrap/>
        <w:jc w:val="center"/>
      </w:pPr>
      <w:rPr>
        <w:rFonts w:ascii="Franklin Gothic Book" w:hAnsi="Franklin Gothic Book"/>
        <w:b/>
        <w:i w:val="0"/>
        <w:color w:val="FFFFFF" w:themeColor="background1"/>
        <w:sz w:val="18"/>
      </w:rPr>
      <w:tblPr/>
      <w:trPr>
        <w:tblHeader/>
      </w:trPr>
      <w:tcPr>
        <w:shd w:val="clear" w:color="auto" w:fill="005F83"/>
      </w:tcPr>
    </w:tblStylePr>
    <w:tblStylePr w:type="firstCol">
      <w:rPr>
        <w:rFonts w:ascii="Segoe UI" w:hAnsi="Segoe UI"/>
        <w:b/>
        <w:color w:val="FFFFFF" w:themeColor="background1"/>
        <w:sz w:val="22"/>
      </w:rPr>
      <w:tblPr/>
      <w:tcPr>
        <w:shd w:val="clear" w:color="auto" w:fill="DD0055"/>
        <w:vAlign w:val="center"/>
      </w:tcPr>
    </w:tblStylePr>
    <w:tblStylePr w:type="band2Vert">
      <w:tblPr/>
      <w:tcPr>
        <w:shd w:val="clear" w:color="auto" w:fill="C7C8CA"/>
      </w:tcPr>
    </w:tblStylePr>
  </w:style>
  <w:style w:type="paragraph" w:customStyle="1" w:styleId="ADTableBullet1">
    <w:name w:val="AD Table Bullet 1"/>
    <w:basedOn w:val="ADTableText"/>
    <w:qFormat/>
    <w:rsid w:val="00F13824"/>
    <w:pPr>
      <w:numPr>
        <w:numId w:val="10"/>
      </w:numPr>
      <w:spacing w:before="0" w:after="0"/>
      <w:ind w:left="337" w:hanging="337"/>
    </w:pPr>
    <w:rPr>
      <w:szCs w:val="22"/>
    </w:rPr>
  </w:style>
  <w:style w:type="paragraph" w:customStyle="1" w:styleId="ADTableBullet2">
    <w:name w:val="AD Table Bullet 2"/>
    <w:basedOn w:val="ADTableText"/>
    <w:qFormat/>
    <w:rsid w:val="00F13824"/>
    <w:pPr>
      <w:numPr>
        <w:ilvl w:val="1"/>
        <w:numId w:val="11"/>
      </w:numPr>
      <w:spacing w:before="0" w:after="0"/>
      <w:ind w:left="697"/>
    </w:pPr>
    <w:rPr>
      <w:szCs w:val="22"/>
    </w:rPr>
  </w:style>
  <w:style w:type="paragraph" w:customStyle="1" w:styleId="ADTableHeading">
    <w:name w:val="AD Table Heading"/>
    <w:basedOn w:val="ADTableText"/>
    <w:next w:val="ADTableText"/>
    <w:uiPriority w:val="4"/>
    <w:qFormat/>
    <w:rsid w:val="000D733A"/>
    <w:pPr>
      <w:jc w:val="center"/>
    </w:pPr>
    <w:rPr>
      <w:bCs/>
      <w:color w:val="FFFFFF" w:themeColor="background1"/>
      <w:sz w:val="22"/>
      <w:szCs w:val="22"/>
    </w:rPr>
  </w:style>
  <w:style w:type="paragraph" w:customStyle="1" w:styleId="ADTableofContents">
    <w:name w:val="AD Table of Contents"/>
    <w:basedOn w:val="ADBodyText"/>
    <w:next w:val="ADBodyText"/>
    <w:qFormat/>
    <w:rsid w:val="00205044"/>
    <w:pPr>
      <w:keepNext/>
      <w:pBdr>
        <w:bottom w:val="dotted" w:sz="4" w:space="1" w:color="auto"/>
      </w:pBdr>
      <w:spacing w:line="240" w:lineRule="auto"/>
      <w:outlineLvl w:val="0"/>
    </w:pPr>
    <w:rPr>
      <w:rFonts w:eastAsia="Times New Roman" w:cs="Times New Roman"/>
      <w:b/>
      <w:color w:val="005F83"/>
      <w:sz w:val="36"/>
      <w:szCs w:val="20"/>
      <w:lang w:eastAsia="en-AU"/>
    </w:rPr>
  </w:style>
  <w:style w:type="paragraph" w:customStyle="1" w:styleId="ADTableSubheading">
    <w:name w:val="AD Table Subheading"/>
    <w:basedOn w:val="ADTableHeading"/>
    <w:qFormat/>
    <w:rsid w:val="00856829"/>
  </w:style>
  <w:style w:type="paragraph" w:customStyle="1" w:styleId="ADTableTitleCaption">
    <w:name w:val="AD Table Title Caption"/>
    <w:basedOn w:val="ADBodyText"/>
    <w:next w:val="ADBodyText"/>
    <w:qFormat/>
    <w:rsid w:val="00ED5BB8"/>
    <w:pPr>
      <w:numPr>
        <w:numId w:val="16"/>
      </w:numPr>
      <w:tabs>
        <w:tab w:val="left" w:pos="360"/>
      </w:tabs>
      <w:spacing w:before="0" w:line="240" w:lineRule="atLeast"/>
      <w:ind w:left="360"/>
    </w:pPr>
    <w:rPr>
      <w:i/>
      <w:color w:val="8B8F94"/>
      <w:sz w:val="18"/>
    </w:rPr>
  </w:style>
  <w:style w:type="character" w:customStyle="1" w:styleId="Heading2Char">
    <w:name w:val="Heading 2 Char"/>
    <w:basedOn w:val="DefaultParagraphFont"/>
    <w:link w:val="Heading2"/>
    <w:uiPriority w:val="3"/>
    <w:rsid w:val="001E741F"/>
    <w:rPr>
      <w:rFonts w:ascii="Segoe UI" w:eastAsia="Times New Roman" w:hAnsi="Segoe UI" w:cs="Arial"/>
      <w:b/>
      <w:bCs/>
      <w:iCs/>
      <w:color w:val="005F83"/>
      <w:sz w:val="28"/>
      <w:szCs w:val="28"/>
      <w:lang w:val="en-AU" w:eastAsia="en-AU"/>
    </w:rPr>
  </w:style>
  <w:style w:type="character" w:customStyle="1" w:styleId="Heading3Char">
    <w:name w:val="Heading 3 Char"/>
    <w:basedOn w:val="DefaultParagraphFont"/>
    <w:link w:val="Heading3"/>
    <w:uiPriority w:val="3"/>
    <w:rsid w:val="001E741F"/>
    <w:rPr>
      <w:rFonts w:ascii="Segoe UI" w:eastAsia="Times New Roman" w:hAnsi="Segoe UI" w:cs="Times New Roman"/>
      <w:b/>
      <w:bCs/>
      <w:color w:val="005F83"/>
      <w:sz w:val="24"/>
      <w:szCs w:val="20"/>
      <w:lang w:val="en-AU" w:eastAsia="en-AU"/>
    </w:rPr>
  </w:style>
  <w:style w:type="character" w:customStyle="1" w:styleId="Heading4Char">
    <w:name w:val="Heading 4 Char"/>
    <w:basedOn w:val="DefaultParagraphFont"/>
    <w:link w:val="Heading4"/>
    <w:uiPriority w:val="3"/>
    <w:rsid w:val="00F13824"/>
    <w:rPr>
      <w:rFonts w:ascii="Segoe UI" w:eastAsia="Times New Roman" w:hAnsi="Segoe UI" w:cs="Times New Roman"/>
      <w:b/>
      <w:bCs/>
      <w:color w:val="005F83"/>
      <w:sz w:val="24"/>
      <w:lang w:val="en-AU" w:eastAsia="en-AU"/>
    </w:rPr>
  </w:style>
  <w:style w:type="character" w:customStyle="1" w:styleId="Heading5Char">
    <w:name w:val="Heading 5 Char"/>
    <w:basedOn w:val="DefaultParagraphFont"/>
    <w:link w:val="Heading5"/>
    <w:uiPriority w:val="3"/>
    <w:rsid w:val="001E741F"/>
    <w:rPr>
      <w:rFonts w:ascii="Segoe UI" w:eastAsiaTheme="majorEastAsia" w:hAnsi="Segoe UI" w:cstheme="majorHAnsi"/>
      <w:b/>
      <w:color w:val="005F83"/>
      <w:sz w:val="24"/>
      <w:szCs w:val="20"/>
      <w:lang w:val="en-AU" w:eastAsia="en-AU"/>
    </w:rPr>
  </w:style>
  <w:style w:type="paragraph" w:styleId="TOC1">
    <w:name w:val="toc 1"/>
    <w:autoRedefine/>
    <w:uiPriority w:val="39"/>
    <w:qFormat/>
    <w:rsid w:val="000F7180"/>
    <w:pPr>
      <w:tabs>
        <w:tab w:val="right" w:leader="dot" w:pos="8730"/>
      </w:tabs>
      <w:spacing w:line="240" w:lineRule="atLeast"/>
      <w:ind w:left="709" w:hanging="709"/>
    </w:pPr>
    <w:rPr>
      <w:rFonts w:ascii="Segoe UI" w:eastAsia="Times New Roman" w:hAnsi="Segoe UI" w:cs="Arial"/>
      <w:noProof/>
      <w:color w:val="000000" w:themeColor="text1"/>
      <w:sz w:val="24"/>
      <w:szCs w:val="28"/>
      <w:lang w:val="en-AU" w:eastAsia="en-AU"/>
    </w:rPr>
  </w:style>
  <w:style w:type="paragraph" w:styleId="TOC2">
    <w:name w:val="toc 2"/>
    <w:uiPriority w:val="39"/>
    <w:qFormat/>
    <w:rsid w:val="00856829"/>
    <w:pPr>
      <w:ind w:left="1440" w:hanging="720"/>
    </w:pPr>
    <w:rPr>
      <w:rFonts w:ascii="Segoe UI" w:eastAsia="Times New Roman" w:hAnsi="Segoe UI" w:cs="Arial"/>
      <w:noProof/>
      <w:color w:val="000000" w:themeColor="text1"/>
      <w:sz w:val="24"/>
      <w:szCs w:val="28"/>
      <w:lang w:val="en-AU" w:eastAsia="en-AU"/>
    </w:rPr>
  </w:style>
  <w:style w:type="paragraph" w:styleId="TOC3">
    <w:name w:val="toc 3"/>
    <w:uiPriority w:val="39"/>
    <w:qFormat/>
    <w:rsid w:val="00856829"/>
    <w:pPr>
      <w:ind w:left="2160" w:hanging="720"/>
    </w:pPr>
    <w:rPr>
      <w:rFonts w:ascii="Segoe UI" w:eastAsiaTheme="minorEastAsia" w:hAnsi="Segoe UI"/>
      <w:noProof/>
      <w:color w:val="000000" w:themeColor="text1"/>
    </w:rPr>
  </w:style>
  <w:style w:type="table" w:styleId="TableGrid">
    <w:name w:val="Table Grid"/>
    <w:aliases w:val="UDP Grid,Advisian new 5,E&amp;P Style 5,E&amp;P Table Style 4"/>
    <w:basedOn w:val="TableNormal"/>
    <w:uiPriority w:val="39"/>
    <w:rsid w:val="001D33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DTable2">
    <w:name w:val="AD Table 2"/>
    <w:basedOn w:val="TableNormal"/>
    <w:uiPriority w:val="99"/>
    <w:rsid w:val="00FD3C20"/>
    <w:pPr>
      <w:spacing w:before="120" w:after="120" w:line="240" w:lineRule="atLeast"/>
    </w:pPr>
    <w:rPr>
      <w:rFonts w:ascii="Segoe UI" w:hAnsi="Segoe UI"/>
    </w:rPr>
    <w:tblPr>
      <w:tblBorders>
        <w:top w:val="single" w:sz="4" w:space="0" w:color="005F83"/>
        <w:left w:val="single" w:sz="4" w:space="0" w:color="005F83"/>
        <w:bottom w:val="single" w:sz="4" w:space="0" w:color="005F83"/>
        <w:right w:val="single" w:sz="4" w:space="0" w:color="005F83"/>
        <w:insideH w:val="single" w:sz="4" w:space="0" w:color="005F83"/>
        <w:insideV w:val="single" w:sz="4" w:space="0" w:color="005F83"/>
      </w:tblBorders>
    </w:tblPr>
    <w:tcPr>
      <w:vAlign w:val="center"/>
    </w:tcPr>
    <w:tblStylePr w:type="firstRow">
      <w:pPr>
        <w:wordWrap/>
        <w:spacing w:beforeLines="0" w:before="120" w:beforeAutospacing="0" w:afterLines="0" w:after="120" w:afterAutospacing="0" w:line="240" w:lineRule="atLeast"/>
        <w:contextualSpacing/>
      </w:pPr>
      <w:rPr>
        <w:rFonts w:ascii="Segoe UI" w:hAnsi="Segoe UI"/>
        <w:b/>
        <w:color w:val="FFFFFF" w:themeColor="background1"/>
        <w:sz w:val="20"/>
      </w:rPr>
      <w:tblPr/>
      <w:trPr>
        <w:tblHeader/>
      </w:trPr>
      <w:tcPr>
        <w:shd w:val="clear" w:color="auto" w:fill="005F83"/>
      </w:tcPr>
    </w:tblStylePr>
  </w:style>
  <w:style w:type="character" w:customStyle="1" w:styleId="Heading6Char">
    <w:name w:val="Heading 6 Char"/>
    <w:basedOn w:val="DefaultParagraphFont"/>
    <w:link w:val="Heading6"/>
    <w:uiPriority w:val="9"/>
    <w:rsid w:val="000D733A"/>
    <w:rPr>
      <w:rFonts w:ascii="Segoe UI" w:eastAsiaTheme="majorEastAsia" w:hAnsi="Segoe UI" w:cstheme="majorBidi"/>
      <w:b/>
      <w:color w:val="005F83" w:themeColor="accent1"/>
      <w:sz w:val="20"/>
      <w:szCs w:val="20"/>
      <w:lang w:val="en-AU" w:eastAsia="en-AU"/>
    </w:rPr>
  </w:style>
  <w:style w:type="paragraph" w:styleId="Header">
    <w:name w:val="header"/>
    <w:basedOn w:val="ADBodyText"/>
    <w:link w:val="HeaderChar"/>
    <w:uiPriority w:val="9"/>
    <w:unhideWhenUsed/>
    <w:rsid w:val="001D33C6"/>
    <w:pPr>
      <w:tabs>
        <w:tab w:val="center" w:pos="4680"/>
        <w:tab w:val="right" w:pos="9360"/>
      </w:tabs>
      <w:spacing w:before="0" w:after="0" w:line="240" w:lineRule="auto"/>
    </w:pPr>
  </w:style>
  <w:style w:type="paragraph" w:styleId="Footer">
    <w:name w:val="footer"/>
    <w:basedOn w:val="ADBodyText"/>
    <w:link w:val="FooterChar"/>
    <w:uiPriority w:val="99"/>
    <w:unhideWhenUsed/>
    <w:rsid w:val="001D33C6"/>
    <w:pPr>
      <w:tabs>
        <w:tab w:val="center" w:pos="4680"/>
        <w:tab w:val="right" w:pos="9360"/>
      </w:tabs>
      <w:spacing w:before="0" w:after="0" w:line="240" w:lineRule="auto"/>
    </w:pPr>
    <w:rPr>
      <w:sz w:val="14"/>
    </w:rPr>
  </w:style>
  <w:style w:type="character" w:customStyle="1" w:styleId="FooterChar">
    <w:name w:val="Footer Char"/>
    <w:basedOn w:val="DefaultParagraphFont"/>
    <w:link w:val="Footer"/>
    <w:uiPriority w:val="99"/>
    <w:rsid w:val="001D33C6"/>
    <w:rPr>
      <w:rFonts w:ascii="Segoe UI" w:eastAsia="MS Mincho" w:hAnsi="Segoe UI" w:cstheme="minorHAnsi"/>
      <w:sz w:val="14"/>
      <w:szCs w:val="24"/>
      <w:lang w:val="en-AU" w:eastAsia="ja-JP"/>
    </w:rPr>
  </w:style>
  <w:style w:type="character" w:styleId="PageNumber">
    <w:name w:val="page number"/>
    <w:basedOn w:val="DefaultParagraphFont"/>
    <w:uiPriority w:val="97"/>
    <w:rsid w:val="000D733A"/>
    <w:rPr>
      <w:rFonts w:ascii="Segoe UI" w:hAnsi="Segoe UI" w:cstheme="minorHAnsi"/>
      <w:color w:val="172934" w:themeColor="text2"/>
      <w:sz w:val="14"/>
    </w:rPr>
  </w:style>
  <w:style w:type="numbering" w:styleId="1ai">
    <w:name w:val="Outline List 1"/>
    <w:basedOn w:val="NoList"/>
    <w:uiPriority w:val="97"/>
    <w:semiHidden/>
    <w:rsid w:val="00694C65"/>
    <w:pPr>
      <w:numPr>
        <w:numId w:val="1"/>
      </w:numPr>
    </w:pPr>
  </w:style>
  <w:style w:type="character" w:customStyle="1" w:styleId="HeaderChar">
    <w:name w:val="Header Char"/>
    <w:basedOn w:val="DefaultParagraphFont"/>
    <w:link w:val="Header"/>
    <w:uiPriority w:val="9"/>
    <w:rsid w:val="001D33C6"/>
    <w:rPr>
      <w:rFonts w:ascii="Segoe UI" w:eastAsia="MS Mincho" w:hAnsi="Segoe UI" w:cstheme="minorHAnsi"/>
      <w:sz w:val="20"/>
      <w:szCs w:val="24"/>
      <w:lang w:val="en-AU" w:eastAsia="ja-JP"/>
    </w:rPr>
  </w:style>
  <w:style w:type="paragraph" w:styleId="TableofFigures">
    <w:name w:val="table of figures"/>
    <w:basedOn w:val="ADBodyText"/>
    <w:next w:val="ADBodyText"/>
    <w:uiPriority w:val="99"/>
    <w:unhideWhenUsed/>
    <w:rsid w:val="001D33C6"/>
    <w:pPr>
      <w:spacing w:after="0"/>
    </w:pPr>
  </w:style>
  <w:style w:type="character" w:styleId="Hyperlink">
    <w:name w:val="Hyperlink"/>
    <w:basedOn w:val="DefaultParagraphFont"/>
    <w:uiPriority w:val="99"/>
    <w:unhideWhenUsed/>
    <w:rsid w:val="000D733A"/>
    <w:rPr>
      <w:rFonts w:ascii="Segoe UI" w:hAnsi="Segoe UI"/>
      <w:color w:val="005F83" w:themeColor="accent1"/>
      <w:sz w:val="20"/>
      <w:u w:val="single"/>
    </w:rPr>
  </w:style>
  <w:style w:type="paragraph" w:styleId="TOC4">
    <w:name w:val="toc 4"/>
    <w:basedOn w:val="Normal"/>
    <w:next w:val="Normal"/>
    <w:autoRedefine/>
    <w:uiPriority w:val="39"/>
    <w:semiHidden/>
    <w:unhideWhenUsed/>
    <w:rsid w:val="001E741F"/>
    <w:pPr>
      <w:spacing w:after="100"/>
      <w:ind w:left="600"/>
    </w:pPr>
  </w:style>
  <w:style w:type="paragraph" w:styleId="TOC5">
    <w:name w:val="toc 5"/>
    <w:basedOn w:val="Normal"/>
    <w:next w:val="Normal"/>
    <w:autoRedefine/>
    <w:uiPriority w:val="39"/>
    <w:semiHidden/>
    <w:unhideWhenUsed/>
    <w:rsid w:val="001E741F"/>
    <w:pPr>
      <w:spacing w:after="100"/>
      <w:ind w:left="800"/>
    </w:pPr>
  </w:style>
  <w:style w:type="paragraph" w:styleId="TOC6">
    <w:name w:val="toc 6"/>
    <w:basedOn w:val="Normal"/>
    <w:next w:val="Normal"/>
    <w:autoRedefine/>
    <w:uiPriority w:val="39"/>
    <w:semiHidden/>
    <w:unhideWhenUsed/>
    <w:rsid w:val="001E741F"/>
    <w:pPr>
      <w:spacing w:after="100"/>
      <w:ind w:left="1000"/>
    </w:pPr>
  </w:style>
  <w:style w:type="paragraph" w:styleId="TOC7">
    <w:name w:val="toc 7"/>
    <w:basedOn w:val="Normal"/>
    <w:next w:val="Normal"/>
    <w:autoRedefine/>
    <w:uiPriority w:val="39"/>
    <w:semiHidden/>
    <w:unhideWhenUsed/>
    <w:rsid w:val="001E741F"/>
    <w:pPr>
      <w:spacing w:after="100"/>
      <w:ind w:left="1200"/>
    </w:pPr>
  </w:style>
  <w:style w:type="paragraph" w:styleId="TOC8">
    <w:name w:val="toc 8"/>
    <w:basedOn w:val="Normal"/>
    <w:next w:val="Normal"/>
    <w:autoRedefine/>
    <w:uiPriority w:val="39"/>
    <w:unhideWhenUsed/>
    <w:rsid w:val="00694C65"/>
    <w:pPr>
      <w:spacing w:after="100"/>
      <w:ind w:left="1400"/>
    </w:pPr>
  </w:style>
  <w:style w:type="paragraph" w:styleId="TOC9">
    <w:name w:val="toc 9"/>
    <w:basedOn w:val="Normal"/>
    <w:next w:val="Normal"/>
    <w:autoRedefine/>
    <w:uiPriority w:val="39"/>
    <w:semiHidden/>
    <w:unhideWhenUsed/>
    <w:rsid w:val="001E741F"/>
    <w:pPr>
      <w:spacing w:after="100"/>
      <w:ind w:left="1600"/>
    </w:pPr>
  </w:style>
  <w:style w:type="paragraph" w:customStyle="1" w:styleId="RevTableHeading">
    <w:name w:val="RevTable Heading"/>
    <w:basedOn w:val="ADBodyText"/>
    <w:next w:val="RevTableText"/>
    <w:qFormat/>
    <w:rsid w:val="001649D4"/>
    <w:pPr>
      <w:spacing w:before="0" w:after="0" w:line="240" w:lineRule="auto"/>
    </w:pPr>
    <w:rPr>
      <w:b/>
    </w:rPr>
  </w:style>
  <w:style w:type="paragraph" w:customStyle="1" w:styleId="RevTableText">
    <w:name w:val="RevTable Text"/>
    <w:basedOn w:val="ADBodyText"/>
    <w:qFormat/>
    <w:rsid w:val="001649D4"/>
    <w:pPr>
      <w:spacing w:before="0" w:after="0" w:line="240" w:lineRule="auto"/>
    </w:pPr>
    <w:rPr>
      <w:sz w:val="18"/>
    </w:rPr>
  </w:style>
  <w:style w:type="paragraph" w:customStyle="1" w:styleId="RevTableTextSignature">
    <w:name w:val="RevTable Text Signature"/>
    <w:basedOn w:val="RevTableText"/>
    <w:next w:val="RevTableText"/>
    <w:qFormat/>
    <w:rsid w:val="001E741F"/>
    <w:pPr>
      <w:pBdr>
        <w:bottom w:val="single" w:sz="4" w:space="3" w:color="000000" w:themeColor="text1"/>
      </w:pBdr>
    </w:pPr>
  </w:style>
  <w:style w:type="paragraph" w:customStyle="1" w:styleId="ADRevTableTitle">
    <w:name w:val="AD RevTable Title"/>
    <w:basedOn w:val="ADBodyText"/>
    <w:qFormat/>
    <w:rsid w:val="000D733A"/>
    <w:pPr>
      <w:spacing w:before="0" w:after="0" w:line="276" w:lineRule="auto"/>
    </w:pPr>
    <w:rPr>
      <w:b/>
      <w:caps/>
      <w:color w:val="000000" w:themeColor="text1"/>
      <w:sz w:val="19"/>
    </w:rPr>
  </w:style>
  <w:style w:type="table" w:customStyle="1" w:styleId="ADRevTable">
    <w:name w:val="AD Rev Table"/>
    <w:basedOn w:val="TableNormal"/>
    <w:uiPriority w:val="99"/>
    <w:rsid w:val="001E741F"/>
    <w:pPr>
      <w:spacing w:after="0" w:line="240" w:lineRule="auto"/>
    </w:pPr>
    <w:rPr>
      <w:rFonts w:eastAsia="MS Mincho" w:cs="Times New Roman"/>
      <w:sz w:val="18"/>
      <w:szCs w:val="20"/>
      <w:lang w:val="en-GB" w:eastAsia="en-GB"/>
    </w:rPr>
    <w:tblPr>
      <w:tblBorders>
        <w:bottom w:val="single" w:sz="6" w:space="0" w:color="A38F68" w:themeColor="background2"/>
        <w:insideH w:val="single" w:sz="6" w:space="0" w:color="A38F68" w:themeColor="background2"/>
      </w:tblBorders>
      <w:tblCellMar>
        <w:top w:w="142" w:type="dxa"/>
      </w:tblCellMar>
    </w:tblPr>
    <w:tblStylePr w:type="firstRow">
      <w:rPr>
        <w:rFonts w:asciiTheme="majorHAnsi" w:hAnsiTheme="majorHAnsi" w:hint="default"/>
        <w:b w:val="0"/>
        <w:color w:val="A38F68" w:themeColor="background2"/>
        <w:sz w:val="19"/>
        <w:szCs w:val="19"/>
      </w:rPr>
      <w:tblPr/>
      <w:tcPr>
        <w:tcBorders>
          <w:bottom w:val="single" w:sz="8" w:space="0" w:color="A38F68" w:themeColor="background2"/>
        </w:tcBorders>
      </w:tcPr>
    </w:tblStylePr>
  </w:style>
  <w:style w:type="table" w:customStyle="1" w:styleId="PlainTable41">
    <w:name w:val="Plain Table 41"/>
    <w:basedOn w:val="TableNormal"/>
    <w:uiPriority w:val="44"/>
    <w:rsid w:val="009B034A"/>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ADTableTextBlue">
    <w:name w:val="AD Table Text Blue"/>
    <w:basedOn w:val="ADTableText"/>
    <w:qFormat/>
    <w:rsid w:val="00856829"/>
    <w:rPr>
      <w:b/>
      <w:color w:val="005F83"/>
    </w:rPr>
  </w:style>
  <w:style w:type="paragraph" w:styleId="NormalWeb">
    <w:name w:val="Normal (Web)"/>
    <w:basedOn w:val="Normal"/>
    <w:uiPriority w:val="99"/>
    <w:semiHidden/>
    <w:unhideWhenUsed/>
    <w:rsid w:val="00DA0613"/>
    <w:pPr>
      <w:spacing w:before="0" w:after="210" w:line="210" w:lineRule="atLeast"/>
      <w:jc w:val="both"/>
    </w:pPr>
    <w:rPr>
      <w:rFonts w:ascii="Times New Roman" w:eastAsia="Times New Roman" w:hAnsi="Times New Roman" w:cs="Times New Roman"/>
      <w:sz w:val="17"/>
      <w:szCs w:val="17"/>
      <w:lang w:val="en-US" w:eastAsia="en-US"/>
    </w:rPr>
  </w:style>
  <w:style w:type="paragraph" w:customStyle="1" w:styleId="ADGraphicInst">
    <w:name w:val="AD Graphic Inst"/>
    <w:basedOn w:val="ADBodyText"/>
    <w:qFormat/>
    <w:rsid w:val="001E741F"/>
    <w:rPr>
      <w:b/>
      <w:color w:val="005F83"/>
      <w:sz w:val="28"/>
    </w:rPr>
  </w:style>
  <w:style w:type="paragraph" w:customStyle="1" w:styleId="Appendix">
    <w:name w:val="Appendix"/>
    <w:basedOn w:val="Normal"/>
    <w:next w:val="Normal"/>
    <w:uiPriority w:val="6"/>
    <w:qFormat/>
    <w:rsid w:val="00CE57C3"/>
    <w:pPr>
      <w:pageBreakBefore/>
      <w:spacing w:before="360"/>
      <w:contextualSpacing/>
    </w:pPr>
    <w:rPr>
      <w:rFonts w:asciiTheme="majorHAnsi" w:hAnsiTheme="majorHAnsi"/>
      <w:color w:val="A38F68" w:themeColor="background2"/>
      <w:sz w:val="32"/>
    </w:rPr>
  </w:style>
  <w:style w:type="numbering" w:customStyle="1" w:styleId="AppendixList">
    <w:name w:val="Appendix List"/>
    <w:uiPriority w:val="99"/>
    <w:rsid w:val="001E741F"/>
    <w:pPr>
      <w:numPr>
        <w:numId w:val="2"/>
      </w:numPr>
    </w:pPr>
  </w:style>
  <w:style w:type="numbering" w:customStyle="1" w:styleId="TOCAppendix">
    <w:name w:val="TOC Appendix"/>
    <w:uiPriority w:val="99"/>
    <w:rsid w:val="001D33C6"/>
    <w:pPr>
      <w:numPr>
        <w:numId w:val="4"/>
      </w:numPr>
    </w:pPr>
  </w:style>
  <w:style w:type="paragraph" w:customStyle="1" w:styleId="SectionTitle">
    <w:name w:val="Section Title"/>
    <w:basedOn w:val="Header"/>
    <w:semiHidden/>
    <w:qFormat/>
    <w:rsid w:val="00CE57C3"/>
    <w:pPr>
      <w:tabs>
        <w:tab w:val="clear" w:pos="4680"/>
        <w:tab w:val="clear" w:pos="9360"/>
      </w:tabs>
      <w:spacing w:before="80"/>
      <w:ind w:left="227"/>
    </w:pPr>
    <w:rPr>
      <w:rFonts w:asciiTheme="majorHAnsi" w:eastAsiaTheme="minorHAnsi" w:hAnsiTheme="majorHAnsi"/>
      <w:color w:val="FFFFFF"/>
    </w:rPr>
  </w:style>
  <w:style w:type="paragraph" w:customStyle="1" w:styleId="FooterDetails">
    <w:name w:val="Footer Details"/>
    <w:basedOn w:val="Footer"/>
    <w:qFormat/>
    <w:rsid w:val="001D33C6"/>
    <w:pPr>
      <w:tabs>
        <w:tab w:val="clear" w:pos="4680"/>
        <w:tab w:val="clear" w:pos="9360"/>
        <w:tab w:val="center" w:pos="4153"/>
        <w:tab w:val="right" w:pos="8306"/>
      </w:tabs>
    </w:pPr>
    <w:rPr>
      <w:color w:val="000000" w:themeColor="text1"/>
      <w:spacing w:val="-2"/>
    </w:rPr>
  </w:style>
  <w:style w:type="character" w:customStyle="1" w:styleId="FooterGold">
    <w:name w:val="Footer_Gold"/>
    <w:basedOn w:val="DefaultParagraphFont"/>
    <w:uiPriority w:val="1"/>
    <w:qFormat/>
    <w:rsid w:val="001D33C6"/>
    <w:rPr>
      <w:rFonts w:ascii="Segoe UI" w:hAnsi="Segoe UI"/>
      <w:b/>
      <w:color w:val="85714D"/>
      <w:sz w:val="14"/>
    </w:rPr>
  </w:style>
  <w:style w:type="character" w:customStyle="1" w:styleId="FooterBold">
    <w:name w:val="Footer_Bold"/>
    <w:basedOn w:val="DefaultParagraphFont"/>
    <w:uiPriority w:val="1"/>
    <w:qFormat/>
    <w:rsid w:val="000D733A"/>
    <w:rPr>
      <w:rFonts w:ascii="Segoe UI" w:hAnsi="Segoe UI"/>
      <w:b/>
      <w:sz w:val="14"/>
    </w:rPr>
  </w:style>
  <w:style w:type="paragraph" w:customStyle="1" w:styleId="ADTableText0">
    <w:name w:val="AD TableText"/>
    <w:basedOn w:val="ADBodyText"/>
    <w:uiPriority w:val="4"/>
    <w:qFormat/>
    <w:rsid w:val="000D733A"/>
    <w:pPr>
      <w:spacing w:before="120" w:after="120" w:line="240" w:lineRule="atLeast"/>
      <w:ind w:left="142" w:right="142"/>
    </w:pPr>
    <w:rPr>
      <w:rFonts w:eastAsia="Times New Roman"/>
      <w:color w:val="000000" w:themeColor="text1"/>
      <w:spacing w:val="-3"/>
      <w:szCs w:val="19"/>
      <w:lang w:eastAsia="en-AU"/>
    </w:rPr>
  </w:style>
  <w:style w:type="character" w:customStyle="1" w:styleId="Heading7Char">
    <w:name w:val="Heading 7 Char"/>
    <w:basedOn w:val="DefaultParagraphFont"/>
    <w:link w:val="Heading7"/>
    <w:uiPriority w:val="9"/>
    <w:rsid w:val="001D33C6"/>
    <w:rPr>
      <w:rFonts w:ascii="Segoe UI" w:eastAsiaTheme="majorEastAsia" w:hAnsi="Segoe UI" w:cstheme="majorBidi"/>
      <w:b/>
      <w:color w:val="002E41" w:themeColor="accent1" w:themeShade="7F"/>
      <w:sz w:val="20"/>
      <w:szCs w:val="20"/>
      <w:lang w:val="en-AU" w:eastAsia="en-AU"/>
    </w:rPr>
  </w:style>
  <w:style w:type="character" w:customStyle="1" w:styleId="Heading8Char">
    <w:name w:val="Heading 8 Char"/>
    <w:basedOn w:val="DefaultParagraphFont"/>
    <w:link w:val="Heading8"/>
    <w:uiPriority w:val="9"/>
    <w:semiHidden/>
    <w:rsid w:val="001D33C6"/>
    <w:rPr>
      <w:rFonts w:ascii="Segoe UI" w:eastAsiaTheme="majorEastAsia" w:hAnsi="Segoe UI" w:cstheme="majorBidi"/>
      <w:b/>
      <w:color w:val="005F83"/>
      <w:sz w:val="20"/>
      <w:szCs w:val="20"/>
      <w:lang w:val="en-AU" w:eastAsia="en-AU"/>
    </w:rPr>
  </w:style>
  <w:style w:type="table" w:customStyle="1" w:styleId="PlainTable411">
    <w:name w:val="Plain Table 411"/>
    <w:basedOn w:val="TableNormal"/>
    <w:uiPriority w:val="44"/>
    <w:rsid w:val="001D33C6"/>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ADHeadingNoTOC">
    <w:name w:val="ADHeadingNoTOC"/>
    <w:basedOn w:val="Heading1"/>
    <w:qFormat/>
    <w:rsid w:val="008C72C3"/>
    <w:pPr>
      <w:numPr>
        <w:numId w:val="0"/>
      </w:numPr>
      <w:pBdr>
        <w:bottom w:val="none" w:sz="0" w:space="0" w:color="auto"/>
      </w:pBdr>
    </w:pPr>
  </w:style>
  <w:style w:type="paragraph" w:customStyle="1" w:styleId="ADTOC">
    <w:name w:val="ADTOC"/>
    <w:basedOn w:val="ADBodyText"/>
    <w:next w:val="ADBodyText"/>
    <w:qFormat/>
    <w:rsid w:val="008F48F5"/>
    <w:pPr>
      <w:ind w:right="-1138"/>
    </w:pPr>
    <w:rPr>
      <w:b/>
      <w:color w:val="005F83"/>
      <w:sz w:val="36"/>
    </w:rPr>
  </w:style>
  <w:style w:type="paragraph" w:customStyle="1" w:styleId="ListAlpha">
    <w:name w:val="List Alpha"/>
    <w:basedOn w:val="Normal"/>
    <w:uiPriority w:val="2"/>
    <w:qFormat/>
    <w:rsid w:val="000D733A"/>
    <w:pPr>
      <w:numPr>
        <w:numId w:val="14"/>
      </w:numPr>
      <w:spacing w:before="120" w:after="120"/>
      <w:jc w:val="both"/>
    </w:pPr>
    <w:rPr>
      <w:rFonts w:eastAsia="Times New Roman" w:cs="Times New Roman"/>
      <w:szCs w:val="20"/>
      <w:lang w:eastAsia="en-AU"/>
    </w:rPr>
  </w:style>
  <w:style w:type="numbering" w:customStyle="1" w:styleId="AdvisianAlpha">
    <w:name w:val="Advisian Alpha"/>
    <w:uiPriority w:val="99"/>
    <w:rsid w:val="00F668DC"/>
    <w:pPr>
      <w:numPr>
        <w:numId w:val="13"/>
      </w:numPr>
    </w:pPr>
  </w:style>
  <w:style w:type="paragraph" w:customStyle="1" w:styleId="AdvisianTableHeading">
    <w:name w:val="Advisian Table Heading"/>
    <w:basedOn w:val="Normal"/>
    <w:uiPriority w:val="4"/>
    <w:qFormat/>
    <w:rsid w:val="000D733A"/>
    <w:pPr>
      <w:keepNext/>
      <w:spacing w:before="120" w:after="120" w:line="240" w:lineRule="atLeast"/>
    </w:pPr>
    <w:rPr>
      <w:rFonts w:eastAsia="Times New Roman" w:cs="Times New Roman"/>
      <w:b/>
      <w:bCs/>
      <w:color w:val="FFFFFF" w:themeColor="background1"/>
      <w:sz w:val="22"/>
      <w:szCs w:val="22"/>
      <w:lang w:eastAsia="en-AU"/>
    </w:rPr>
  </w:style>
  <w:style w:type="paragraph" w:styleId="BalloonText">
    <w:name w:val="Balloon Text"/>
    <w:basedOn w:val="Normal"/>
    <w:link w:val="BalloonTextChar"/>
    <w:uiPriority w:val="99"/>
    <w:semiHidden/>
    <w:unhideWhenUsed/>
    <w:rsid w:val="00A92114"/>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2114"/>
    <w:rPr>
      <w:rFonts w:ascii="Tahoma" w:eastAsia="MS Mincho" w:hAnsi="Tahoma" w:cs="Tahoma"/>
      <w:sz w:val="16"/>
      <w:szCs w:val="16"/>
      <w:lang w:val="en-AU" w:eastAsia="ja-JP"/>
    </w:rPr>
  </w:style>
  <w:style w:type="numbering" w:customStyle="1" w:styleId="TOCAppendix1">
    <w:name w:val="TOC Appendix1"/>
    <w:uiPriority w:val="99"/>
    <w:rsid w:val="00301CAF"/>
  </w:style>
  <w:style w:type="table" w:customStyle="1" w:styleId="EPTableStyle41">
    <w:name w:val="E&amp;P Table Style 41"/>
    <w:basedOn w:val="TableNormal"/>
    <w:next w:val="TableGrid"/>
    <w:rsid w:val="00FD3C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Bullet">
    <w:name w:val="Reference Bullet"/>
    <w:basedOn w:val="ADBodyText"/>
    <w:qFormat/>
    <w:rsid w:val="005B3ADB"/>
    <w:pPr>
      <w:numPr>
        <w:numId w:val="17"/>
      </w:numPr>
    </w:pPr>
  </w:style>
  <w:style w:type="paragraph" w:customStyle="1" w:styleId="Text">
    <w:name w:val="Text"/>
    <w:basedOn w:val="ADBodyText"/>
    <w:next w:val="ADBodyText"/>
    <w:qFormat/>
    <w:rsid w:val="006566D1"/>
    <w:pPr>
      <w:pageBreakBefore/>
    </w:pPr>
  </w:style>
  <w:style w:type="paragraph" w:customStyle="1" w:styleId="ADApxNoTOC">
    <w:name w:val="AD ApxNoTOC"/>
    <w:basedOn w:val="ADHeadingAppendix"/>
    <w:qFormat/>
    <w:rsid w:val="00C26BEB"/>
    <w:pPr>
      <w:spacing w:line="259" w:lineRule="auto"/>
    </w:pPr>
  </w:style>
  <w:style w:type="paragraph" w:customStyle="1" w:styleId="HeaderBold">
    <w:name w:val="Header Bold"/>
    <w:basedOn w:val="Normal"/>
    <w:qFormat/>
    <w:rsid w:val="00D21D0B"/>
    <w:pPr>
      <w:spacing w:before="0" w:after="0" w:line="240" w:lineRule="auto"/>
    </w:pPr>
    <w:rPr>
      <w:rFonts w:cs="Segoe UI"/>
      <w:b/>
      <w:bCs/>
      <w:sz w:val="16"/>
      <w:szCs w:val="20"/>
    </w:rPr>
  </w:style>
  <w:style w:type="paragraph" w:customStyle="1" w:styleId="HeaderUnbold">
    <w:name w:val="HeaderUnbold"/>
    <w:basedOn w:val="Normal"/>
    <w:qFormat/>
    <w:rsid w:val="00D21D0B"/>
    <w:pPr>
      <w:spacing w:before="0" w:after="0" w:line="240" w:lineRule="auto"/>
    </w:pPr>
    <w:rPr>
      <w:rFonts w:cs="Segoe UI"/>
      <w:sz w:val="16"/>
      <w:szCs w:val="20"/>
    </w:rPr>
  </w:style>
  <w:style w:type="paragraph" w:customStyle="1" w:styleId="AddressLine">
    <w:name w:val="Address Line"/>
    <w:basedOn w:val="Normal"/>
    <w:qFormat/>
    <w:rsid w:val="00D21D0B"/>
    <w:pPr>
      <w:spacing w:before="0" w:after="0" w:line="240" w:lineRule="auto"/>
    </w:pPr>
    <w:rPr>
      <w:rFonts w:ascii="Segoe UI Semibold" w:hAnsi="Segoe UI Semibold"/>
      <w:color w:val="000000" w:themeColor="text1"/>
      <w:sz w:val="16"/>
      <w:szCs w:val="22"/>
    </w:rPr>
  </w:style>
  <w:style w:type="paragraph" w:customStyle="1" w:styleId="Cover">
    <w:name w:val="Cover"/>
    <w:basedOn w:val="Normal"/>
    <w:qFormat/>
    <w:rsid w:val="00B1659C"/>
    <w:pPr>
      <w:spacing w:after="0"/>
    </w:pPr>
  </w:style>
  <w:style w:type="paragraph" w:customStyle="1" w:styleId="HeaderBoldRJ">
    <w:name w:val="Header Bold RJ"/>
    <w:basedOn w:val="HeaderBold"/>
    <w:qFormat/>
    <w:rsid w:val="00B1659C"/>
    <w:pPr>
      <w:jc w:val="right"/>
    </w:pPr>
  </w:style>
  <w:style w:type="paragraph" w:customStyle="1" w:styleId="HeaderUnboldRJ">
    <w:name w:val="Header Unbold RJ"/>
    <w:basedOn w:val="HeaderUnbold"/>
    <w:qFormat/>
    <w:rsid w:val="00B1659C"/>
    <w:pPr>
      <w:jc w:val="right"/>
    </w:pPr>
  </w:style>
  <w:style w:type="paragraph" w:styleId="ListParagraph">
    <w:name w:val="List Paragraph"/>
    <w:basedOn w:val="Normal"/>
    <w:uiPriority w:val="34"/>
    <w:qFormat/>
    <w:rsid w:val="00E44AE2"/>
    <w:pPr>
      <w:spacing w:before="120" w:after="120"/>
      <w:ind w:left="720"/>
      <w:contextualSpacing/>
    </w:pPr>
  </w:style>
  <w:style w:type="paragraph" w:customStyle="1" w:styleId="bodycopy">
    <w:name w:val="# body copy"/>
    <w:basedOn w:val="Normal"/>
    <w:qFormat/>
    <w:rsid w:val="00961ADC"/>
    <w:pPr>
      <w:spacing w:before="0" w:after="120" w:line="240" w:lineRule="auto"/>
    </w:pPr>
    <w:rPr>
      <w:rFonts w:ascii="Tahoma" w:eastAsia="Times New Roman" w:hAnsi="Tahoma" w:cs="Arial"/>
      <w:szCs w:val="20"/>
      <w:lang w:eastAsia="en-AU"/>
    </w:rPr>
  </w:style>
  <w:style w:type="paragraph" w:styleId="Caption">
    <w:name w:val="caption"/>
    <w:aliases w:val="Caption Char1,Caption Char Char,Caption Char1 Char Char Char,Caption Char Char Char Char Char,Caption Char Char1 Char,Caption Char Char2,Caption Char1 Char Char1,Caption Char Char Char Char1,CaptionTable,Centered,Figures,Caption1 Char Char,TABL"/>
    <w:basedOn w:val="Normal"/>
    <w:next w:val="Normal"/>
    <w:link w:val="CaptionChar"/>
    <w:uiPriority w:val="35"/>
    <w:unhideWhenUsed/>
    <w:qFormat/>
    <w:rsid w:val="00DF5D21"/>
    <w:pPr>
      <w:spacing w:before="0" w:after="200" w:line="240" w:lineRule="auto"/>
    </w:pPr>
    <w:rPr>
      <w:b/>
      <w:bCs/>
      <w:color w:val="005F83" w:themeColor="accent1"/>
      <w:sz w:val="18"/>
      <w:szCs w:val="18"/>
    </w:rPr>
  </w:style>
  <w:style w:type="character" w:customStyle="1" w:styleId="CaptionChar">
    <w:name w:val="Caption Char"/>
    <w:aliases w:val="Caption Char1 Char,Caption Char Char Char,Caption Char1 Char Char Char Char,Caption Char Char Char Char Char Char,Caption Char Char1 Char Char,Caption Char Char2 Char,Caption Char1 Char Char1 Char,Caption Char Char Char Char1 Char,TABL Char"/>
    <w:basedOn w:val="DefaultParagraphFont"/>
    <w:link w:val="Caption"/>
    <w:rsid w:val="00DF5D21"/>
    <w:rPr>
      <w:rFonts w:ascii="Segoe UI" w:eastAsia="MS Mincho" w:hAnsi="Segoe UI" w:cstheme="minorHAnsi"/>
      <w:b/>
      <w:bCs/>
      <w:color w:val="005F83" w:themeColor="accent1"/>
      <w:sz w:val="18"/>
      <w:szCs w:val="18"/>
      <w:lang w:val="en-AU" w:eastAsia="ja-JP"/>
    </w:rPr>
  </w:style>
  <w:style w:type="character" w:customStyle="1" w:styleId="ADBodyTextChar">
    <w:name w:val="AD Body Text Char"/>
    <w:basedOn w:val="DefaultParagraphFont"/>
    <w:link w:val="ADBodyText"/>
    <w:rsid w:val="00DF5D21"/>
    <w:rPr>
      <w:rFonts w:ascii="Segoe UI" w:eastAsia="MS Mincho" w:hAnsi="Segoe UI" w:cstheme="minorHAnsi"/>
      <w:sz w:val="20"/>
      <w:szCs w:val="24"/>
      <w:lang w:val="en-AU" w:eastAsia="ja-JP"/>
    </w:rPr>
  </w:style>
  <w:style w:type="character" w:styleId="CommentReference">
    <w:name w:val="annotation reference"/>
    <w:basedOn w:val="DefaultParagraphFont"/>
    <w:uiPriority w:val="99"/>
    <w:semiHidden/>
    <w:unhideWhenUsed/>
    <w:rsid w:val="00B7743C"/>
    <w:rPr>
      <w:sz w:val="16"/>
      <w:szCs w:val="16"/>
    </w:rPr>
  </w:style>
  <w:style w:type="paragraph" w:styleId="CommentText">
    <w:name w:val="annotation text"/>
    <w:basedOn w:val="Normal"/>
    <w:link w:val="CommentTextChar"/>
    <w:uiPriority w:val="99"/>
    <w:semiHidden/>
    <w:unhideWhenUsed/>
    <w:rsid w:val="00B7743C"/>
    <w:pPr>
      <w:spacing w:line="240" w:lineRule="auto"/>
    </w:pPr>
    <w:rPr>
      <w:szCs w:val="20"/>
    </w:rPr>
  </w:style>
  <w:style w:type="character" w:customStyle="1" w:styleId="CommentTextChar">
    <w:name w:val="Comment Text Char"/>
    <w:basedOn w:val="DefaultParagraphFont"/>
    <w:link w:val="CommentText"/>
    <w:uiPriority w:val="99"/>
    <w:semiHidden/>
    <w:rsid w:val="00B7743C"/>
    <w:rPr>
      <w:rFonts w:ascii="Segoe UI" w:eastAsia="MS Mincho" w:hAnsi="Segoe UI" w:cstheme="minorHAnsi"/>
      <w:sz w:val="20"/>
      <w:szCs w:val="20"/>
      <w:lang w:val="en-AU" w:eastAsia="ja-JP"/>
    </w:rPr>
  </w:style>
  <w:style w:type="paragraph" w:styleId="CommentSubject">
    <w:name w:val="annotation subject"/>
    <w:basedOn w:val="CommentText"/>
    <w:next w:val="CommentText"/>
    <w:link w:val="CommentSubjectChar"/>
    <w:uiPriority w:val="99"/>
    <w:semiHidden/>
    <w:unhideWhenUsed/>
    <w:rsid w:val="00B7743C"/>
    <w:rPr>
      <w:b/>
      <w:bCs/>
    </w:rPr>
  </w:style>
  <w:style w:type="character" w:customStyle="1" w:styleId="CommentSubjectChar">
    <w:name w:val="Comment Subject Char"/>
    <w:basedOn w:val="CommentTextChar"/>
    <w:link w:val="CommentSubject"/>
    <w:uiPriority w:val="99"/>
    <w:semiHidden/>
    <w:rsid w:val="00B7743C"/>
    <w:rPr>
      <w:rFonts w:ascii="Segoe UI" w:eastAsia="MS Mincho" w:hAnsi="Segoe UI" w:cstheme="minorHAnsi"/>
      <w:b/>
      <w:bCs/>
      <w:sz w:val="20"/>
      <w:szCs w:val="20"/>
      <w:lang w:val="en-AU" w:eastAsia="ja-JP"/>
    </w:rPr>
  </w:style>
  <w:style w:type="paragraph" w:styleId="FootnoteText">
    <w:name w:val="footnote text"/>
    <w:basedOn w:val="Normal"/>
    <w:link w:val="FootnoteTextChar"/>
    <w:uiPriority w:val="99"/>
    <w:semiHidden/>
    <w:unhideWhenUsed/>
    <w:rsid w:val="00B727BB"/>
    <w:pPr>
      <w:spacing w:before="0" w:after="0" w:line="240" w:lineRule="auto"/>
    </w:pPr>
    <w:rPr>
      <w:szCs w:val="20"/>
    </w:rPr>
  </w:style>
  <w:style w:type="character" w:customStyle="1" w:styleId="FootnoteTextChar">
    <w:name w:val="Footnote Text Char"/>
    <w:basedOn w:val="DefaultParagraphFont"/>
    <w:link w:val="FootnoteText"/>
    <w:uiPriority w:val="99"/>
    <w:semiHidden/>
    <w:rsid w:val="00B727BB"/>
    <w:rPr>
      <w:rFonts w:ascii="Segoe UI" w:eastAsia="MS Mincho" w:hAnsi="Segoe UI" w:cstheme="minorHAnsi"/>
      <w:sz w:val="20"/>
      <w:szCs w:val="20"/>
      <w:lang w:val="en-AU" w:eastAsia="ja-JP"/>
    </w:rPr>
  </w:style>
  <w:style w:type="character" w:styleId="FootnoteReference">
    <w:name w:val="footnote reference"/>
    <w:basedOn w:val="DefaultParagraphFont"/>
    <w:uiPriority w:val="99"/>
    <w:semiHidden/>
    <w:unhideWhenUsed/>
    <w:rsid w:val="00B727BB"/>
    <w:rPr>
      <w:vertAlign w:val="superscript"/>
    </w:rPr>
  </w:style>
  <w:style w:type="character" w:customStyle="1" w:styleId="apple-converted-space">
    <w:name w:val="apple-converted-space"/>
    <w:basedOn w:val="DefaultParagraphFont"/>
    <w:rsid w:val="009B4C52"/>
  </w:style>
  <w:style w:type="table" w:customStyle="1" w:styleId="ADTable11">
    <w:name w:val="AD Table 11"/>
    <w:basedOn w:val="TableNormal"/>
    <w:uiPriority w:val="99"/>
    <w:rsid w:val="00135A02"/>
    <w:pPr>
      <w:spacing w:before="120" w:after="120" w:line="240" w:lineRule="atLeast"/>
    </w:pPr>
    <w:rPr>
      <w:rFonts w:ascii="Segoe UI" w:hAnsi="Segoe UI"/>
      <w:sz w:val="20"/>
      <w:szCs w:val="20"/>
      <w:lang w:val="en-AU"/>
    </w:rPr>
    <w:tblPr>
      <w:tblStyleRowBandSize w:val="1"/>
      <w:tblStyleColBandSize w:val="1"/>
      <w:tblInd w:w="113" w:type="dxa"/>
      <w:tblBorders>
        <w:top w:val="single" w:sz="4" w:space="0" w:color="005F83"/>
        <w:bottom w:val="single" w:sz="4" w:space="0" w:color="005F83"/>
        <w:insideH w:val="single" w:sz="4" w:space="0" w:color="005F83"/>
      </w:tblBorders>
    </w:tblPr>
    <w:tcPr>
      <w:shd w:val="clear" w:color="auto" w:fill="auto"/>
      <w:vAlign w:val="center"/>
    </w:tcPr>
    <w:tblStylePr w:type="firstRow">
      <w:pPr>
        <w:jc w:val="center"/>
      </w:pPr>
      <w:rPr>
        <w:rFonts w:ascii="Minion Pro" w:hAnsi="Minion Pro"/>
        <w:b/>
        <w:i w:val="0"/>
        <w:color w:val="FFFFFF" w:themeColor="background1"/>
        <w:sz w:val="18"/>
      </w:rPr>
      <w:tblPr/>
      <w:trPr>
        <w:tblHeader/>
      </w:trPr>
      <w:tcPr>
        <w:shd w:val="clear" w:color="auto" w:fill="005F83"/>
      </w:tcPr>
    </w:tblStylePr>
    <w:tblStylePr w:type="band1Vert">
      <w:tblPr/>
      <w:tcPr>
        <w:shd w:val="clear" w:color="auto" w:fill="EFEFEF"/>
      </w:tcPr>
    </w:tblStylePr>
    <w:tblStylePr w:type="band2Vert">
      <w:tblPr/>
      <w:tcPr>
        <w:shd w:val="clear" w:color="auto" w:fill="D5D2CA"/>
      </w:tcPr>
    </w:tblStylePr>
    <w:tblStylePr w:type="band1Horz">
      <w:pPr>
        <w:jc w:val="left"/>
      </w:pPr>
      <w:rPr>
        <w:rFonts w:ascii="Georgia" w:hAnsi="Georgia"/>
        <w:b w:val="0"/>
        <w:i w:val="0"/>
        <w:sz w:val="18"/>
      </w:rPr>
    </w:tblStylePr>
  </w:style>
  <w:style w:type="table" w:customStyle="1" w:styleId="ADTable12">
    <w:name w:val="AD Table 12"/>
    <w:basedOn w:val="TableNormal"/>
    <w:uiPriority w:val="99"/>
    <w:rsid w:val="00135A02"/>
    <w:pPr>
      <w:spacing w:before="120" w:after="120" w:line="240" w:lineRule="atLeast"/>
    </w:pPr>
    <w:rPr>
      <w:rFonts w:ascii="Segoe UI" w:hAnsi="Segoe UI"/>
      <w:sz w:val="20"/>
      <w:szCs w:val="20"/>
      <w:lang w:val="en-AU"/>
    </w:rPr>
    <w:tblPr>
      <w:tblStyleRowBandSize w:val="1"/>
      <w:tblStyleColBandSize w:val="1"/>
      <w:tblInd w:w="113" w:type="dxa"/>
      <w:tblBorders>
        <w:top w:val="single" w:sz="4" w:space="0" w:color="005F83"/>
        <w:bottom w:val="single" w:sz="4" w:space="0" w:color="005F83"/>
        <w:insideH w:val="single" w:sz="4" w:space="0" w:color="005F83"/>
      </w:tblBorders>
    </w:tblPr>
    <w:tcPr>
      <w:shd w:val="clear" w:color="auto" w:fill="auto"/>
      <w:vAlign w:val="center"/>
    </w:tcPr>
    <w:tblStylePr w:type="firstRow">
      <w:pPr>
        <w:jc w:val="center"/>
      </w:pPr>
      <w:rPr>
        <w:rFonts w:ascii="Minion Pro" w:hAnsi="Minion Pro"/>
        <w:b/>
        <w:i w:val="0"/>
        <w:color w:val="FFFFFF" w:themeColor="background1"/>
        <w:sz w:val="18"/>
      </w:rPr>
      <w:tblPr/>
      <w:trPr>
        <w:tblHeader/>
      </w:trPr>
      <w:tcPr>
        <w:shd w:val="clear" w:color="auto" w:fill="005F83"/>
      </w:tcPr>
    </w:tblStylePr>
    <w:tblStylePr w:type="band1Vert">
      <w:tblPr/>
      <w:tcPr>
        <w:shd w:val="clear" w:color="auto" w:fill="EFEFEF"/>
      </w:tcPr>
    </w:tblStylePr>
    <w:tblStylePr w:type="band2Vert">
      <w:tblPr/>
      <w:tcPr>
        <w:shd w:val="clear" w:color="auto" w:fill="D5D2CA"/>
      </w:tcPr>
    </w:tblStylePr>
    <w:tblStylePr w:type="band1Horz">
      <w:pPr>
        <w:jc w:val="left"/>
      </w:pPr>
      <w:rPr>
        <w:rFonts w:ascii="Georgia" w:hAnsi="Georgia"/>
        <w:b w:val="0"/>
        <w:i w:val="0"/>
        <w:sz w:val="18"/>
      </w:rPr>
    </w:tblStylePr>
  </w:style>
  <w:style w:type="character" w:customStyle="1" w:styleId="UnresolvedMention1">
    <w:name w:val="Unresolved Mention1"/>
    <w:basedOn w:val="DefaultParagraphFont"/>
    <w:uiPriority w:val="99"/>
    <w:semiHidden/>
    <w:unhideWhenUsed/>
    <w:rsid w:val="006307DD"/>
    <w:rPr>
      <w:color w:val="808080"/>
      <w:shd w:val="clear" w:color="auto" w:fill="E6E6E6"/>
    </w:rPr>
  </w:style>
  <w:style w:type="paragraph" w:styleId="Revision">
    <w:name w:val="Revision"/>
    <w:hidden/>
    <w:uiPriority w:val="99"/>
    <w:semiHidden/>
    <w:rsid w:val="00CD3C69"/>
    <w:pPr>
      <w:spacing w:after="0" w:line="240" w:lineRule="auto"/>
    </w:pPr>
    <w:rPr>
      <w:rFonts w:ascii="Segoe UI" w:eastAsia="MS Mincho" w:hAnsi="Segoe UI" w:cstheme="minorHAnsi"/>
      <w:sz w:val="20"/>
      <w:szCs w:val="24"/>
      <w:lang w:val="en-AU" w:eastAsia="ja-JP"/>
    </w:rPr>
  </w:style>
  <w:style w:type="table" w:customStyle="1" w:styleId="ADTable13">
    <w:name w:val="AD Table 13"/>
    <w:basedOn w:val="TableNormal"/>
    <w:uiPriority w:val="99"/>
    <w:rsid w:val="00F16C8A"/>
    <w:pPr>
      <w:spacing w:before="120" w:after="120" w:line="240" w:lineRule="atLeast"/>
    </w:pPr>
    <w:rPr>
      <w:rFonts w:ascii="Segoe UI" w:hAnsi="Segoe UI"/>
      <w:sz w:val="20"/>
      <w:szCs w:val="20"/>
    </w:rPr>
    <w:tblPr>
      <w:tblStyleRowBandSize w:val="1"/>
      <w:tblStyleColBandSize w:val="1"/>
      <w:tblInd w:w="0" w:type="nil"/>
      <w:tblBorders>
        <w:top w:val="single" w:sz="4" w:space="0" w:color="005F83"/>
        <w:bottom w:val="single" w:sz="4" w:space="0" w:color="005F83"/>
        <w:insideH w:val="single" w:sz="4" w:space="0" w:color="005F83"/>
      </w:tblBorders>
    </w:tblPr>
    <w:tcPr>
      <w:vAlign w:val="center"/>
    </w:tcPr>
    <w:tblStylePr w:type="firstRow">
      <w:pPr>
        <w:jc w:val="center"/>
      </w:pPr>
      <w:rPr>
        <w:rFonts w:ascii="Franklin Gothic Book" w:hAnsi="Franklin Gothic Book" w:hint="default"/>
        <w:b/>
        <w:i w:val="0"/>
        <w:color w:val="FFFFFF" w:themeColor="background1"/>
        <w:sz w:val="18"/>
        <w:szCs w:val="18"/>
      </w:rPr>
      <w:tblPr/>
      <w:tcPr>
        <w:shd w:val="clear" w:color="auto" w:fill="005F83"/>
      </w:tcPr>
    </w:tblStylePr>
    <w:tblStylePr w:type="band1Vert">
      <w:tblPr/>
      <w:tcPr>
        <w:shd w:val="clear" w:color="auto" w:fill="EFEFEF"/>
      </w:tcPr>
    </w:tblStylePr>
    <w:tblStylePr w:type="band2Vert">
      <w:tblPr/>
      <w:tcPr>
        <w:shd w:val="clear" w:color="auto" w:fill="D5D2CA"/>
      </w:tcPr>
    </w:tblStylePr>
    <w:tblStylePr w:type="band1Horz">
      <w:pPr>
        <w:jc w:val="left"/>
      </w:pPr>
      <w:rPr>
        <w:rFonts w:ascii="Franklin Gothic Medium Cond" w:hAnsi="Franklin Gothic Medium Cond" w:hint="default"/>
        <w:b w:val="0"/>
        <w:i w:val="0"/>
        <w:sz w:val="18"/>
        <w:szCs w:val="18"/>
      </w:rPr>
    </w:tblStylePr>
  </w:style>
  <w:style w:type="paragraph" w:customStyle="1" w:styleId="bodyCopy0">
    <w:name w:val="#  body Copy"/>
    <w:basedOn w:val="Normal"/>
    <w:autoRedefine/>
    <w:rsid w:val="003C68C4"/>
    <w:pPr>
      <w:keepNext/>
      <w:keepLines/>
      <w:spacing w:before="120" w:after="200" w:line="240" w:lineRule="auto"/>
      <w:jc w:val="both"/>
    </w:pPr>
    <w:rPr>
      <w:rFonts w:ascii="Arial" w:eastAsia="Times New Roman" w:hAnsi="Arial" w:cs="Times New Roman"/>
      <w:sz w:val="22"/>
      <w:szCs w:val="20"/>
      <w:lang w:eastAsia="en-US"/>
    </w:rPr>
  </w:style>
  <w:style w:type="paragraph" w:customStyle="1" w:styleId="bulletL1">
    <w:name w:val="# bullet L1"/>
    <w:basedOn w:val="Normal"/>
    <w:autoRedefine/>
    <w:rsid w:val="003C68C4"/>
    <w:pPr>
      <w:spacing w:before="0" w:after="60" w:line="240" w:lineRule="auto"/>
      <w:ind w:left="360"/>
    </w:pPr>
    <w:rPr>
      <w:rFonts w:ascii="Arial" w:eastAsia="Times New Roman" w:hAnsi="Arial" w:cs="Times New Roman"/>
      <w:sz w:val="22"/>
      <w:szCs w:val="20"/>
      <w:lang w:eastAsia="en-US"/>
    </w:rPr>
  </w:style>
  <w:style w:type="paragraph" w:customStyle="1" w:styleId="authorisedby">
    <w:name w:val="# authorised by"/>
    <w:basedOn w:val="Normal"/>
    <w:qFormat/>
    <w:rsid w:val="00BE0E18"/>
    <w:pPr>
      <w:spacing w:before="120" w:after="120" w:line="240" w:lineRule="auto"/>
    </w:pPr>
    <w:rPr>
      <w:rFonts w:ascii="Arial" w:eastAsiaTheme="minorHAnsi" w:hAnsi="Arial" w:cs="Times New Roman"/>
      <w:color w:val="53565A"/>
      <w:sz w:val="18"/>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149650">
      <w:bodyDiv w:val="1"/>
      <w:marLeft w:val="0"/>
      <w:marRight w:val="0"/>
      <w:marTop w:val="0"/>
      <w:marBottom w:val="0"/>
      <w:divBdr>
        <w:top w:val="none" w:sz="0" w:space="0" w:color="auto"/>
        <w:left w:val="none" w:sz="0" w:space="0" w:color="auto"/>
        <w:bottom w:val="none" w:sz="0" w:space="0" w:color="auto"/>
        <w:right w:val="none" w:sz="0" w:space="0" w:color="auto"/>
      </w:divBdr>
    </w:div>
    <w:div w:id="57094483">
      <w:bodyDiv w:val="1"/>
      <w:marLeft w:val="0"/>
      <w:marRight w:val="0"/>
      <w:marTop w:val="0"/>
      <w:marBottom w:val="0"/>
      <w:divBdr>
        <w:top w:val="none" w:sz="0" w:space="0" w:color="auto"/>
        <w:left w:val="none" w:sz="0" w:space="0" w:color="auto"/>
        <w:bottom w:val="none" w:sz="0" w:space="0" w:color="auto"/>
        <w:right w:val="none" w:sz="0" w:space="0" w:color="auto"/>
      </w:divBdr>
      <w:divsChild>
        <w:div w:id="487281940">
          <w:marLeft w:val="0"/>
          <w:marRight w:val="0"/>
          <w:marTop w:val="0"/>
          <w:marBottom w:val="0"/>
          <w:divBdr>
            <w:top w:val="none" w:sz="0" w:space="0" w:color="auto"/>
            <w:left w:val="none" w:sz="0" w:space="0" w:color="auto"/>
            <w:bottom w:val="none" w:sz="0" w:space="0" w:color="auto"/>
            <w:right w:val="none" w:sz="0" w:space="0" w:color="auto"/>
          </w:divBdr>
          <w:divsChild>
            <w:div w:id="1359695107">
              <w:marLeft w:val="0"/>
              <w:marRight w:val="0"/>
              <w:marTop w:val="0"/>
              <w:marBottom w:val="0"/>
              <w:divBdr>
                <w:top w:val="none" w:sz="0" w:space="0" w:color="auto"/>
                <w:left w:val="none" w:sz="0" w:space="0" w:color="auto"/>
                <w:bottom w:val="none" w:sz="0" w:space="0" w:color="auto"/>
                <w:right w:val="none" w:sz="0" w:space="0" w:color="auto"/>
              </w:divBdr>
              <w:divsChild>
                <w:div w:id="480394126">
                  <w:marLeft w:val="0"/>
                  <w:marRight w:val="0"/>
                  <w:marTop w:val="0"/>
                  <w:marBottom w:val="0"/>
                  <w:divBdr>
                    <w:top w:val="none" w:sz="0" w:space="0" w:color="auto"/>
                    <w:left w:val="none" w:sz="0" w:space="0" w:color="auto"/>
                    <w:bottom w:val="none" w:sz="0" w:space="0" w:color="auto"/>
                    <w:right w:val="none" w:sz="0" w:space="0" w:color="auto"/>
                  </w:divBdr>
                </w:div>
                <w:div w:id="80315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494195">
      <w:bodyDiv w:val="1"/>
      <w:marLeft w:val="0"/>
      <w:marRight w:val="0"/>
      <w:marTop w:val="0"/>
      <w:marBottom w:val="0"/>
      <w:divBdr>
        <w:top w:val="none" w:sz="0" w:space="0" w:color="auto"/>
        <w:left w:val="none" w:sz="0" w:space="0" w:color="auto"/>
        <w:bottom w:val="none" w:sz="0" w:space="0" w:color="auto"/>
        <w:right w:val="none" w:sz="0" w:space="0" w:color="auto"/>
      </w:divBdr>
    </w:div>
    <w:div w:id="160855268">
      <w:bodyDiv w:val="1"/>
      <w:marLeft w:val="0"/>
      <w:marRight w:val="0"/>
      <w:marTop w:val="0"/>
      <w:marBottom w:val="0"/>
      <w:divBdr>
        <w:top w:val="none" w:sz="0" w:space="0" w:color="auto"/>
        <w:left w:val="none" w:sz="0" w:space="0" w:color="auto"/>
        <w:bottom w:val="none" w:sz="0" w:space="0" w:color="auto"/>
        <w:right w:val="none" w:sz="0" w:space="0" w:color="auto"/>
      </w:divBdr>
    </w:div>
    <w:div w:id="161092086">
      <w:bodyDiv w:val="1"/>
      <w:marLeft w:val="0"/>
      <w:marRight w:val="0"/>
      <w:marTop w:val="0"/>
      <w:marBottom w:val="0"/>
      <w:divBdr>
        <w:top w:val="none" w:sz="0" w:space="0" w:color="auto"/>
        <w:left w:val="none" w:sz="0" w:space="0" w:color="auto"/>
        <w:bottom w:val="none" w:sz="0" w:space="0" w:color="auto"/>
        <w:right w:val="none" w:sz="0" w:space="0" w:color="auto"/>
      </w:divBdr>
      <w:divsChild>
        <w:div w:id="1028994405">
          <w:marLeft w:val="0"/>
          <w:marRight w:val="0"/>
          <w:marTop w:val="0"/>
          <w:marBottom w:val="0"/>
          <w:divBdr>
            <w:top w:val="none" w:sz="0" w:space="0" w:color="auto"/>
            <w:left w:val="none" w:sz="0" w:space="0" w:color="auto"/>
            <w:bottom w:val="none" w:sz="0" w:space="0" w:color="auto"/>
            <w:right w:val="none" w:sz="0" w:space="0" w:color="auto"/>
          </w:divBdr>
          <w:divsChild>
            <w:div w:id="1447433522">
              <w:marLeft w:val="0"/>
              <w:marRight w:val="0"/>
              <w:marTop w:val="0"/>
              <w:marBottom w:val="0"/>
              <w:divBdr>
                <w:top w:val="none" w:sz="0" w:space="0" w:color="auto"/>
                <w:left w:val="none" w:sz="0" w:space="0" w:color="auto"/>
                <w:bottom w:val="none" w:sz="0" w:space="0" w:color="auto"/>
                <w:right w:val="none" w:sz="0" w:space="0" w:color="auto"/>
              </w:divBdr>
              <w:divsChild>
                <w:div w:id="1295719462">
                  <w:marLeft w:val="0"/>
                  <w:marRight w:val="0"/>
                  <w:marTop w:val="0"/>
                  <w:marBottom w:val="0"/>
                  <w:divBdr>
                    <w:top w:val="none" w:sz="0" w:space="0" w:color="auto"/>
                    <w:left w:val="none" w:sz="0" w:space="0" w:color="auto"/>
                    <w:bottom w:val="none" w:sz="0" w:space="0" w:color="auto"/>
                    <w:right w:val="none" w:sz="0" w:space="0" w:color="auto"/>
                  </w:divBdr>
                </w:div>
                <w:div w:id="1526014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455187">
      <w:bodyDiv w:val="1"/>
      <w:marLeft w:val="0"/>
      <w:marRight w:val="0"/>
      <w:marTop w:val="0"/>
      <w:marBottom w:val="0"/>
      <w:divBdr>
        <w:top w:val="none" w:sz="0" w:space="0" w:color="auto"/>
        <w:left w:val="none" w:sz="0" w:space="0" w:color="auto"/>
        <w:bottom w:val="none" w:sz="0" w:space="0" w:color="auto"/>
        <w:right w:val="none" w:sz="0" w:space="0" w:color="auto"/>
      </w:divBdr>
    </w:div>
    <w:div w:id="336276376">
      <w:bodyDiv w:val="1"/>
      <w:marLeft w:val="0"/>
      <w:marRight w:val="0"/>
      <w:marTop w:val="0"/>
      <w:marBottom w:val="0"/>
      <w:divBdr>
        <w:top w:val="none" w:sz="0" w:space="0" w:color="auto"/>
        <w:left w:val="none" w:sz="0" w:space="0" w:color="auto"/>
        <w:bottom w:val="none" w:sz="0" w:space="0" w:color="auto"/>
        <w:right w:val="none" w:sz="0" w:space="0" w:color="auto"/>
      </w:divBdr>
    </w:div>
    <w:div w:id="341394572">
      <w:bodyDiv w:val="1"/>
      <w:marLeft w:val="0"/>
      <w:marRight w:val="0"/>
      <w:marTop w:val="0"/>
      <w:marBottom w:val="0"/>
      <w:divBdr>
        <w:top w:val="none" w:sz="0" w:space="0" w:color="auto"/>
        <w:left w:val="none" w:sz="0" w:space="0" w:color="auto"/>
        <w:bottom w:val="none" w:sz="0" w:space="0" w:color="auto"/>
        <w:right w:val="none" w:sz="0" w:space="0" w:color="auto"/>
      </w:divBdr>
    </w:div>
    <w:div w:id="455179605">
      <w:bodyDiv w:val="1"/>
      <w:marLeft w:val="0"/>
      <w:marRight w:val="0"/>
      <w:marTop w:val="0"/>
      <w:marBottom w:val="0"/>
      <w:divBdr>
        <w:top w:val="none" w:sz="0" w:space="0" w:color="auto"/>
        <w:left w:val="none" w:sz="0" w:space="0" w:color="auto"/>
        <w:bottom w:val="none" w:sz="0" w:space="0" w:color="auto"/>
        <w:right w:val="none" w:sz="0" w:space="0" w:color="auto"/>
      </w:divBdr>
    </w:div>
    <w:div w:id="459617877">
      <w:bodyDiv w:val="1"/>
      <w:marLeft w:val="0"/>
      <w:marRight w:val="0"/>
      <w:marTop w:val="0"/>
      <w:marBottom w:val="0"/>
      <w:divBdr>
        <w:top w:val="none" w:sz="0" w:space="0" w:color="auto"/>
        <w:left w:val="none" w:sz="0" w:space="0" w:color="auto"/>
        <w:bottom w:val="none" w:sz="0" w:space="0" w:color="auto"/>
        <w:right w:val="none" w:sz="0" w:space="0" w:color="auto"/>
      </w:divBdr>
      <w:divsChild>
        <w:div w:id="342825363">
          <w:marLeft w:val="0"/>
          <w:marRight w:val="0"/>
          <w:marTop w:val="0"/>
          <w:marBottom w:val="0"/>
          <w:divBdr>
            <w:top w:val="none" w:sz="0" w:space="0" w:color="auto"/>
            <w:left w:val="none" w:sz="0" w:space="0" w:color="auto"/>
            <w:bottom w:val="none" w:sz="0" w:space="0" w:color="auto"/>
            <w:right w:val="none" w:sz="0" w:space="0" w:color="auto"/>
          </w:divBdr>
          <w:divsChild>
            <w:div w:id="993530475">
              <w:marLeft w:val="0"/>
              <w:marRight w:val="0"/>
              <w:marTop w:val="0"/>
              <w:marBottom w:val="0"/>
              <w:divBdr>
                <w:top w:val="none" w:sz="0" w:space="0" w:color="auto"/>
                <w:left w:val="none" w:sz="0" w:space="0" w:color="auto"/>
                <w:bottom w:val="none" w:sz="0" w:space="0" w:color="auto"/>
                <w:right w:val="none" w:sz="0" w:space="0" w:color="auto"/>
              </w:divBdr>
              <w:divsChild>
                <w:div w:id="523591462">
                  <w:marLeft w:val="0"/>
                  <w:marRight w:val="0"/>
                  <w:marTop w:val="0"/>
                  <w:marBottom w:val="0"/>
                  <w:divBdr>
                    <w:top w:val="none" w:sz="0" w:space="0" w:color="auto"/>
                    <w:left w:val="none" w:sz="0" w:space="0" w:color="auto"/>
                    <w:bottom w:val="none" w:sz="0" w:space="0" w:color="auto"/>
                    <w:right w:val="none" w:sz="0" w:space="0" w:color="auto"/>
                  </w:divBdr>
                </w:div>
                <w:div w:id="163121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6336562">
      <w:bodyDiv w:val="1"/>
      <w:marLeft w:val="0"/>
      <w:marRight w:val="0"/>
      <w:marTop w:val="0"/>
      <w:marBottom w:val="0"/>
      <w:divBdr>
        <w:top w:val="none" w:sz="0" w:space="0" w:color="auto"/>
        <w:left w:val="none" w:sz="0" w:space="0" w:color="auto"/>
        <w:bottom w:val="none" w:sz="0" w:space="0" w:color="auto"/>
        <w:right w:val="none" w:sz="0" w:space="0" w:color="auto"/>
      </w:divBdr>
    </w:div>
    <w:div w:id="502362174">
      <w:bodyDiv w:val="1"/>
      <w:marLeft w:val="0"/>
      <w:marRight w:val="0"/>
      <w:marTop w:val="0"/>
      <w:marBottom w:val="0"/>
      <w:divBdr>
        <w:top w:val="none" w:sz="0" w:space="0" w:color="auto"/>
        <w:left w:val="none" w:sz="0" w:space="0" w:color="auto"/>
        <w:bottom w:val="none" w:sz="0" w:space="0" w:color="auto"/>
        <w:right w:val="none" w:sz="0" w:space="0" w:color="auto"/>
      </w:divBdr>
    </w:div>
    <w:div w:id="617222372">
      <w:bodyDiv w:val="1"/>
      <w:marLeft w:val="0"/>
      <w:marRight w:val="0"/>
      <w:marTop w:val="0"/>
      <w:marBottom w:val="0"/>
      <w:divBdr>
        <w:top w:val="none" w:sz="0" w:space="0" w:color="auto"/>
        <w:left w:val="none" w:sz="0" w:space="0" w:color="auto"/>
        <w:bottom w:val="none" w:sz="0" w:space="0" w:color="auto"/>
        <w:right w:val="none" w:sz="0" w:space="0" w:color="auto"/>
      </w:divBdr>
      <w:divsChild>
        <w:div w:id="659120493">
          <w:marLeft w:val="0"/>
          <w:marRight w:val="0"/>
          <w:marTop w:val="0"/>
          <w:marBottom w:val="0"/>
          <w:divBdr>
            <w:top w:val="none" w:sz="0" w:space="0" w:color="auto"/>
            <w:left w:val="none" w:sz="0" w:space="0" w:color="auto"/>
            <w:bottom w:val="none" w:sz="0" w:space="0" w:color="auto"/>
            <w:right w:val="none" w:sz="0" w:space="0" w:color="auto"/>
          </w:divBdr>
          <w:divsChild>
            <w:div w:id="1865630385">
              <w:marLeft w:val="0"/>
              <w:marRight w:val="0"/>
              <w:marTop w:val="0"/>
              <w:marBottom w:val="0"/>
              <w:divBdr>
                <w:top w:val="none" w:sz="0" w:space="0" w:color="auto"/>
                <w:left w:val="none" w:sz="0" w:space="0" w:color="auto"/>
                <w:bottom w:val="none" w:sz="0" w:space="0" w:color="auto"/>
                <w:right w:val="none" w:sz="0" w:space="0" w:color="auto"/>
              </w:divBdr>
              <w:divsChild>
                <w:div w:id="671762299">
                  <w:marLeft w:val="0"/>
                  <w:marRight w:val="0"/>
                  <w:marTop w:val="0"/>
                  <w:marBottom w:val="0"/>
                  <w:divBdr>
                    <w:top w:val="none" w:sz="0" w:space="0" w:color="auto"/>
                    <w:left w:val="none" w:sz="0" w:space="0" w:color="auto"/>
                    <w:bottom w:val="none" w:sz="0" w:space="0" w:color="auto"/>
                    <w:right w:val="none" w:sz="0" w:space="0" w:color="auto"/>
                  </w:divBdr>
                </w:div>
                <w:div w:id="1449857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298123">
      <w:bodyDiv w:val="1"/>
      <w:marLeft w:val="0"/>
      <w:marRight w:val="0"/>
      <w:marTop w:val="0"/>
      <w:marBottom w:val="0"/>
      <w:divBdr>
        <w:top w:val="none" w:sz="0" w:space="0" w:color="auto"/>
        <w:left w:val="none" w:sz="0" w:space="0" w:color="auto"/>
        <w:bottom w:val="none" w:sz="0" w:space="0" w:color="auto"/>
        <w:right w:val="none" w:sz="0" w:space="0" w:color="auto"/>
      </w:divBdr>
    </w:div>
    <w:div w:id="699012115">
      <w:bodyDiv w:val="1"/>
      <w:marLeft w:val="0"/>
      <w:marRight w:val="0"/>
      <w:marTop w:val="0"/>
      <w:marBottom w:val="0"/>
      <w:divBdr>
        <w:top w:val="none" w:sz="0" w:space="0" w:color="auto"/>
        <w:left w:val="none" w:sz="0" w:space="0" w:color="auto"/>
        <w:bottom w:val="none" w:sz="0" w:space="0" w:color="auto"/>
        <w:right w:val="none" w:sz="0" w:space="0" w:color="auto"/>
      </w:divBdr>
    </w:div>
    <w:div w:id="814446360">
      <w:bodyDiv w:val="1"/>
      <w:marLeft w:val="0"/>
      <w:marRight w:val="0"/>
      <w:marTop w:val="0"/>
      <w:marBottom w:val="0"/>
      <w:divBdr>
        <w:top w:val="none" w:sz="0" w:space="0" w:color="auto"/>
        <w:left w:val="none" w:sz="0" w:space="0" w:color="auto"/>
        <w:bottom w:val="none" w:sz="0" w:space="0" w:color="auto"/>
        <w:right w:val="none" w:sz="0" w:space="0" w:color="auto"/>
      </w:divBdr>
    </w:div>
    <w:div w:id="858466906">
      <w:bodyDiv w:val="1"/>
      <w:marLeft w:val="0"/>
      <w:marRight w:val="0"/>
      <w:marTop w:val="0"/>
      <w:marBottom w:val="0"/>
      <w:divBdr>
        <w:top w:val="none" w:sz="0" w:space="0" w:color="auto"/>
        <w:left w:val="none" w:sz="0" w:space="0" w:color="auto"/>
        <w:bottom w:val="none" w:sz="0" w:space="0" w:color="auto"/>
        <w:right w:val="none" w:sz="0" w:space="0" w:color="auto"/>
      </w:divBdr>
    </w:div>
    <w:div w:id="901252259">
      <w:bodyDiv w:val="1"/>
      <w:marLeft w:val="0"/>
      <w:marRight w:val="0"/>
      <w:marTop w:val="0"/>
      <w:marBottom w:val="0"/>
      <w:divBdr>
        <w:top w:val="none" w:sz="0" w:space="0" w:color="auto"/>
        <w:left w:val="none" w:sz="0" w:space="0" w:color="auto"/>
        <w:bottom w:val="none" w:sz="0" w:space="0" w:color="auto"/>
        <w:right w:val="none" w:sz="0" w:space="0" w:color="auto"/>
      </w:divBdr>
    </w:div>
    <w:div w:id="909659339">
      <w:bodyDiv w:val="1"/>
      <w:marLeft w:val="0"/>
      <w:marRight w:val="0"/>
      <w:marTop w:val="0"/>
      <w:marBottom w:val="0"/>
      <w:divBdr>
        <w:top w:val="none" w:sz="0" w:space="0" w:color="auto"/>
        <w:left w:val="none" w:sz="0" w:space="0" w:color="auto"/>
        <w:bottom w:val="none" w:sz="0" w:space="0" w:color="auto"/>
        <w:right w:val="none" w:sz="0" w:space="0" w:color="auto"/>
      </w:divBdr>
    </w:div>
    <w:div w:id="966814807">
      <w:bodyDiv w:val="1"/>
      <w:marLeft w:val="0"/>
      <w:marRight w:val="0"/>
      <w:marTop w:val="0"/>
      <w:marBottom w:val="0"/>
      <w:divBdr>
        <w:top w:val="none" w:sz="0" w:space="0" w:color="auto"/>
        <w:left w:val="none" w:sz="0" w:space="0" w:color="auto"/>
        <w:bottom w:val="none" w:sz="0" w:space="0" w:color="auto"/>
        <w:right w:val="none" w:sz="0" w:space="0" w:color="auto"/>
      </w:divBdr>
    </w:div>
    <w:div w:id="989796903">
      <w:bodyDiv w:val="1"/>
      <w:marLeft w:val="0"/>
      <w:marRight w:val="0"/>
      <w:marTop w:val="0"/>
      <w:marBottom w:val="0"/>
      <w:divBdr>
        <w:top w:val="none" w:sz="0" w:space="0" w:color="auto"/>
        <w:left w:val="none" w:sz="0" w:space="0" w:color="auto"/>
        <w:bottom w:val="none" w:sz="0" w:space="0" w:color="auto"/>
        <w:right w:val="none" w:sz="0" w:space="0" w:color="auto"/>
      </w:divBdr>
    </w:div>
    <w:div w:id="1186601714">
      <w:bodyDiv w:val="1"/>
      <w:marLeft w:val="0"/>
      <w:marRight w:val="0"/>
      <w:marTop w:val="0"/>
      <w:marBottom w:val="0"/>
      <w:divBdr>
        <w:top w:val="none" w:sz="0" w:space="0" w:color="auto"/>
        <w:left w:val="none" w:sz="0" w:space="0" w:color="auto"/>
        <w:bottom w:val="none" w:sz="0" w:space="0" w:color="auto"/>
        <w:right w:val="none" w:sz="0" w:space="0" w:color="auto"/>
      </w:divBdr>
    </w:div>
    <w:div w:id="1299722418">
      <w:bodyDiv w:val="1"/>
      <w:marLeft w:val="0"/>
      <w:marRight w:val="0"/>
      <w:marTop w:val="0"/>
      <w:marBottom w:val="0"/>
      <w:divBdr>
        <w:top w:val="none" w:sz="0" w:space="0" w:color="auto"/>
        <w:left w:val="none" w:sz="0" w:space="0" w:color="auto"/>
        <w:bottom w:val="none" w:sz="0" w:space="0" w:color="auto"/>
        <w:right w:val="none" w:sz="0" w:space="0" w:color="auto"/>
      </w:divBdr>
    </w:div>
    <w:div w:id="1363700878">
      <w:bodyDiv w:val="1"/>
      <w:marLeft w:val="0"/>
      <w:marRight w:val="0"/>
      <w:marTop w:val="0"/>
      <w:marBottom w:val="0"/>
      <w:divBdr>
        <w:top w:val="none" w:sz="0" w:space="0" w:color="auto"/>
        <w:left w:val="none" w:sz="0" w:space="0" w:color="auto"/>
        <w:bottom w:val="none" w:sz="0" w:space="0" w:color="auto"/>
        <w:right w:val="none" w:sz="0" w:space="0" w:color="auto"/>
      </w:divBdr>
    </w:div>
    <w:div w:id="1369455839">
      <w:bodyDiv w:val="1"/>
      <w:marLeft w:val="0"/>
      <w:marRight w:val="0"/>
      <w:marTop w:val="0"/>
      <w:marBottom w:val="0"/>
      <w:divBdr>
        <w:top w:val="none" w:sz="0" w:space="0" w:color="auto"/>
        <w:left w:val="none" w:sz="0" w:space="0" w:color="auto"/>
        <w:bottom w:val="none" w:sz="0" w:space="0" w:color="auto"/>
        <w:right w:val="none" w:sz="0" w:space="0" w:color="auto"/>
      </w:divBdr>
    </w:div>
    <w:div w:id="1491602281">
      <w:bodyDiv w:val="1"/>
      <w:marLeft w:val="0"/>
      <w:marRight w:val="0"/>
      <w:marTop w:val="0"/>
      <w:marBottom w:val="0"/>
      <w:divBdr>
        <w:top w:val="none" w:sz="0" w:space="0" w:color="auto"/>
        <w:left w:val="none" w:sz="0" w:space="0" w:color="auto"/>
        <w:bottom w:val="none" w:sz="0" w:space="0" w:color="auto"/>
        <w:right w:val="none" w:sz="0" w:space="0" w:color="auto"/>
      </w:divBdr>
    </w:div>
    <w:div w:id="1724326853">
      <w:bodyDiv w:val="1"/>
      <w:marLeft w:val="0"/>
      <w:marRight w:val="0"/>
      <w:marTop w:val="0"/>
      <w:marBottom w:val="0"/>
      <w:divBdr>
        <w:top w:val="none" w:sz="0" w:space="0" w:color="auto"/>
        <w:left w:val="none" w:sz="0" w:space="0" w:color="auto"/>
        <w:bottom w:val="none" w:sz="0" w:space="0" w:color="auto"/>
        <w:right w:val="none" w:sz="0" w:space="0" w:color="auto"/>
      </w:divBdr>
    </w:div>
    <w:div w:id="1734232867">
      <w:bodyDiv w:val="1"/>
      <w:marLeft w:val="0"/>
      <w:marRight w:val="0"/>
      <w:marTop w:val="0"/>
      <w:marBottom w:val="0"/>
      <w:divBdr>
        <w:top w:val="none" w:sz="0" w:space="0" w:color="auto"/>
        <w:left w:val="none" w:sz="0" w:space="0" w:color="auto"/>
        <w:bottom w:val="none" w:sz="0" w:space="0" w:color="auto"/>
        <w:right w:val="none" w:sz="0" w:space="0" w:color="auto"/>
      </w:divBdr>
    </w:div>
    <w:div w:id="1738016247">
      <w:bodyDiv w:val="1"/>
      <w:marLeft w:val="0"/>
      <w:marRight w:val="0"/>
      <w:marTop w:val="0"/>
      <w:marBottom w:val="0"/>
      <w:divBdr>
        <w:top w:val="none" w:sz="0" w:space="0" w:color="auto"/>
        <w:left w:val="none" w:sz="0" w:space="0" w:color="auto"/>
        <w:bottom w:val="none" w:sz="0" w:space="0" w:color="auto"/>
        <w:right w:val="none" w:sz="0" w:space="0" w:color="auto"/>
      </w:divBdr>
    </w:div>
    <w:div w:id="1959751839">
      <w:bodyDiv w:val="1"/>
      <w:marLeft w:val="0"/>
      <w:marRight w:val="0"/>
      <w:marTop w:val="0"/>
      <w:marBottom w:val="0"/>
      <w:divBdr>
        <w:top w:val="none" w:sz="0" w:space="0" w:color="auto"/>
        <w:left w:val="none" w:sz="0" w:space="0" w:color="auto"/>
        <w:bottom w:val="none" w:sz="0" w:space="0" w:color="auto"/>
        <w:right w:val="none" w:sz="0" w:space="0" w:color="auto"/>
      </w:divBdr>
    </w:div>
    <w:div w:id="1960061198">
      <w:bodyDiv w:val="1"/>
      <w:marLeft w:val="0"/>
      <w:marRight w:val="0"/>
      <w:marTop w:val="0"/>
      <w:marBottom w:val="0"/>
      <w:divBdr>
        <w:top w:val="none" w:sz="0" w:space="0" w:color="auto"/>
        <w:left w:val="none" w:sz="0" w:space="0" w:color="auto"/>
        <w:bottom w:val="none" w:sz="0" w:space="0" w:color="auto"/>
        <w:right w:val="none" w:sz="0" w:space="0" w:color="auto"/>
      </w:divBdr>
    </w:div>
    <w:div w:id="1983658217">
      <w:bodyDiv w:val="1"/>
      <w:marLeft w:val="0"/>
      <w:marRight w:val="0"/>
      <w:marTop w:val="0"/>
      <w:marBottom w:val="0"/>
      <w:divBdr>
        <w:top w:val="none" w:sz="0" w:space="0" w:color="auto"/>
        <w:left w:val="none" w:sz="0" w:space="0" w:color="auto"/>
        <w:bottom w:val="none" w:sz="0" w:space="0" w:color="auto"/>
        <w:right w:val="none" w:sz="0" w:space="0" w:color="auto"/>
      </w:divBdr>
      <w:divsChild>
        <w:div w:id="592859612">
          <w:marLeft w:val="0"/>
          <w:marRight w:val="0"/>
          <w:marTop w:val="0"/>
          <w:marBottom w:val="0"/>
          <w:divBdr>
            <w:top w:val="none" w:sz="0" w:space="0" w:color="auto"/>
            <w:left w:val="none" w:sz="0" w:space="0" w:color="auto"/>
            <w:bottom w:val="none" w:sz="0" w:space="0" w:color="auto"/>
            <w:right w:val="none" w:sz="0" w:space="0" w:color="auto"/>
          </w:divBdr>
          <w:divsChild>
            <w:div w:id="11017470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2002661441">
      <w:bodyDiv w:val="1"/>
      <w:marLeft w:val="0"/>
      <w:marRight w:val="0"/>
      <w:marTop w:val="0"/>
      <w:marBottom w:val="0"/>
      <w:divBdr>
        <w:top w:val="none" w:sz="0" w:space="0" w:color="auto"/>
        <w:left w:val="none" w:sz="0" w:space="0" w:color="auto"/>
        <w:bottom w:val="none" w:sz="0" w:space="0" w:color="auto"/>
        <w:right w:val="none" w:sz="0" w:space="0" w:color="auto"/>
      </w:divBdr>
    </w:div>
    <w:div w:id="2062362169">
      <w:bodyDiv w:val="1"/>
      <w:marLeft w:val="0"/>
      <w:marRight w:val="0"/>
      <w:marTop w:val="0"/>
      <w:marBottom w:val="0"/>
      <w:divBdr>
        <w:top w:val="none" w:sz="0" w:space="0" w:color="auto"/>
        <w:left w:val="none" w:sz="0" w:space="0" w:color="auto"/>
        <w:bottom w:val="none" w:sz="0" w:space="0" w:color="auto"/>
        <w:right w:val="none" w:sz="0" w:space="0" w:color="auto"/>
      </w:divBdr>
    </w:div>
    <w:div w:id="2081637219">
      <w:bodyDiv w:val="1"/>
      <w:marLeft w:val="0"/>
      <w:marRight w:val="0"/>
      <w:marTop w:val="0"/>
      <w:marBottom w:val="0"/>
      <w:divBdr>
        <w:top w:val="none" w:sz="0" w:space="0" w:color="auto"/>
        <w:left w:val="none" w:sz="0" w:space="0" w:color="auto"/>
        <w:bottom w:val="none" w:sz="0" w:space="0" w:color="auto"/>
        <w:right w:val="none" w:sz="0" w:space="0" w:color="auto"/>
      </w:divBdr>
    </w:div>
    <w:div w:id="2084832359">
      <w:bodyDiv w:val="1"/>
      <w:marLeft w:val="0"/>
      <w:marRight w:val="0"/>
      <w:marTop w:val="0"/>
      <w:marBottom w:val="0"/>
      <w:divBdr>
        <w:top w:val="none" w:sz="0" w:space="0" w:color="auto"/>
        <w:left w:val="none" w:sz="0" w:space="0" w:color="auto"/>
        <w:bottom w:val="none" w:sz="0" w:space="0" w:color="auto"/>
        <w:right w:val="none" w:sz="0" w:space="0" w:color="auto"/>
      </w:divBdr>
      <w:divsChild>
        <w:div w:id="455291474">
          <w:marLeft w:val="0"/>
          <w:marRight w:val="0"/>
          <w:marTop w:val="0"/>
          <w:marBottom w:val="0"/>
          <w:divBdr>
            <w:top w:val="none" w:sz="0" w:space="0" w:color="auto"/>
            <w:left w:val="none" w:sz="0" w:space="0" w:color="auto"/>
            <w:bottom w:val="none" w:sz="0" w:space="0" w:color="auto"/>
            <w:right w:val="none" w:sz="0" w:space="0" w:color="auto"/>
          </w:divBdr>
          <w:divsChild>
            <w:div w:id="1172717653">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AdvisianTemplates\Report_Advisian.dotm" TargetMode="External"/></Relationships>
</file>

<file path=word/theme/theme1.xml><?xml version="1.0" encoding="utf-8"?>
<a:theme xmlns:a="http://schemas.openxmlformats.org/drawingml/2006/main" name="Office Theme">
  <a:themeElements>
    <a:clrScheme name="Advisian Colour Theme">
      <a:dk1>
        <a:srgbClr val="000000"/>
      </a:dk1>
      <a:lt1>
        <a:srgbClr val="FFFFFF"/>
      </a:lt1>
      <a:dk2>
        <a:srgbClr val="172934"/>
      </a:dk2>
      <a:lt2>
        <a:srgbClr val="A38F68"/>
      </a:lt2>
      <a:accent1>
        <a:srgbClr val="005F83"/>
      </a:accent1>
      <a:accent2>
        <a:srgbClr val="D50965"/>
      </a:accent2>
      <a:accent3>
        <a:srgbClr val="00AEEF"/>
      </a:accent3>
      <a:accent4>
        <a:srgbClr val="0C0C0C"/>
      </a:accent4>
      <a:accent5>
        <a:srgbClr val="7F7F7F"/>
      </a:accent5>
      <a:accent6>
        <a:srgbClr val="005F83"/>
      </a:accent6>
      <a:hlink>
        <a:srgbClr val="005F83"/>
      </a:hlink>
      <a:folHlink>
        <a:srgbClr val="00AEEF"/>
      </a:folHlink>
    </a:clrScheme>
    <a:fontScheme name="Advisian Font Theme">
      <a:majorFont>
        <a:latin typeface="Segoe UI Semibold"/>
        <a:ea typeface=""/>
        <a:cs typeface="Segoe UI"/>
      </a:majorFont>
      <a:minorFont>
        <a:latin typeface="Segoe UI"/>
        <a:ea typeface=""/>
        <a:cs typeface="Segoe UI"/>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30891CAEE1ACA44B1403397C517A126" ma:contentTypeVersion="3" ma:contentTypeDescription="Create a new document." ma:contentTypeScope="" ma:versionID="af1897ee0a8258e75412b4c56795405e">
  <xsd:schema xmlns:xsd="http://www.w3.org/2001/XMLSchema" xmlns:xs="http://www.w3.org/2001/XMLSchema" xmlns:p="http://schemas.microsoft.com/office/2006/metadata/properties" xmlns:ns2="d6961156-16fd-42f1-b682-b7d746f4b64b" targetNamespace="http://schemas.microsoft.com/office/2006/metadata/properties" ma:root="true" ma:fieldsID="c5c15c000157cf22c7becc6ba85cfc82" ns2:_="">
    <xsd:import namespace="d6961156-16fd-42f1-b682-b7d746f4b64b"/>
    <xsd:element name="properties">
      <xsd:complexType>
        <xsd:sequence>
          <xsd:element name="documentManagement">
            <xsd:complexType>
              <xsd:all>
                <xsd:element ref="ns2:SharedWithUsers" minOccurs="0"/>
                <xsd:element ref="ns2:SharingHintHash"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961156-16fd-42f1-b682-b7d746f4b64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67F73E-06A8-4720-98A2-0A848FEFAA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6961156-16fd-42f1-b682-b7d746f4b6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7D95396-1610-444A-8273-0A05DCEBB8A2}">
  <ds:schemaRefs>
    <ds:schemaRef ds:uri="http://schemas.microsoft.com/sharepoint/v3/contenttype/forms"/>
  </ds:schemaRefs>
</ds:datastoreItem>
</file>

<file path=customXml/itemProps3.xml><?xml version="1.0" encoding="utf-8"?>
<ds:datastoreItem xmlns:ds="http://schemas.openxmlformats.org/officeDocument/2006/customXml" ds:itemID="{61C2EF8D-578E-4839-82B5-481031803BD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E82A557-B4A9-45C4-B555-3F923A9085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Report_Advisian.dotm</Template>
  <TotalTime>0</TotalTime>
  <Pages>4</Pages>
  <Words>1365</Words>
  <Characters>7781</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WorleyParsons</Company>
  <LinksUpToDate>false</LinksUpToDate>
  <CharactersWithSpaces>9128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Cairns (DEDJTR)</dc:creator>
  <cp:keywords/>
  <dc:description/>
  <cp:lastModifiedBy>Nicole Cairns (DEDJTR)</cp:lastModifiedBy>
  <cp:revision>2</cp:revision>
  <cp:lastPrinted>2018-11-26T22:47:00Z</cp:lastPrinted>
  <dcterms:created xsi:type="dcterms:W3CDTF">2018-12-04T04:29:00Z</dcterms:created>
  <dcterms:modified xsi:type="dcterms:W3CDTF">2018-12-04T04:29:00Z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0x010100130891CAEE1ACA44B1403397C517A126</vt:lpwstr>
  </property>
  <property fmtid="{D5CDD505-2E9C-101B-9397-08002B2CF9AE}" pid="3" name="PropTitle">
    <vt:lpwstr>CarbonNet Pelican 3D Marine Seismic Survey (MSS) Offshore Habitat Assessments</vt:lpwstr>
  </property>
  <property fmtid="{D5CDD505-2E9C-101B-9397-08002B2CF9AE}" pid="4" name="PropSubTitle">
    <vt:lpwstr>Final Report</vt:lpwstr>
  </property>
  <property fmtid="{D5CDD505-2E9C-101B-9397-08002B2CF9AE}" pid="5" name="CusName">
    <vt:lpwstr>CarbonNet - DEDJTR</vt:lpwstr>
  </property>
  <property fmtid="{D5CDD505-2E9C-101B-9397-08002B2CF9AE}" pid="6" name="Approv3">
    <vt:lpwstr>HH</vt:lpwstr>
  </property>
  <property fmtid="{D5CDD505-2E9C-101B-9397-08002B2CF9AE}" pid="7" name="Approv4">
    <vt:lpwstr>HH</vt:lpwstr>
  </property>
  <property fmtid="{D5CDD505-2E9C-101B-9397-08002B2CF9AE}" pid="8" name="AppDate1">
    <vt:lpwstr/>
  </property>
  <property fmtid="{D5CDD505-2E9C-101B-9397-08002B2CF9AE}" pid="9" name="AppDate2">
    <vt:lpwstr>27.11.18</vt:lpwstr>
  </property>
  <property fmtid="{D5CDD505-2E9C-101B-9397-08002B2CF9AE}" pid="10" name="AppDate3">
    <vt:lpwstr>09.11.18</vt:lpwstr>
  </property>
  <property fmtid="{D5CDD505-2E9C-101B-9397-08002B2CF9AE}" pid="11" name="AppDate4">
    <vt:lpwstr/>
  </property>
  <property fmtid="{D5CDD505-2E9C-101B-9397-08002B2CF9AE}" pid="12" name="RevDesc1">
    <vt:lpwstr>For internal review</vt:lpwstr>
  </property>
  <property fmtid="{D5CDD505-2E9C-101B-9397-08002B2CF9AE}" pid="13" name="RevDesc2">
    <vt:lpwstr>For client review</vt:lpwstr>
  </property>
  <property fmtid="{D5CDD505-2E9C-101B-9397-08002B2CF9AE}" pid="14" name="RevDesc3">
    <vt:lpwstr>Issued for client use</vt:lpwstr>
  </property>
  <property fmtid="{D5CDD505-2E9C-101B-9397-08002B2CF9AE}" pid="15" name="RevDesc4">
    <vt:lpwstr>Final for Use</vt:lpwstr>
  </property>
  <property fmtid="{D5CDD505-2E9C-101B-9397-08002B2CF9AE}" pid="16" name="ContentType">
    <vt:lpwstr>ContentType</vt:lpwstr>
  </property>
  <property fmtid="{D5CDD505-2E9C-101B-9397-08002B2CF9AE}" pid="17" name="Customer">
    <vt:lpwstr>Customer</vt:lpwstr>
  </property>
  <property fmtid="{D5CDD505-2E9C-101B-9397-08002B2CF9AE}" pid="18" name="WBS">
    <vt:lpwstr/>
  </property>
  <property fmtid="{D5CDD505-2E9C-101B-9397-08002B2CF9AE}" pid="19" name="CustomerRef">
    <vt:lpwstr>CusRef/RFT No</vt:lpwstr>
  </property>
  <property fmtid="{D5CDD505-2E9C-101B-9397-08002B2CF9AE}" pid="20" name="Orig3">
    <vt:lpwstr>HH/PC</vt:lpwstr>
  </property>
  <property fmtid="{D5CDD505-2E9C-101B-9397-08002B2CF9AE}" pid="21" name="Orig2">
    <vt:lpwstr>HH/PC</vt:lpwstr>
  </property>
  <property fmtid="{D5CDD505-2E9C-101B-9397-08002B2CF9AE}" pid="22" name="Orig4">
    <vt:lpwstr>HH/PC</vt:lpwstr>
  </property>
  <property fmtid="{D5CDD505-2E9C-101B-9397-08002B2CF9AE}" pid="23" name="Review1">
    <vt:lpwstr>HH</vt:lpwstr>
  </property>
  <property fmtid="{D5CDD505-2E9C-101B-9397-08002B2CF9AE}" pid="24" name="Review2">
    <vt:lpwstr>KN</vt:lpwstr>
  </property>
  <property fmtid="{D5CDD505-2E9C-101B-9397-08002B2CF9AE}" pid="25" name="Review3">
    <vt:lpwstr>KN</vt:lpwstr>
  </property>
  <property fmtid="{D5CDD505-2E9C-101B-9397-08002B2CF9AE}" pid="26" name="Review4">
    <vt:lpwstr>KN</vt:lpwstr>
  </property>
  <property fmtid="{D5CDD505-2E9C-101B-9397-08002B2CF9AE}" pid="27" name="Approv1">
    <vt:lpwstr>HH</vt:lpwstr>
  </property>
  <property fmtid="{D5CDD505-2E9C-101B-9397-08002B2CF9AE}" pid="28" name="Approv2">
    <vt:lpwstr>HH</vt:lpwstr>
  </property>
  <property fmtid="{D5CDD505-2E9C-101B-9397-08002B2CF9AE}" pid="29" name="VerCheck">
    <vt:lpwstr>Report based on version  from Report_Template_A4_Adv_Gl_0715_signed.dotm using: 14.0 MS2010</vt:lpwstr>
  </property>
  <property fmtid="{D5CDD505-2E9C-101B-9397-08002B2CF9AE}" pid="30" name="PropDate">
    <vt:lpwstr>November 2018</vt:lpwstr>
  </property>
  <property fmtid="{D5CDD505-2E9C-101B-9397-08002B2CF9AE}" pid="31" name="RFTNo">
    <vt:lpwstr>RFT No.</vt:lpwstr>
  </property>
  <property fmtid="{D5CDD505-2E9C-101B-9397-08002B2CF9AE}" pid="32" name="PropNo">
    <vt:lpwstr>301010-01596</vt:lpwstr>
  </property>
  <property fmtid="{D5CDD505-2E9C-101B-9397-08002B2CF9AE}" pid="33" name="RevCurrent">
    <vt:lpwstr>1</vt:lpwstr>
  </property>
  <property fmtid="{D5CDD505-2E9C-101B-9397-08002B2CF9AE}" pid="34" name="RevFirst">
    <vt:lpwstr>A</vt:lpwstr>
  </property>
  <property fmtid="{D5CDD505-2E9C-101B-9397-08002B2CF9AE}" pid="35" name="RevSecond">
    <vt:lpwstr>B</vt:lpwstr>
  </property>
  <property fmtid="{D5CDD505-2E9C-101B-9397-08002B2CF9AE}" pid="36" name="RevThird">
    <vt:lpwstr>0</vt:lpwstr>
  </property>
  <property fmtid="{D5CDD505-2E9C-101B-9397-08002B2CF9AE}" pid="37" name="RevFourth">
    <vt:lpwstr>1</vt:lpwstr>
  </property>
  <property fmtid="{D5CDD505-2E9C-101B-9397-08002B2CF9AE}" pid="38" name="Orig1">
    <vt:lpwstr>PC</vt:lpwstr>
  </property>
  <property fmtid="{D5CDD505-2E9C-101B-9397-08002B2CF9AE}" pid="39" name="RevDateCurrent">
    <vt:lpwstr>27 November 2018</vt:lpwstr>
  </property>
  <property fmtid="{D5CDD505-2E9C-101B-9397-08002B2CF9AE}" pid="40" name="Address1">
    <vt:lpwstr>Level 13, 333 Collins Street</vt:lpwstr>
  </property>
  <property fmtid="{D5CDD505-2E9C-101B-9397-08002B2CF9AE}" pid="41" name="Address2">
    <vt:lpwstr>Melbourne VIC 3000</vt:lpwstr>
  </property>
  <property fmtid="{D5CDD505-2E9C-101B-9397-08002B2CF9AE}" pid="42" name="Address3">
    <vt:lpwstr>Australia</vt:lpwstr>
  </property>
  <property fmtid="{D5CDD505-2E9C-101B-9397-08002B2CF9AE}" pid="43" name="Suburb">
    <vt:lpwstr>Suburb</vt:lpwstr>
  </property>
  <property fmtid="{D5CDD505-2E9C-101B-9397-08002B2CF9AE}" pid="44" name="Country">
    <vt:lpwstr>Country</vt:lpwstr>
  </property>
  <property fmtid="{D5CDD505-2E9C-101B-9397-08002B2CF9AE}" pid="45" name="State">
    <vt:lpwstr>State</vt:lpwstr>
  </property>
  <property fmtid="{D5CDD505-2E9C-101B-9397-08002B2CF9AE}" pid="46" name="Postcode">
    <vt:lpwstr>Postcode</vt:lpwstr>
  </property>
  <property fmtid="{D5CDD505-2E9C-101B-9397-08002B2CF9AE}" pid="47" name="Address4">
    <vt:lpwstr/>
  </property>
  <property fmtid="{D5CDD505-2E9C-101B-9397-08002B2CF9AE}" pid="48" name="Assigned To0">
    <vt:lpwstr/>
  </property>
  <property fmtid="{D5CDD505-2E9C-101B-9397-08002B2CF9AE}" pid="49" name="Contributor(s)">
    <vt:lpwstr/>
  </property>
  <property fmtid="{D5CDD505-2E9C-101B-9397-08002B2CF9AE}" pid="50" name="_dlc_DocIdItemGuid">
    <vt:lpwstr>c674aab4-1984-4d3a-9887-89209d3ed94f</vt:lpwstr>
  </property>
  <property fmtid="{D5CDD505-2E9C-101B-9397-08002B2CF9AE}" pid="51" name="Docear4Word_StyleTitle">
    <vt:lpwstr>ACM SIG Proceedings With Long Author List</vt:lpwstr>
  </property>
  <property fmtid="{D5CDD505-2E9C-101B-9397-08002B2CF9AE}" pid="52" name="_MarkAsFinal">
    <vt:bool>true</vt:bool>
  </property>
</Properties>
</file>