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8B2C" w14:textId="1FB952D2" w:rsidR="00D9144C" w:rsidRPr="0029729A" w:rsidRDefault="00D9144C" w:rsidP="0063390B">
      <w:pPr>
        <w:rPr>
          <w:sz w:val="48"/>
          <w:szCs w:val="48"/>
        </w:rPr>
      </w:pPr>
      <w:bookmarkStart w:id="0" w:name="_Toc195024271"/>
      <w:r w:rsidRPr="0029729A">
        <w:rPr>
          <w:sz w:val="48"/>
          <w:szCs w:val="48"/>
        </w:rPr>
        <w:t>Formula 1®</w:t>
      </w:r>
      <w:r w:rsidR="005B148D" w:rsidRPr="0029729A">
        <w:rPr>
          <w:sz w:val="48"/>
          <w:szCs w:val="48"/>
        </w:rPr>
        <w:t xml:space="preserve"> </w:t>
      </w:r>
      <w:r w:rsidRPr="0029729A">
        <w:rPr>
          <w:sz w:val="48"/>
          <w:szCs w:val="48"/>
        </w:rPr>
        <w:t>Australian Grand Prix 2023 Economic Impact</w:t>
      </w:r>
      <w:bookmarkEnd w:id="0"/>
    </w:p>
    <w:p w14:paraId="2862227B" w14:textId="3AF708B5" w:rsidR="00BA111B" w:rsidRPr="00A62635" w:rsidRDefault="00D9144C" w:rsidP="0063390B">
      <w:pPr>
        <w:rPr>
          <w:sz w:val="40"/>
          <w:szCs w:val="40"/>
        </w:rPr>
      </w:pPr>
      <w:bookmarkStart w:id="1" w:name="_Toc195024272"/>
      <w:bookmarkStart w:id="2" w:name="_Toc198738843"/>
      <w:r w:rsidRPr="00A62635">
        <w:rPr>
          <w:sz w:val="40"/>
          <w:szCs w:val="40"/>
        </w:rPr>
        <w:t>Final Report</w:t>
      </w:r>
      <w:bookmarkEnd w:id="1"/>
      <w:bookmarkEnd w:id="2"/>
    </w:p>
    <w:p w14:paraId="7FDAE840" w14:textId="77777777" w:rsidR="008C298B" w:rsidRDefault="008C298B" w:rsidP="008C298B">
      <w:r w:rsidRPr="00BA111B">
        <w:t>Reliance Restricted</w:t>
      </w:r>
    </w:p>
    <w:p w14:paraId="28252879" w14:textId="3C503657" w:rsidR="00C4076A" w:rsidRPr="00C4076A" w:rsidRDefault="008C298B" w:rsidP="0029729A">
      <w:r>
        <w:t>3 November 2023</w:t>
      </w:r>
    </w:p>
    <w:sdt>
      <w:sdtPr>
        <w:rPr>
          <w:rFonts w:ascii="Arial" w:eastAsiaTheme="minorHAnsi" w:hAnsi="Arial" w:cstheme="minorBidi"/>
          <w:color w:val="auto"/>
          <w:sz w:val="22"/>
          <w:szCs w:val="22"/>
          <w:lang w:val="en-AU"/>
        </w:rPr>
        <w:id w:val="509953927"/>
        <w:docPartObj>
          <w:docPartGallery w:val="Table of Contents"/>
          <w:docPartUnique/>
        </w:docPartObj>
      </w:sdtPr>
      <w:sdtEndPr>
        <w:rPr>
          <w:b/>
          <w:bCs/>
          <w:noProof/>
        </w:rPr>
      </w:sdtEndPr>
      <w:sdtContent>
        <w:p w14:paraId="2B623B63" w14:textId="434A29CE" w:rsidR="0034666D" w:rsidRPr="0034666D" w:rsidRDefault="0034666D" w:rsidP="006254F1">
          <w:pPr>
            <w:pStyle w:val="TOCHeading"/>
            <w:rPr>
              <w:color w:val="auto"/>
            </w:rPr>
          </w:pPr>
          <w:r w:rsidRPr="0034666D">
            <w:rPr>
              <w:color w:val="auto"/>
            </w:rPr>
            <w:t>Table of Contents</w:t>
          </w:r>
        </w:p>
        <w:p w14:paraId="3DCA6E29" w14:textId="02FA7E91" w:rsidR="002D7055" w:rsidRDefault="0034666D">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99255802" w:history="1">
            <w:r w:rsidR="002D7055" w:rsidRPr="002D6147">
              <w:rPr>
                <w:rStyle w:val="Hyperlink"/>
                <w:noProof/>
              </w:rPr>
              <w:t>Economic Impact of the 2023 Formula 1® Australian Grand Prix</w:t>
            </w:r>
            <w:r w:rsidR="002D7055">
              <w:rPr>
                <w:noProof/>
                <w:webHidden/>
              </w:rPr>
              <w:tab/>
            </w:r>
            <w:r w:rsidR="002D7055">
              <w:rPr>
                <w:noProof/>
                <w:webHidden/>
              </w:rPr>
              <w:fldChar w:fldCharType="begin"/>
            </w:r>
            <w:r w:rsidR="002D7055">
              <w:rPr>
                <w:noProof/>
                <w:webHidden/>
              </w:rPr>
              <w:instrText xml:space="preserve"> PAGEREF _Toc199255802 \h </w:instrText>
            </w:r>
            <w:r w:rsidR="002D7055">
              <w:rPr>
                <w:noProof/>
                <w:webHidden/>
              </w:rPr>
            </w:r>
            <w:r w:rsidR="002D7055">
              <w:rPr>
                <w:noProof/>
                <w:webHidden/>
              </w:rPr>
              <w:fldChar w:fldCharType="separate"/>
            </w:r>
            <w:r w:rsidR="002D7055">
              <w:rPr>
                <w:noProof/>
                <w:webHidden/>
              </w:rPr>
              <w:t>2</w:t>
            </w:r>
            <w:r w:rsidR="002D7055">
              <w:rPr>
                <w:noProof/>
                <w:webHidden/>
              </w:rPr>
              <w:fldChar w:fldCharType="end"/>
            </w:r>
          </w:hyperlink>
        </w:p>
        <w:p w14:paraId="19F0EB25" w14:textId="0D2806C7" w:rsidR="002D7055" w:rsidRDefault="002D7055">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9255803" w:history="1">
            <w:r w:rsidRPr="002D6147">
              <w:rPr>
                <w:rStyle w:val="Hyperlink"/>
                <w:noProof/>
              </w:rPr>
              <w:t>1. Executive Summary</w:t>
            </w:r>
            <w:r>
              <w:rPr>
                <w:noProof/>
                <w:webHidden/>
              </w:rPr>
              <w:tab/>
            </w:r>
            <w:r>
              <w:rPr>
                <w:noProof/>
                <w:webHidden/>
              </w:rPr>
              <w:fldChar w:fldCharType="begin"/>
            </w:r>
            <w:r>
              <w:rPr>
                <w:noProof/>
                <w:webHidden/>
              </w:rPr>
              <w:instrText xml:space="preserve"> PAGEREF _Toc199255803 \h </w:instrText>
            </w:r>
            <w:r>
              <w:rPr>
                <w:noProof/>
                <w:webHidden/>
              </w:rPr>
            </w:r>
            <w:r>
              <w:rPr>
                <w:noProof/>
                <w:webHidden/>
              </w:rPr>
              <w:fldChar w:fldCharType="separate"/>
            </w:r>
            <w:r>
              <w:rPr>
                <w:noProof/>
                <w:webHidden/>
              </w:rPr>
              <w:t>3</w:t>
            </w:r>
            <w:r>
              <w:rPr>
                <w:noProof/>
                <w:webHidden/>
              </w:rPr>
              <w:fldChar w:fldCharType="end"/>
            </w:r>
          </w:hyperlink>
        </w:p>
        <w:p w14:paraId="4A79B286" w14:textId="16DFC425" w:rsidR="002D7055" w:rsidRDefault="002D7055">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9255804" w:history="1">
            <w:r w:rsidRPr="002D6147">
              <w:rPr>
                <w:rStyle w:val="Hyperlink"/>
                <w:noProof/>
              </w:rPr>
              <w:t>Summary</w:t>
            </w:r>
            <w:r>
              <w:rPr>
                <w:noProof/>
                <w:webHidden/>
              </w:rPr>
              <w:tab/>
            </w:r>
            <w:r>
              <w:rPr>
                <w:noProof/>
                <w:webHidden/>
              </w:rPr>
              <w:fldChar w:fldCharType="begin"/>
            </w:r>
            <w:r>
              <w:rPr>
                <w:noProof/>
                <w:webHidden/>
              </w:rPr>
              <w:instrText xml:space="preserve"> PAGEREF _Toc199255804 \h </w:instrText>
            </w:r>
            <w:r>
              <w:rPr>
                <w:noProof/>
                <w:webHidden/>
              </w:rPr>
            </w:r>
            <w:r>
              <w:rPr>
                <w:noProof/>
                <w:webHidden/>
              </w:rPr>
              <w:fldChar w:fldCharType="separate"/>
            </w:r>
            <w:r>
              <w:rPr>
                <w:noProof/>
                <w:webHidden/>
              </w:rPr>
              <w:t>3</w:t>
            </w:r>
            <w:r>
              <w:rPr>
                <w:noProof/>
                <w:webHidden/>
              </w:rPr>
              <w:fldChar w:fldCharType="end"/>
            </w:r>
          </w:hyperlink>
        </w:p>
        <w:p w14:paraId="39C28E7B" w14:textId="39DE1450"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05" w:history="1">
            <w:r w:rsidRPr="002D6147">
              <w:rPr>
                <w:rStyle w:val="Hyperlink"/>
                <w:noProof/>
              </w:rPr>
              <w:t>Economic impact of the F1® GP 2023 on Victoria</w:t>
            </w:r>
            <w:r>
              <w:rPr>
                <w:noProof/>
                <w:webHidden/>
              </w:rPr>
              <w:tab/>
            </w:r>
            <w:r>
              <w:rPr>
                <w:noProof/>
                <w:webHidden/>
              </w:rPr>
              <w:fldChar w:fldCharType="begin"/>
            </w:r>
            <w:r>
              <w:rPr>
                <w:noProof/>
                <w:webHidden/>
              </w:rPr>
              <w:instrText xml:space="preserve"> PAGEREF _Toc199255805 \h </w:instrText>
            </w:r>
            <w:r>
              <w:rPr>
                <w:noProof/>
                <w:webHidden/>
              </w:rPr>
            </w:r>
            <w:r>
              <w:rPr>
                <w:noProof/>
                <w:webHidden/>
              </w:rPr>
              <w:fldChar w:fldCharType="separate"/>
            </w:r>
            <w:r>
              <w:rPr>
                <w:noProof/>
                <w:webHidden/>
              </w:rPr>
              <w:t>3</w:t>
            </w:r>
            <w:r>
              <w:rPr>
                <w:noProof/>
                <w:webHidden/>
              </w:rPr>
              <w:fldChar w:fldCharType="end"/>
            </w:r>
          </w:hyperlink>
        </w:p>
        <w:p w14:paraId="77E0C951" w14:textId="340157D0"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06" w:history="1">
            <w:r w:rsidRPr="002D6147">
              <w:rPr>
                <w:rStyle w:val="Hyperlink"/>
                <w:noProof/>
              </w:rPr>
              <w:t>Economic impact of the event has continued to grow</w:t>
            </w:r>
            <w:r>
              <w:rPr>
                <w:noProof/>
                <w:webHidden/>
              </w:rPr>
              <w:tab/>
            </w:r>
            <w:r>
              <w:rPr>
                <w:noProof/>
                <w:webHidden/>
              </w:rPr>
              <w:fldChar w:fldCharType="begin"/>
            </w:r>
            <w:r>
              <w:rPr>
                <w:noProof/>
                <w:webHidden/>
              </w:rPr>
              <w:instrText xml:space="preserve"> PAGEREF _Toc199255806 \h </w:instrText>
            </w:r>
            <w:r>
              <w:rPr>
                <w:noProof/>
                <w:webHidden/>
              </w:rPr>
            </w:r>
            <w:r>
              <w:rPr>
                <w:noProof/>
                <w:webHidden/>
              </w:rPr>
              <w:fldChar w:fldCharType="separate"/>
            </w:r>
            <w:r>
              <w:rPr>
                <w:noProof/>
                <w:webHidden/>
              </w:rPr>
              <w:t>3</w:t>
            </w:r>
            <w:r>
              <w:rPr>
                <w:noProof/>
                <w:webHidden/>
              </w:rPr>
              <w:fldChar w:fldCharType="end"/>
            </w:r>
          </w:hyperlink>
        </w:p>
        <w:p w14:paraId="059810F4" w14:textId="0D8EB064"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07" w:history="1">
            <w:r w:rsidRPr="002D6147">
              <w:rPr>
                <w:rStyle w:val="Hyperlink"/>
                <w:noProof/>
              </w:rPr>
              <w:t>Return on government investment</w:t>
            </w:r>
            <w:r>
              <w:rPr>
                <w:noProof/>
                <w:webHidden/>
              </w:rPr>
              <w:tab/>
            </w:r>
            <w:r>
              <w:rPr>
                <w:noProof/>
                <w:webHidden/>
              </w:rPr>
              <w:fldChar w:fldCharType="begin"/>
            </w:r>
            <w:r>
              <w:rPr>
                <w:noProof/>
                <w:webHidden/>
              </w:rPr>
              <w:instrText xml:space="preserve"> PAGEREF _Toc199255807 \h </w:instrText>
            </w:r>
            <w:r>
              <w:rPr>
                <w:noProof/>
                <w:webHidden/>
              </w:rPr>
            </w:r>
            <w:r>
              <w:rPr>
                <w:noProof/>
                <w:webHidden/>
              </w:rPr>
              <w:fldChar w:fldCharType="separate"/>
            </w:r>
            <w:r>
              <w:rPr>
                <w:noProof/>
                <w:webHidden/>
              </w:rPr>
              <w:t>4</w:t>
            </w:r>
            <w:r>
              <w:rPr>
                <w:noProof/>
                <w:webHidden/>
              </w:rPr>
              <w:fldChar w:fldCharType="end"/>
            </w:r>
          </w:hyperlink>
        </w:p>
        <w:p w14:paraId="35CF231A" w14:textId="57AEE4DC" w:rsidR="002D7055" w:rsidRDefault="002D7055">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9255808" w:history="1">
            <w:r w:rsidRPr="002D6147">
              <w:rPr>
                <w:rStyle w:val="Hyperlink"/>
                <w:noProof/>
              </w:rPr>
              <w:t>2. Approach</w:t>
            </w:r>
            <w:r>
              <w:rPr>
                <w:noProof/>
                <w:webHidden/>
              </w:rPr>
              <w:tab/>
            </w:r>
            <w:r>
              <w:rPr>
                <w:noProof/>
                <w:webHidden/>
              </w:rPr>
              <w:fldChar w:fldCharType="begin"/>
            </w:r>
            <w:r>
              <w:rPr>
                <w:noProof/>
                <w:webHidden/>
              </w:rPr>
              <w:instrText xml:space="preserve"> PAGEREF _Toc199255808 \h </w:instrText>
            </w:r>
            <w:r>
              <w:rPr>
                <w:noProof/>
                <w:webHidden/>
              </w:rPr>
            </w:r>
            <w:r>
              <w:rPr>
                <w:noProof/>
                <w:webHidden/>
              </w:rPr>
              <w:fldChar w:fldCharType="separate"/>
            </w:r>
            <w:r>
              <w:rPr>
                <w:noProof/>
                <w:webHidden/>
              </w:rPr>
              <w:t>6</w:t>
            </w:r>
            <w:r>
              <w:rPr>
                <w:noProof/>
                <w:webHidden/>
              </w:rPr>
              <w:fldChar w:fldCharType="end"/>
            </w:r>
          </w:hyperlink>
        </w:p>
        <w:p w14:paraId="66827AB4" w14:textId="2A1AEB43" w:rsidR="002D7055" w:rsidRDefault="002D7055">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9255809" w:history="1">
            <w:r w:rsidRPr="002D6147">
              <w:rPr>
                <w:rStyle w:val="Hyperlink"/>
                <w:noProof/>
              </w:rPr>
              <w:t>Economic impact on Victoria</w:t>
            </w:r>
            <w:r>
              <w:rPr>
                <w:noProof/>
                <w:webHidden/>
              </w:rPr>
              <w:tab/>
            </w:r>
            <w:r>
              <w:rPr>
                <w:noProof/>
                <w:webHidden/>
              </w:rPr>
              <w:fldChar w:fldCharType="begin"/>
            </w:r>
            <w:r>
              <w:rPr>
                <w:noProof/>
                <w:webHidden/>
              </w:rPr>
              <w:instrText xml:space="preserve"> PAGEREF _Toc199255809 \h </w:instrText>
            </w:r>
            <w:r>
              <w:rPr>
                <w:noProof/>
                <w:webHidden/>
              </w:rPr>
            </w:r>
            <w:r>
              <w:rPr>
                <w:noProof/>
                <w:webHidden/>
              </w:rPr>
              <w:fldChar w:fldCharType="separate"/>
            </w:r>
            <w:r>
              <w:rPr>
                <w:noProof/>
                <w:webHidden/>
              </w:rPr>
              <w:t>6</w:t>
            </w:r>
            <w:r>
              <w:rPr>
                <w:noProof/>
                <w:webHidden/>
              </w:rPr>
              <w:fldChar w:fldCharType="end"/>
            </w:r>
          </w:hyperlink>
        </w:p>
        <w:p w14:paraId="36AA3890" w14:textId="5C9CCA36"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10" w:history="1">
            <w:r w:rsidRPr="002D6147">
              <w:rPr>
                <w:rStyle w:val="Hyperlink"/>
                <w:noProof/>
              </w:rPr>
              <w:t>Direct impact</w:t>
            </w:r>
            <w:r>
              <w:rPr>
                <w:noProof/>
                <w:webHidden/>
              </w:rPr>
              <w:tab/>
            </w:r>
            <w:r>
              <w:rPr>
                <w:noProof/>
                <w:webHidden/>
              </w:rPr>
              <w:fldChar w:fldCharType="begin"/>
            </w:r>
            <w:r>
              <w:rPr>
                <w:noProof/>
                <w:webHidden/>
              </w:rPr>
              <w:instrText xml:space="preserve"> PAGEREF _Toc199255810 \h </w:instrText>
            </w:r>
            <w:r>
              <w:rPr>
                <w:noProof/>
                <w:webHidden/>
              </w:rPr>
            </w:r>
            <w:r>
              <w:rPr>
                <w:noProof/>
                <w:webHidden/>
              </w:rPr>
              <w:fldChar w:fldCharType="separate"/>
            </w:r>
            <w:r>
              <w:rPr>
                <w:noProof/>
                <w:webHidden/>
              </w:rPr>
              <w:t>6</w:t>
            </w:r>
            <w:r>
              <w:rPr>
                <w:noProof/>
                <w:webHidden/>
              </w:rPr>
              <w:fldChar w:fldCharType="end"/>
            </w:r>
          </w:hyperlink>
        </w:p>
        <w:p w14:paraId="3B48B8BD" w14:textId="13EC20E1"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11" w:history="1">
            <w:r w:rsidRPr="002D6147">
              <w:rPr>
                <w:rStyle w:val="Hyperlink"/>
                <w:noProof/>
              </w:rPr>
              <w:t>Economic impact</w:t>
            </w:r>
            <w:r>
              <w:rPr>
                <w:noProof/>
                <w:webHidden/>
              </w:rPr>
              <w:tab/>
            </w:r>
            <w:r>
              <w:rPr>
                <w:noProof/>
                <w:webHidden/>
              </w:rPr>
              <w:fldChar w:fldCharType="begin"/>
            </w:r>
            <w:r>
              <w:rPr>
                <w:noProof/>
                <w:webHidden/>
              </w:rPr>
              <w:instrText xml:space="preserve"> PAGEREF _Toc199255811 \h </w:instrText>
            </w:r>
            <w:r>
              <w:rPr>
                <w:noProof/>
                <w:webHidden/>
              </w:rPr>
            </w:r>
            <w:r>
              <w:rPr>
                <w:noProof/>
                <w:webHidden/>
              </w:rPr>
              <w:fldChar w:fldCharType="separate"/>
            </w:r>
            <w:r>
              <w:rPr>
                <w:noProof/>
                <w:webHidden/>
              </w:rPr>
              <w:t>6</w:t>
            </w:r>
            <w:r>
              <w:rPr>
                <w:noProof/>
                <w:webHidden/>
              </w:rPr>
              <w:fldChar w:fldCharType="end"/>
            </w:r>
          </w:hyperlink>
        </w:p>
        <w:p w14:paraId="6FE40EFD" w14:textId="480CDDA2"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12" w:history="1">
            <w:r w:rsidRPr="002D6147">
              <w:rPr>
                <w:rStyle w:val="Hyperlink"/>
                <w:noProof/>
              </w:rPr>
              <w:t>Full Time Equivalent Employment (FTE)</w:t>
            </w:r>
            <w:r>
              <w:rPr>
                <w:noProof/>
                <w:webHidden/>
              </w:rPr>
              <w:tab/>
            </w:r>
            <w:r>
              <w:rPr>
                <w:noProof/>
                <w:webHidden/>
              </w:rPr>
              <w:fldChar w:fldCharType="begin"/>
            </w:r>
            <w:r>
              <w:rPr>
                <w:noProof/>
                <w:webHidden/>
              </w:rPr>
              <w:instrText xml:space="preserve"> PAGEREF _Toc199255812 \h </w:instrText>
            </w:r>
            <w:r>
              <w:rPr>
                <w:noProof/>
                <w:webHidden/>
              </w:rPr>
            </w:r>
            <w:r>
              <w:rPr>
                <w:noProof/>
                <w:webHidden/>
              </w:rPr>
              <w:fldChar w:fldCharType="separate"/>
            </w:r>
            <w:r>
              <w:rPr>
                <w:noProof/>
                <w:webHidden/>
              </w:rPr>
              <w:t>6</w:t>
            </w:r>
            <w:r>
              <w:rPr>
                <w:noProof/>
                <w:webHidden/>
              </w:rPr>
              <w:fldChar w:fldCharType="end"/>
            </w:r>
          </w:hyperlink>
        </w:p>
        <w:p w14:paraId="1B1FE212" w14:textId="742366B1"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13" w:history="1">
            <w:r w:rsidRPr="002D6147">
              <w:rPr>
                <w:rStyle w:val="Hyperlink"/>
                <w:noProof/>
              </w:rPr>
              <w:t>Estimate of attendance</w:t>
            </w:r>
            <w:r>
              <w:rPr>
                <w:noProof/>
                <w:webHidden/>
              </w:rPr>
              <w:tab/>
            </w:r>
            <w:r>
              <w:rPr>
                <w:noProof/>
                <w:webHidden/>
              </w:rPr>
              <w:fldChar w:fldCharType="begin"/>
            </w:r>
            <w:r>
              <w:rPr>
                <w:noProof/>
                <w:webHidden/>
              </w:rPr>
              <w:instrText xml:space="preserve"> PAGEREF _Toc199255813 \h </w:instrText>
            </w:r>
            <w:r>
              <w:rPr>
                <w:noProof/>
                <w:webHidden/>
              </w:rPr>
            </w:r>
            <w:r>
              <w:rPr>
                <w:noProof/>
                <w:webHidden/>
              </w:rPr>
              <w:fldChar w:fldCharType="separate"/>
            </w:r>
            <w:r>
              <w:rPr>
                <w:noProof/>
                <w:webHidden/>
              </w:rPr>
              <w:t>6</w:t>
            </w:r>
            <w:r>
              <w:rPr>
                <w:noProof/>
                <w:webHidden/>
              </w:rPr>
              <w:fldChar w:fldCharType="end"/>
            </w:r>
          </w:hyperlink>
        </w:p>
        <w:p w14:paraId="31307E38" w14:textId="00E4BC17"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14" w:history="1">
            <w:r w:rsidRPr="002D6147">
              <w:rPr>
                <w:rStyle w:val="Hyperlink"/>
                <w:noProof/>
              </w:rPr>
              <w:t>Simplified economic impact methodology</w:t>
            </w:r>
            <w:r>
              <w:rPr>
                <w:noProof/>
                <w:webHidden/>
              </w:rPr>
              <w:tab/>
            </w:r>
            <w:r>
              <w:rPr>
                <w:noProof/>
                <w:webHidden/>
              </w:rPr>
              <w:fldChar w:fldCharType="begin"/>
            </w:r>
            <w:r>
              <w:rPr>
                <w:noProof/>
                <w:webHidden/>
              </w:rPr>
              <w:instrText xml:space="preserve"> PAGEREF _Toc199255814 \h </w:instrText>
            </w:r>
            <w:r>
              <w:rPr>
                <w:noProof/>
                <w:webHidden/>
              </w:rPr>
            </w:r>
            <w:r>
              <w:rPr>
                <w:noProof/>
                <w:webHidden/>
              </w:rPr>
              <w:fldChar w:fldCharType="separate"/>
            </w:r>
            <w:r>
              <w:rPr>
                <w:noProof/>
                <w:webHidden/>
              </w:rPr>
              <w:t>7</w:t>
            </w:r>
            <w:r>
              <w:rPr>
                <w:noProof/>
                <w:webHidden/>
              </w:rPr>
              <w:fldChar w:fldCharType="end"/>
            </w:r>
          </w:hyperlink>
        </w:p>
        <w:p w14:paraId="2C66EE3B" w14:textId="350D49DC" w:rsidR="002D7055" w:rsidRDefault="002D7055">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9255815" w:history="1">
            <w:r w:rsidRPr="002D6147">
              <w:rPr>
                <w:rStyle w:val="Hyperlink"/>
                <w:noProof/>
              </w:rPr>
              <w:t>3.Economic Impact</w:t>
            </w:r>
            <w:r>
              <w:rPr>
                <w:noProof/>
                <w:webHidden/>
              </w:rPr>
              <w:tab/>
            </w:r>
            <w:r>
              <w:rPr>
                <w:noProof/>
                <w:webHidden/>
              </w:rPr>
              <w:fldChar w:fldCharType="begin"/>
            </w:r>
            <w:r>
              <w:rPr>
                <w:noProof/>
                <w:webHidden/>
              </w:rPr>
              <w:instrText xml:space="preserve"> PAGEREF _Toc199255815 \h </w:instrText>
            </w:r>
            <w:r>
              <w:rPr>
                <w:noProof/>
                <w:webHidden/>
              </w:rPr>
            </w:r>
            <w:r>
              <w:rPr>
                <w:noProof/>
                <w:webHidden/>
              </w:rPr>
              <w:fldChar w:fldCharType="separate"/>
            </w:r>
            <w:r>
              <w:rPr>
                <w:noProof/>
                <w:webHidden/>
              </w:rPr>
              <w:t>8</w:t>
            </w:r>
            <w:r>
              <w:rPr>
                <w:noProof/>
                <w:webHidden/>
              </w:rPr>
              <w:fldChar w:fldCharType="end"/>
            </w:r>
          </w:hyperlink>
        </w:p>
        <w:p w14:paraId="03CE16A4" w14:textId="4424950A" w:rsidR="002D7055" w:rsidRDefault="002D7055">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9255816" w:history="1">
            <w:r w:rsidRPr="002D6147">
              <w:rPr>
                <w:rStyle w:val="Hyperlink"/>
                <w:noProof/>
              </w:rPr>
              <w:t>Summary</w:t>
            </w:r>
            <w:r>
              <w:rPr>
                <w:noProof/>
                <w:webHidden/>
              </w:rPr>
              <w:tab/>
            </w:r>
            <w:r>
              <w:rPr>
                <w:noProof/>
                <w:webHidden/>
              </w:rPr>
              <w:fldChar w:fldCharType="begin"/>
            </w:r>
            <w:r>
              <w:rPr>
                <w:noProof/>
                <w:webHidden/>
              </w:rPr>
              <w:instrText xml:space="preserve"> PAGEREF _Toc199255816 \h </w:instrText>
            </w:r>
            <w:r>
              <w:rPr>
                <w:noProof/>
                <w:webHidden/>
              </w:rPr>
            </w:r>
            <w:r>
              <w:rPr>
                <w:noProof/>
                <w:webHidden/>
              </w:rPr>
              <w:fldChar w:fldCharType="separate"/>
            </w:r>
            <w:r>
              <w:rPr>
                <w:noProof/>
                <w:webHidden/>
              </w:rPr>
              <w:t>8</w:t>
            </w:r>
            <w:r>
              <w:rPr>
                <w:noProof/>
                <w:webHidden/>
              </w:rPr>
              <w:fldChar w:fldCharType="end"/>
            </w:r>
          </w:hyperlink>
        </w:p>
        <w:p w14:paraId="144756D1" w14:textId="24387024" w:rsidR="002D7055" w:rsidRDefault="002D7055">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9255817" w:history="1">
            <w:r w:rsidRPr="002D6147">
              <w:rPr>
                <w:rStyle w:val="Hyperlink"/>
                <w:noProof/>
              </w:rPr>
              <w:t>Estimated economic impact to Victoria</w:t>
            </w:r>
            <w:r>
              <w:rPr>
                <w:noProof/>
                <w:webHidden/>
              </w:rPr>
              <w:tab/>
            </w:r>
            <w:r>
              <w:rPr>
                <w:noProof/>
                <w:webHidden/>
              </w:rPr>
              <w:fldChar w:fldCharType="begin"/>
            </w:r>
            <w:r>
              <w:rPr>
                <w:noProof/>
                <w:webHidden/>
              </w:rPr>
              <w:instrText xml:space="preserve"> PAGEREF _Toc199255817 \h </w:instrText>
            </w:r>
            <w:r>
              <w:rPr>
                <w:noProof/>
                <w:webHidden/>
              </w:rPr>
            </w:r>
            <w:r>
              <w:rPr>
                <w:noProof/>
                <w:webHidden/>
              </w:rPr>
              <w:fldChar w:fldCharType="separate"/>
            </w:r>
            <w:r>
              <w:rPr>
                <w:noProof/>
                <w:webHidden/>
              </w:rPr>
              <w:t>8</w:t>
            </w:r>
            <w:r>
              <w:rPr>
                <w:noProof/>
                <w:webHidden/>
              </w:rPr>
              <w:fldChar w:fldCharType="end"/>
            </w:r>
          </w:hyperlink>
        </w:p>
        <w:p w14:paraId="0FDA3D1C" w14:textId="251547AA" w:rsidR="002D7055" w:rsidRDefault="002D7055">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9255818" w:history="1">
            <w:r w:rsidRPr="002D6147">
              <w:rPr>
                <w:rStyle w:val="Hyperlink"/>
                <w:noProof/>
              </w:rPr>
              <w:t>Notice and Disclaimer</w:t>
            </w:r>
            <w:r>
              <w:rPr>
                <w:noProof/>
                <w:webHidden/>
              </w:rPr>
              <w:tab/>
            </w:r>
            <w:r>
              <w:rPr>
                <w:noProof/>
                <w:webHidden/>
              </w:rPr>
              <w:fldChar w:fldCharType="begin"/>
            </w:r>
            <w:r>
              <w:rPr>
                <w:noProof/>
                <w:webHidden/>
              </w:rPr>
              <w:instrText xml:space="preserve"> PAGEREF _Toc199255818 \h </w:instrText>
            </w:r>
            <w:r>
              <w:rPr>
                <w:noProof/>
                <w:webHidden/>
              </w:rPr>
            </w:r>
            <w:r>
              <w:rPr>
                <w:noProof/>
                <w:webHidden/>
              </w:rPr>
              <w:fldChar w:fldCharType="separate"/>
            </w:r>
            <w:r>
              <w:rPr>
                <w:noProof/>
                <w:webHidden/>
              </w:rPr>
              <w:t>10</w:t>
            </w:r>
            <w:r>
              <w:rPr>
                <w:noProof/>
                <w:webHidden/>
              </w:rPr>
              <w:fldChar w:fldCharType="end"/>
            </w:r>
          </w:hyperlink>
        </w:p>
        <w:p w14:paraId="426722F4" w14:textId="27946D59" w:rsidR="002D7055" w:rsidRDefault="002D7055">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9255819" w:history="1">
            <w:r w:rsidRPr="002D6147">
              <w:rPr>
                <w:rStyle w:val="Hyperlink"/>
                <w:noProof/>
              </w:rPr>
              <w:t xml:space="preserve">EY </w:t>
            </w:r>
            <w:r w:rsidRPr="002D6147">
              <w:rPr>
                <w:rStyle w:val="Hyperlink"/>
                <w:b/>
                <w:bCs/>
                <w:noProof/>
              </w:rPr>
              <w:t>|</w:t>
            </w:r>
            <w:r w:rsidRPr="002D6147">
              <w:rPr>
                <w:rStyle w:val="Hyperlink"/>
                <w:noProof/>
              </w:rPr>
              <w:t xml:space="preserve"> Building a better working world</w:t>
            </w:r>
            <w:r>
              <w:rPr>
                <w:noProof/>
                <w:webHidden/>
              </w:rPr>
              <w:tab/>
            </w:r>
            <w:r>
              <w:rPr>
                <w:noProof/>
                <w:webHidden/>
              </w:rPr>
              <w:fldChar w:fldCharType="begin"/>
            </w:r>
            <w:r>
              <w:rPr>
                <w:noProof/>
                <w:webHidden/>
              </w:rPr>
              <w:instrText xml:space="preserve"> PAGEREF _Toc199255819 \h </w:instrText>
            </w:r>
            <w:r>
              <w:rPr>
                <w:noProof/>
                <w:webHidden/>
              </w:rPr>
            </w:r>
            <w:r>
              <w:rPr>
                <w:noProof/>
                <w:webHidden/>
              </w:rPr>
              <w:fldChar w:fldCharType="separate"/>
            </w:r>
            <w:r>
              <w:rPr>
                <w:noProof/>
                <w:webHidden/>
              </w:rPr>
              <w:t>12</w:t>
            </w:r>
            <w:r>
              <w:rPr>
                <w:noProof/>
                <w:webHidden/>
              </w:rPr>
              <w:fldChar w:fldCharType="end"/>
            </w:r>
          </w:hyperlink>
        </w:p>
        <w:p w14:paraId="728CFD3C" w14:textId="09B4C4EF" w:rsidR="0034666D" w:rsidRDefault="0034666D">
          <w:r>
            <w:rPr>
              <w:b/>
              <w:bCs/>
              <w:noProof/>
            </w:rPr>
            <w:fldChar w:fldCharType="end"/>
          </w:r>
        </w:p>
      </w:sdtContent>
    </w:sdt>
    <w:p w14:paraId="703FA8DE" w14:textId="77777777" w:rsidR="00073271" w:rsidRDefault="00073271">
      <w:pPr>
        <w:spacing w:line="259" w:lineRule="auto"/>
      </w:pPr>
      <w:bookmarkStart w:id="3" w:name="_Toc195024274"/>
      <w:bookmarkStart w:id="4" w:name="_Toc198738844"/>
      <w:r>
        <w:br w:type="page"/>
      </w:r>
    </w:p>
    <w:p w14:paraId="67BE682C" w14:textId="585C83F8" w:rsidR="008C298B" w:rsidRPr="0029729A" w:rsidRDefault="008C298B" w:rsidP="00073271">
      <w:pPr>
        <w:pStyle w:val="Heading1"/>
        <w:rPr>
          <w:color w:val="000000" w:themeColor="text1"/>
          <w:sz w:val="32"/>
          <w:szCs w:val="32"/>
        </w:rPr>
      </w:pPr>
      <w:bookmarkStart w:id="5" w:name="_Toc199255802"/>
      <w:r w:rsidRPr="008C298B">
        <w:lastRenderedPageBreak/>
        <w:t xml:space="preserve">Economic Impact of the 2023 Formula 1® Australian </w:t>
      </w:r>
      <w:r w:rsidRPr="003D1F66">
        <w:t>Grand</w:t>
      </w:r>
      <w:r w:rsidRPr="008C298B">
        <w:t xml:space="preserve"> Prix</w:t>
      </w:r>
      <w:bookmarkEnd w:id="3"/>
      <w:bookmarkEnd w:id="4"/>
      <w:bookmarkEnd w:id="5"/>
    </w:p>
    <w:p w14:paraId="0A75E4CB" w14:textId="77777777" w:rsidR="00E34DD7" w:rsidRPr="0052759C" w:rsidRDefault="00E34DD7" w:rsidP="00E34DD7">
      <w:r w:rsidRPr="0052759C">
        <w:t>3 November 2023</w:t>
      </w:r>
    </w:p>
    <w:p w14:paraId="273657B9" w14:textId="7FD86A2A" w:rsidR="008D751B" w:rsidRPr="008D751B" w:rsidRDefault="008D751B" w:rsidP="008D751B">
      <w:r w:rsidRPr="008D751B">
        <w:t>In accordance with the procedures set out in our Proposal dated 18 July 2023 and Purchase Order dated 24 July 2023, Ernst and</w:t>
      </w:r>
      <w:r w:rsidR="00CE3519">
        <w:t xml:space="preserve"> </w:t>
      </w:r>
      <w:r w:rsidRPr="008D751B">
        <w:t>Young (“we” or “EY”) has been engaged by Department of Jobs, Skills, Industry &amp; Regions (DJSIR) (“you” or “client”) to undertake an economic impact analysis of the 2023 Formula 1 Australian Grand Prix (“Event”). The enclosed report (the “Report”) sets out the outcomes of our work. You should read the Report in its entirety. A reference</w:t>
      </w:r>
      <w:r w:rsidR="00CE3519">
        <w:t xml:space="preserve"> </w:t>
      </w:r>
      <w:r w:rsidRPr="008D751B">
        <w:t>to</w:t>
      </w:r>
      <w:r w:rsidR="00CE3519">
        <w:t xml:space="preserve"> </w:t>
      </w:r>
      <w:r w:rsidRPr="008D751B">
        <w:t>the report includes any part of the Report.</w:t>
      </w:r>
    </w:p>
    <w:p w14:paraId="6AD029C6" w14:textId="23AB10F7" w:rsidR="008D751B" w:rsidRPr="008D751B" w:rsidRDefault="008D751B" w:rsidP="008D751B">
      <w:r w:rsidRPr="008D751B">
        <w:t>We understand that the deliverable by EY will be used for the purpose of demonstrating the economic impact of the 2023 Formula 1</w:t>
      </w:r>
      <w:r w:rsidR="005B148D">
        <w:t xml:space="preserve"> </w:t>
      </w:r>
      <w:r w:rsidRPr="008D751B">
        <w:t>Australian Grand Prix (the “Purpose”). This Report was prepared on the specific instructions of undertaking an economic impact analysis. It does not include a full cost benefit analysis of the event as this was not part of the agreed scope.</w:t>
      </w:r>
    </w:p>
    <w:p w14:paraId="4EDF7B67" w14:textId="77777777" w:rsidR="008D751B" w:rsidRPr="008D751B" w:rsidRDefault="008D751B" w:rsidP="008D751B">
      <w:r w:rsidRPr="008D751B">
        <w:t xml:space="preserve">Our conclusions are based, in part, on the assumptions stated and on information provided by the Australian Grand Prix Corporation (AGPC) and other information sources used </w:t>
      </w:r>
      <w:proofErr w:type="gramStart"/>
      <w:r w:rsidRPr="008D751B">
        <w:t>during the course of</w:t>
      </w:r>
      <w:proofErr w:type="gramEnd"/>
      <w:r w:rsidRPr="008D751B">
        <w:t xml:space="preserve"> the engagement. The modelled outcomes are contingent on the collection of assumptions as agreed with the AGPC and DJSIR and no consideration of other market events, announcements or other changing circumstances are reflected in this Report. </w:t>
      </w:r>
    </w:p>
    <w:p w14:paraId="6E8DFC9A" w14:textId="55746088" w:rsidR="008D751B" w:rsidRPr="008D751B" w:rsidRDefault="008D751B" w:rsidP="008D751B">
      <w:r w:rsidRPr="008D751B">
        <w:t>Thank you to both the AGPC and DJSIR teams for your assistance during the delivery of our work.</w:t>
      </w:r>
      <w:r w:rsidR="00CE3519">
        <w:t xml:space="preserve"> </w:t>
      </w:r>
      <w:r w:rsidRPr="008D751B">
        <w:t>If you would like to clarify any</w:t>
      </w:r>
      <w:r w:rsidR="00CE3519">
        <w:t xml:space="preserve"> </w:t>
      </w:r>
      <w:r w:rsidRPr="008D751B">
        <w:t>aspect of this Report or discuss other related matters, then please do not hesitate to contact me.</w:t>
      </w:r>
    </w:p>
    <w:p w14:paraId="58208625" w14:textId="77777777" w:rsidR="008D751B" w:rsidRPr="008D751B" w:rsidRDefault="008D751B" w:rsidP="008D751B">
      <w:r w:rsidRPr="008D751B">
        <w:t>Yours sincerely</w:t>
      </w:r>
    </w:p>
    <w:p w14:paraId="72C7305A" w14:textId="77777777" w:rsidR="008D751B" w:rsidRPr="008D751B" w:rsidRDefault="008D751B" w:rsidP="008D751B">
      <w:r w:rsidRPr="008D751B">
        <w:t>Matt Colston</w:t>
      </w:r>
    </w:p>
    <w:p w14:paraId="5E96D0A6" w14:textId="77777777" w:rsidR="008D751B" w:rsidRPr="008D751B" w:rsidRDefault="008D751B" w:rsidP="008D751B">
      <w:r w:rsidRPr="008D751B">
        <w:t>Associate Partner</w:t>
      </w:r>
    </w:p>
    <w:p w14:paraId="3B59305F" w14:textId="343213DB" w:rsidR="00BA111B" w:rsidRDefault="008D751B" w:rsidP="008D751B">
      <w:r w:rsidRPr="008D751B">
        <w:t>Asia Pacific Leader –</w:t>
      </w:r>
      <w:r w:rsidR="004C6ADF">
        <w:t xml:space="preserve"> </w:t>
      </w:r>
      <w:r w:rsidRPr="008D751B">
        <w:t>EY Sports, Events and Venues Advisory</w:t>
      </w:r>
    </w:p>
    <w:p w14:paraId="26FB2468" w14:textId="77777777" w:rsidR="0052759C" w:rsidRDefault="0052759C" w:rsidP="0052759C">
      <w:r w:rsidRPr="0052759C">
        <w:t>Ernst &amp; Young</w:t>
      </w:r>
    </w:p>
    <w:p w14:paraId="1FC45DAA" w14:textId="28A71BE8" w:rsidR="0052759C" w:rsidRDefault="0052759C" w:rsidP="0052759C">
      <w:r>
        <w:t>EY Building a better working world</w:t>
      </w:r>
    </w:p>
    <w:p w14:paraId="0BB060A2" w14:textId="7B08E84A" w:rsidR="0052759C" w:rsidRPr="0052759C" w:rsidRDefault="0052759C" w:rsidP="0052759C">
      <w:r w:rsidRPr="0052759C">
        <w:t xml:space="preserve">8 Exhibition Street </w:t>
      </w:r>
    </w:p>
    <w:p w14:paraId="0877E455" w14:textId="168EB440" w:rsidR="0052759C" w:rsidRPr="0052759C" w:rsidRDefault="00D878DD" w:rsidP="0052759C">
      <w:r w:rsidRPr="0052759C">
        <w:t>Melbourne VIC</w:t>
      </w:r>
      <w:r w:rsidR="0052759C" w:rsidRPr="0052759C">
        <w:t xml:space="preserve">  </w:t>
      </w:r>
      <w:r w:rsidRPr="0052759C">
        <w:t>3000 Australia</w:t>
      </w:r>
    </w:p>
    <w:p w14:paraId="7A7F58EB" w14:textId="51624C4D" w:rsidR="0052759C" w:rsidRPr="0052759C" w:rsidRDefault="0052759C" w:rsidP="0052759C">
      <w:r w:rsidRPr="0052759C">
        <w:t xml:space="preserve">GPO Box 67 </w:t>
      </w:r>
      <w:r w:rsidR="00D878DD" w:rsidRPr="0052759C">
        <w:t>Melbourne VIC</w:t>
      </w:r>
      <w:r w:rsidRPr="0052759C">
        <w:t xml:space="preserve">  3001</w:t>
      </w:r>
    </w:p>
    <w:p w14:paraId="7E9DF26B" w14:textId="77777777" w:rsidR="0052759C" w:rsidRPr="0052759C" w:rsidRDefault="0052759C" w:rsidP="0052759C">
      <w:r w:rsidRPr="0052759C">
        <w:t>Tel: +61 3 9288 8000</w:t>
      </w:r>
    </w:p>
    <w:p w14:paraId="0C69F8D9" w14:textId="77777777" w:rsidR="0052759C" w:rsidRPr="0052759C" w:rsidRDefault="0052759C" w:rsidP="0052759C">
      <w:r w:rsidRPr="0052759C">
        <w:t>Fax: +61 3 8650 7777</w:t>
      </w:r>
    </w:p>
    <w:p w14:paraId="587C5EB1" w14:textId="77777777" w:rsidR="0052759C" w:rsidRDefault="0052759C" w:rsidP="0052759C">
      <w:r w:rsidRPr="0052759C">
        <w:t>ey.com/au</w:t>
      </w:r>
    </w:p>
    <w:p w14:paraId="29CA41B1" w14:textId="66B09FCD" w:rsidR="0052759C" w:rsidRDefault="004C6ADF" w:rsidP="008D751B">
      <w:r w:rsidRPr="004C6ADF">
        <w:t>A member firm of Ernst and Young Global Limited. Liability limited by a scheme approved under Professional Standards Legislation</w:t>
      </w:r>
      <w:r w:rsidR="00070C64">
        <w:br w:type="page"/>
      </w:r>
    </w:p>
    <w:p w14:paraId="3A921D88" w14:textId="5D6F56D4" w:rsidR="00BA111B" w:rsidRDefault="007E24BE" w:rsidP="00A933F0">
      <w:pPr>
        <w:pStyle w:val="Heading1"/>
      </w:pPr>
      <w:bookmarkStart w:id="6" w:name="_Toc198738845"/>
      <w:bookmarkStart w:id="7" w:name="_Toc199255803"/>
      <w:r w:rsidRPr="007E24BE">
        <w:lastRenderedPageBreak/>
        <w:t>1.</w:t>
      </w:r>
      <w:r>
        <w:t xml:space="preserve"> </w:t>
      </w:r>
      <w:r w:rsidR="00BA111B" w:rsidRPr="00BA111B">
        <w:t xml:space="preserve">Executive </w:t>
      </w:r>
      <w:r w:rsidR="00BA111B" w:rsidRPr="00E62C9C">
        <w:t>Summary</w:t>
      </w:r>
      <w:bookmarkEnd w:id="6"/>
      <w:bookmarkEnd w:id="7"/>
    </w:p>
    <w:p w14:paraId="4963928F" w14:textId="77777777" w:rsidR="00CE3519" w:rsidRPr="00CE3519" w:rsidRDefault="00CE3519" w:rsidP="00852577">
      <w:pPr>
        <w:pStyle w:val="Heading2"/>
      </w:pPr>
      <w:bookmarkStart w:id="8" w:name="_Toc198738846"/>
      <w:bookmarkStart w:id="9" w:name="_Toc199255804"/>
      <w:r w:rsidRPr="00CE3519">
        <w:t>Summary</w:t>
      </w:r>
      <w:bookmarkEnd w:id="8"/>
      <w:bookmarkEnd w:id="9"/>
    </w:p>
    <w:p w14:paraId="0BFA4128" w14:textId="4F7860C6" w:rsidR="00CE3519" w:rsidRPr="00CE3519" w:rsidRDefault="00CE3519" w:rsidP="00E1390D">
      <w:pPr>
        <w:pStyle w:val="ListParagraph"/>
        <w:numPr>
          <w:ilvl w:val="0"/>
          <w:numId w:val="26"/>
        </w:numPr>
      </w:pPr>
      <w:r w:rsidRPr="00CE3519">
        <w:t xml:space="preserve">The 2023 F1® Australian Grand Prix (2023 F1® GP) hosted in Melbourne proved to be one of the most exciting races hosted in Melbourne in recent years. The event drew its largest crowd since the 1996 Melbourne F1 Grand Prix, setting a </w:t>
      </w:r>
      <w:proofErr w:type="gramStart"/>
      <w:r w:rsidRPr="00CE3519">
        <w:t>new record</w:t>
      </w:r>
      <w:proofErr w:type="gramEnd"/>
      <w:r w:rsidRPr="00CE3519">
        <w:t xml:space="preserve"> with total attendance over the four days of 444,631, 25,000 more than in 202</w:t>
      </w:r>
      <w:r w:rsidR="007679F4">
        <w:t xml:space="preserve">2 </w:t>
      </w:r>
      <w:hyperlink w:anchor="ref1" w:history="1">
        <w:r w:rsidR="007679F4" w:rsidRPr="005474A4">
          <w:rPr>
            <w:rStyle w:val="Hyperlink"/>
          </w:rPr>
          <w:t>[1]</w:t>
        </w:r>
      </w:hyperlink>
      <w:r w:rsidR="005474A4">
        <w:t>.</w:t>
      </w:r>
    </w:p>
    <w:p w14:paraId="1AA260C5" w14:textId="77777777" w:rsidR="00CE3519" w:rsidRPr="00CE3519" w:rsidRDefault="00CE3519" w:rsidP="00E1390D">
      <w:pPr>
        <w:pStyle w:val="ListParagraph"/>
        <w:numPr>
          <w:ilvl w:val="0"/>
          <w:numId w:val="26"/>
        </w:numPr>
      </w:pPr>
      <w:r w:rsidRPr="00CE3519">
        <w:t>In July 2023, DJSIR engaged EY to independently assess the impact of the 2023 F1® GP to Victoria. The methodology used for this study has been applied by EY in numerous assessments of major sporting and cultural events and is accepted by major event bodies and government departments across Australia.</w:t>
      </w:r>
    </w:p>
    <w:p w14:paraId="626712BF" w14:textId="77777777" w:rsidR="00CE3519" w:rsidRPr="00CE3519" w:rsidRDefault="00CE3519" w:rsidP="00E1390D">
      <w:pPr>
        <w:pStyle w:val="ListParagraph"/>
        <w:numPr>
          <w:ilvl w:val="0"/>
          <w:numId w:val="26"/>
        </w:numPr>
      </w:pPr>
      <w:r w:rsidRPr="00CE3519">
        <w:t>The event is estimated to have delivered a total economic impact of $268m, including $144m in direct expenditure and supported 1,149 jobs.</w:t>
      </w:r>
    </w:p>
    <w:p w14:paraId="27471788" w14:textId="65930F49" w:rsidR="00CE3519" w:rsidRPr="00CE3519" w:rsidRDefault="00CE3519" w:rsidP="00E1390D">
      <w:pPr>
        <w:pStyle w:val="ListParagraph"/>
        <w:numPr>
          <w:ilvl w:val="0"/>
          <w:numId w:val="26"/>
        </w:numPr>
      </w:pPr>
      <w:r w:rsidRPr="00CE3519">
        <w:t>For every dollar of Victorian State Government operational investment into the event, the F1® GP event generated an estimated</w:t>
      </w:r>
      <w:r w:rsidR="00906B32">
        <w:t xml:space="preserve"> </w:t>
      </w:r>
      <w:r w:rsidRPr="00CE3519">
        <w:t>$2.66 in economic impact to Victoria</w:t>
      </w:r>
      <w:r w:rsidR="00597FF3">
        <w:t xml:space="preserve"> </w:t>
      </w:r>
      <w:hyperlink w:anchor="ref003" w:history="1">
        <w:r w:rsidR="00597FF3" w:rsidRPr="00B0775A">
          <w:rPr>
            <w:rStyle w:val="Hyperlink"/>
          </w:rPr>
          <w:t>[</w:t>
        </w:r>
        <w:r w:rsidR="00D22B04" w:rsidRPr="00B0775A">
          <w:rPr>
            <w:rStyle w:val="Hyperlink"/>
          </w:rPr>
          <w:t>3]</w:t>
        </w:r>
      </w:hyperlink>
    </w:p>
    <w:p w14:paraId="6D5E96B1" w14:textId="21E0EE2B" w:rsidR="00CE3519" w:rsidRPr="00CE3519" w:rsidRDefault="00CE3519" w:rsidP="00E1390D">
      <w:pPr>
        <w:pStyle w:val="ListParagraph"/>
        <w:numPr>
          <w:ilvl w:val="0"/>
          <w:numId w:val="26"/>
        </w:numPr>
      </w:pPr>
      <w:r w:rsidRPr="00CE3519">
        <w:t>A summary of the key findings of the impact of the event on Victoria is provided below</w:t>
      </w:r>
      <w:r w:rsidR="00D22B04">
        <w:t>.</w:t>
      </w:r>
    </w:p>
    <w:p w14:paraId="0B09F074" w14:textId="0C1F023A" w:rsidR="00CE3519" w:rsidRDefault="006068B6" w:rsidP="00A078D7">
      <w:pPr>
        <w:pStyle w:val="Heading3"/>
      </w:pPr>
      <w:bookmarkStart w:id="10" w:name="_Toc198738847"/>
      <w:bookmarkStart w:id="11" w:name="_Toc199255805"/>
      <w:r>
        <w:t>Economic impact of the F1® GP 2023 on Victoria</w:t>
      </w:r>
      <w:bookmarkEnd w:id="10"/>
      <w:bookmarkEnd w:id="11"/>
    </w:p>
    <w:p w14:paraId="69726625" w14:textId="1C6ECF01" w:rsidR="006254F1" w:rsidRPr="006254F1" w:rsidRDefault="006254F1" w:rsidP="006254F1">
      <w:r w:rsidRPr="006254F1">
        <w:t>Estimated economic impact to Victoria</w:t>
      </w:r>
    </w:p>
    <w:tbl>
      <w:tblPr>
        <w:tblStyle w:val="TableGrid"/>
        <w:tblpPr w:leftFromText="180" w:rightFromText="180" w:vertAnchor="text" w:horzAnchor="margin" w:tblpY="63"/>
        <w:tblW w:w="0" w:type="auto"/>
        <w:tblLook w:val="04A0" w:firstRow="1" w:lastRow="0" w:firstColumn="1" w:lastColumn="0" w:noHBand="0" w:noVBand="1"/>
      </w:tblPr>
      <w:tblGrid>
        <w:gridCol w:w="4508"/>
        <w:gridCol w:w="4508"/>
      </w:tblGrid>
      <w:tr w:rsidR="006068B6" w14:paraId="08ECE270" w14:textId="77777777" w:rsidTr="006068B6">
        <w:tc>
          <w:tcPr>
            <w:tcW w:w="4508" w:type="dxa"/>
          </w:tcPr>
          <w:p w14:paraId="47817C56" w14:textId="77777777" w:rsidR="006068B6" w:rsidRDefault="006068B6" w:rsidP="006068B6">
            <w:r w:rsidRPr="00BA111B">
              <w:t>Direct expenditure</w:t>
            </w:r>
          </w:p>
        </w:tc>
        <w:tc>
          <w:tcPr>
            <w:tcW w:w="4508" w:type="dxa"/>
          </w:tcPr>
          <w:p w14:paraId="4D8BD811" w14:textId="3EA80114" w:rsidR="006068B6" w:rsidRDefault="006068B6" w:rsidP="006068B6">
            <w:r w:rsidRPr="00BA111B">
              <w:t>$</w:t>
            </w:r>
            <w:r>
              <w:t>144</w:t>
            </w:r>
            <w:r w:rsidRPr="00BA111B">
              <w:t>m</w:t>
            </w:r>
          </w:p>
        </w:tc>
      </w:tr>
      <w:tr w:rsidR="006068B6" w14:paraId="00232DA6" w14:textId="77777777" w:rsidTr="006068B6">
        <w:tc>
          <w:tcPr>
            <w:tcW w:w="4508" w:type="dxa"/>
          </w:tcPr>
          <w:p w14:paraId="02B7A980" w14:textId="77777777" w:rsidR="006068B6" w:rsidRDefault="006068B6" w:rsidP="006068B6">
            <w:r w:rsidRPr="00BA111B">
              <w:t xml:space="preserve">Economic impact </w:t>
            </w:r>
          </w:p>
        </w:tc>
        <w:tc>
          <w:tcPr>
            <w:tcW w:w="4508" w:type="dxa"/>
          </w:tcPr>
          <w:p w14:paraId="5AEE3990" w14:textId="63AC004D" w:rsidR="006068B6" w:rsidRDefault="006068B6" w:rsidP="006068B6">
            <w:r w:rsidRPr="00BA111B">
              <w:t>$</w:t>
            </w:r>
            <w:r>
              <w:t>268</w:t>
            </w:r>
            <w:r w:rsidRPr="00BA111B">
              <w:t>m</w:t>
            </w:r>
          </w:p>
        </w:tc>
      </w:tr>
      <w:tr w:rsidR="006068B6" w14:paraId="23A54A92" w14:textId="77777777" w:rsidTr="006068B6">
        <w:tc>
          <w:tcPr>
            <w:tcW w:w="4508" w:type="dxa"/>
          </w:tcPr>
          <w:p w14:paraId="609AE5BC" w14:textId="77777777" w:rsidR="006068B6" w:rsidRDefault="006068B6" w:rsidP="006068B6">
            <w:r w:rsidRPr="00BA111B">
              <w:t>Total annualised FTE employment</w:t>
            </w:r>
          </w:p>
        </w:tc>
        <w:tc>
          <w:tcPr>
            <w:tcW w:w="4508" w:type="dxa"/>
          </w:tcPr>
          <w:p w14:paraId="316C527D" w14:textId="53AC4F2F" w:rsidR="006068B6" w:rsidRDefault="006068B6" w:rsidP="006068B6">
            <w:r>
              <w:t>1,149</w:t>
            </w:r>
            <w:r w:rsidRPr="00BA111B">
              <w:t xml:space="preserve"> FTE</w:t>
            </w:r>
          </w:p>
        </w:tc>
      </w:tr>
    </w:tbl>
    <w:p w14:paraId="0001EF7C" w14:textId="1DB53A12" w:rsidR="00CE3519" w:rsidRPr="006068B6" w:rsidRDefault="006068B6" w:rsidP="006068B6">
      <w:pPr>
        <w:spacing w:before="120"/>
      </w:pPr>
      <w:r w:rsidRPr="006068B6">
        <w:t>Total direct expenditure increased from $92m in 2022 to $144m in 2023, largely due to an increase in interstate and international visitation to Victoria</w:t>
      </w:r>
    </w:p>
    <w:p w14:paraId="59ACFAC9" w14:textId="4FD87F01" w:rsidR="00CE3519" w:rsidRDefault="00A63FC6" w:rsidP="00A63FC6">
      <w:r>
        <w:t>The event attracted an estimated 80,987 unique specific and extended (S&amp;E) stay visitors to Victoria</w:t>
      </w:r>
      <w:r w:rsidR="00822776">
        <w:t>. I</w:t>
      </w:r>
      <w:r>
        <w:t>.e. unique individuals who came specifically to Victoria or extended their stay in</w:t>
      </w:r>
      <w:r w:rsidR="00822776">
        <w:t xml:space="preserve"> </w:t>
      </w:r>
      <w:r>
        <w:t>Victoria to attend the event</w:t>
      </w:r>
      <w:r w:rsidR="00822776">
        <w:t>.</w:t>
      </w:r>
    </w:p>
    <w:p w14:paraId="00A28063" w14:textId="2AEB889A" w:rsidR="00822776" w:rsidRDefault="00822776" w:rsidP="00822776">
      <w:pPr>
        <w:pStyle w:val="ListParagraph"/>
        <w:numPr>
          <w:ilvl w:val="0"/>
          <w:numId w:val="1"/>
        </w:numPr>
      </w:pPr>
      <w:r>
        <w:t>444,631</w:t>
      </w:r>
      <w:r w:rsidRPr="00BA111B">
        <w:t xml:space="preserve"> Gross attendance </w:t>
      </w:r>
      <w:r>
        <w:t>(+6%)</w:t>
      </w:r>
    </w:p>
    <w:p w14:paraId="7178E2D0" w14:textId="77777777" w:rsidR="00322E46" w:rsidRDefault="00322E46" w:rsidP="00822776">
      <w:pPr>
        <w:pStyle w:val="ListParagraph"/>
        <w:numPr>
          <w:ilvl w:val="0"/>
          <w:numId w:val="1"/>
        </w:numPr>
      </w:pPr>
      <w:r w:rsidRPr="00322E46">
        <w:t xml:space="preserve">72,176 (+5%) </w:t>
      </w:r>
      <w:proofErr w:type="gramStart"/>
      <w:r w:rsidRPr="00322E46">
        <w:t>interstate</w:t>
      </w:r>
      <w:proofErr w:type="gramEnd"/>
    </w:p>
    <w:p w14:paraId="7D38C380" w14:textId="42AA517A" w:rsidR="00322E46" w:rsidRDefault="00322E46" w:rsidP="00322E46">
      <w:pPr>
        <w:pStyle w:val="ListParagraph"/>
        <w:numPr>
          <w:ilvl w:val="0"/>
          <w:numId w:val="1"/>
        </w:numPr>
      </w:pPr>
      <w:r>
        <w:t>8,811 (+36%) international</w:t>
      </w:r>
    </w:p>
    <w:p w14:paraId="25022E43" w14:textId="58221B21" w:rsidR="00822776" w:rsidRDefault="009A0887" w:rsidP="009A0887">
      <w:r>
        <w:t>Approximately 39% of tickets sold were purchased by females</w:t>
      </w:r>
      <w:r w:rsidR="00CE309C">
        <w:t xml:space="preserve"> </w:t>
      </w:r>
      <w:hyperlink w:anchor="ref002" w:history="1">
        <w:r w:rsidR="00CE309C" w:rsidRPr="00CE309C">
          <w:rPr>
            <w:rStyle w:val="Hyperlink"/>
          </w:rPr>
          <w:t>[2]</w:t>
        </w:r>
      </w:hyperlink>
      <w:r>
        <w:t xml:space="preserve"> up from 24% in 2019</w:t>
      </w:r>
      <w:r w:rsidR="00F503E0">
        <w:t xml:space="preserve"> (</w:t>
      </w:r>
      <w:r w:rsidR="00F503E0" w:rsidRPr="00F503E0">
        <w:t>AGPC, Spectator Survey 2023</w:t>
      </w:r>
      <w:r w:rsidR="00F503E0">
        <w:t>).</w:t>
      </w:r>
    </w:p>
    <w:p w14:paraId="5D716725" w14:textId="006F9D07" w:rsidR="00027CA3" w:rsidRPr="002B550B" w:rsidRDefault="00027CA3" w:rsidP="009A0887">
      <w:pPr>
        <w:rPr>
          <w:sz w:val="18"/>
          <w:szCs w:val="18"/>
        </w:rPr>
      </w:pPr>
      <w:r w:rsidRPr="002B550B">
        <w:rPr>
          <w:sz w:val="18"/>
          <w:szCs w:val="18"/>
        </w:rPr>
        <w:t>List of References</w:t>
      </w:r>
    </w:p>
    <w:p w14:paraId="5D567C9F" w14:textId="525E3D85" w:rsidR="00027CA3" w:rsidRPr="002B550B" w:rsidRDefault="00027CA3" w:rsidP="009A0887">
      <w:pPr>
        <w:rPr>
          <w:sz w:val="18"/>
          <w:szCs w:val="18"/>
        </w:rPr>
      </w:pPr>
      <w:bookmarkStart w:id="12" w:name="ref1"/>
      <w:bookmarkEnd w:id="12"/>
      <w:r w:rsidRPr="002B550B">
        <w:rPr>
          <w:sz w:val="18"/>
          <w:szCs w:val="18"/>
        </w:rPr>
        <w:t>[1]</w:t>
      </w:r>
      <w:r w:rsidR="00F029C2">
        <w:rPr>
          <w:sz w:val="18"/>
          <w:szCs w:val="18"/>
        </w:rPr>
        <w:t xml:space="preserve"> Read article:</w:t>
      </w:r>
      <w:r w:rsidR="00020627" w:rsidRPr="002B550B">
        <w:rPr>
          <w:sz w:val="18"/>
          <w:szCs w:val="18"/>
        </w:rPr>
        <w:t xml:space="preserve"> </w:t>
      </w:r>
      <w:hyperlink r:id="rId11" w:history="1">
        <w:r w:rsidR="00020627" w:rsidRPr="00B30E0D">
          <w:rPr>
            <w:rStyle w:val="Hyperlink"/>
            <w:sz w:val="18"/>
            <w:szCs w:val="18"/>
          </w:rPr>
          <w:t xml:space="preserve">ABC, Australian Grand Prix organisers </w:t>
        </w:r>
        <w:r w:rsidR="00A809E4" w:rsidRPr="00B30E0D">
          <w:rPr>
            <w:rStyle w:val="Hyperlink"/>
            <w:sz w:val="18"/>
            <w:szCs w:val="18"/>
          </w:rPr>
          <w:t>delighted</w:t>
        </w:r>
        <w:r w:rsidR="00020627" w:rsidRPr="00B30E0D">
          <w:rPr>
            <w:rStyle w:val="Hyperlink"/>
            <w:sz w:val="18"/>
            <w:szCs w:val="18"/>
          </w:rPr>
          <w:t xml:space="preserve"> at record </w:t>
        </w:r>
        <w:r w:rsidR="00C50D26" w:rsidRPr="00B30E0D">
          <w:rPr>
            <w:rStyle w:val="Hyperlink"/>
            <w:sz w:val="18"/>
            <w:szCs w:val="18"/>
          </w:rPr>
          <w:t>crowd after two years of cancellations’ April 2022</w:t>
        </w:r>
      </w:hyperlink>
    </w:p>
    <w:p w14:paraId="53B99015" w14:textId="7B0A3D4E" w:rsidR="00027CA3" w:rsidRPr="002B550B" w:rsidRDefault="00027CA3" w:rsidP="009A0887">
      <w:pPr>
        <w:rPr>
          <w:sz w:val="18"/>
          <w:szCs w:val="18"/>
        </w:rPr>
      </w:pPr>
      <w:bookmarkStart w:id="13" w:name="ref002"/>
      <w:bookmarkEnd w:id="13"/>
      <w:r w:rsidRPr="002B550B">
        <w:rPr>
          <w:sz w:val="18"/>
          <w:szCs w:val="18"/>
        </w:rPr>
        <w:t>[2]</w:t>
      </w:r>
      <w:r w:rsidR="00C50D26" w:rsidRPr="002B550B">
        <w:rPr>
          <w:sz w:val="18"/>
          <w:szCs w:val="18"/>
        </w:rPr>
        <w:t xml:space="preserve"> AGPC, Spectator </w:t>
      </w:r>
      <w:r w:rsidR="00A809E4" w:rsidRPr="002B550B">
        <w:rPr>
          <w:sz w:val="18"/>
          <w:szCs w:val="18"/>
        </w:rPr>
        <w:t>Survey</w:t>
      </w:r>
      <w:r w:rsidR="00C50D26" w:rsidRPr="002B550B">
        <w:rPr>
          <w:sz w:val="18"/>
          <w:szCs w:val="18"/>
        </w:rPr>
        <w:t xml:space="preserve"> 2023</w:t>
      </w:r>
    </w:p>
    <w:p w14:paraId="3B498C23" w14:textId="3038EA4B" w:rsidR="00027CA3" w:rsidRPr="002B550B" w:rsidRDefault="00027CA3" w:rsidP="009A0887">
      <w:pPr>
        <w:rPr>
          <w:sz w:val="18"/>
          <w:szCs w:val="18"/>
        </w:rPr>
      </w:pPr>
      <w:bookmarkStart w:id="14" w:name="ref003"/>
      <w:bookmarkEnd w:id="14"/>
      <w:r w:rsidRPr="002B550B">
        <w:rPr>
          <w:sz w:val="18"/>
          <w:szCs w:val="18"/>
        </w:rPr>
        <w:t>[3]</w:t>
      </w:r>
      <w:r w:rsidR="00C54C60" w:rsidRPr="002B550B">
        <w:rPr>
          <w:sz w:val="18"/>
          <w:szCs w:val="18"/>
        </w:rPr>
        <w:t xml:space="preserve"> This is not a full cost benefit </w:t>
      </w:r>
      <w:r w:rsidR="00A809E4" w:rsidRPr="002B550B">
        <w:rPr>
          <w:sz w:val="18"/>
          <w:szCs w:val="18"/>
        </w:rPr>
        <w:t>analysis;</w:t>
      </w:r>
      <w:r w:rsidR="00C54C60" w:rsidRPr="002B550B">
        <w:rPr>
          <w:sz w:val="18"/>
          <w:szCs w:val="18"/>
        </w:rPr>
        <w:t xml:space="preserve"> it is a comparison of the economic impact of the event </w:t>
      </w:r>
      <w:r w:rsidR="00A809E4" w:rsidRPr="002B550B">
        <w:rPr>
          <w:sz w:val="18"/>
          <w:szCs w:val="18"/>
        </w:rPr>
        <w:t>compared</w:t>
      </w:r>
      <w:r w:rsidR="00C54C60" w:rsidRPr="002B550B">
        <w:rPr>
          <w:sz w:val="18"/>
          <w:szCs w:val="18"/>
        </w:rPr>
        <w:t xml:space="preserve"> to Government operational support. A full CBA would </w:t>
      </w:r>
      <w:r w:rsidR="007F2AD8" w:rsidRPr="002B550B">
        <w:rPr>
          <w:sz w:val="18"/>
          <w:szCs w:val="18"/>
        </w:rPr>
        <w:t xml:space="preserve">include quantification of other benefits, </w:t>
      </w:r>
      <w:r w:rsidR="00A809E4" w:rsidRPr="002B550B">
        <w:rPr>
          <w:sz w:val="18"/>
          <w:szCs w:val="18"/>
        </w:rPr>
        <w:t>volunteerism</w:t>
      </w:r>
      <w:r w:rsidR="007F2AD8" w:rsidRPr="002B550B">
        <w:rPr>
          <w:sz w:val="18"/>
          <w:szCs w:val="18"/>
        </w:rPr>
        <w:t xml:space="preserve">, branding value, consumer surplus, civic pride and other benefits. The operational support from government is based </w:t>
      </w:r>
      <w:r w:rsidR="000E6B88" w:rsidRPr="002B550B">
        <w:rPr>
          <w:sz w:val="18"/>
          <w:szCs w:val="18"/>
        </w:rPr>
        <w:t>on preliminary unaudited numbers.</w:t>
      </w:r>
    </w:p>
    <w:p w14:paraId="528463EE" w14:textId="29D630C0" w:rsidR="00822776" w:rsidRDefault="00620D03" w:rsidP="00620D03">
      <w:r>
        <w:t>The 2023 F1® GP event attracted a gross attendance of 444,631, surpassing the record previously set in 2022 by over 25,000 visitors.</w:t>
      </w:r>
    </w:p>
    <w:p w14:paraId="2F325E2E" w14:textId="77777777" w:rsidR="00920D7B" w:rsidRPr="00920D7B" w:rsidRDefault="00920D7B" w:rsidP="00A078D7">
      <w:pPr>
        <w:pStyle w:val="Heading3"/>
      </w:pPr>
      <w:bookmarkStart w:id="15" w:name="_Toc198738848"/>
      <w:bookmarkStart w:id="16" w:name="_Toc199255806"/>
      <w:r w:rsidRPr="00920D7B">
        <w:lastRenderedPageBreak/>
        <w:t>Economic impact of the event has continued to grow</w:t>
      </w:r>
      <w:bookmarkEnd w:id="15"/>
      <w:bookmarkEnd w:id="16"/>
    </w:p>
    <w:p w14:paraId="3A53DF4E" w14:textId="77777777" w:rsidR="00920D7B" w:rsidRPr="00920D7B" w:rsidRDefault="00920D7B" w:rsidP="00920D7B">
      <w:r w:rsidRPr="00920D7B">
        <w:t xml:space="preserve">The F1® Australian GP has been a major feature on the Victorian major events calendar since 1996 and is one of Victoria’s most exciting sporting events. The 2023 F1® GP was held from March 30 –2 April. </w:t>
      </w:r>
    </w:p>
    <w:p w14:paraId="3EAA8FF3" w14:textId="77777777" w:rsidR="00920D7B" w:rsidRPr="00920D7B" w:rsidRDefault="00920D7B" w:rsidP="00920D7B">
      <w:r w:rsidRPr="00920D7B">
        <w:t xml:space="preserve">The 2023 F1® GP proved to be one of the largest and most successful Grand Prix’s in Melbourne to date. Off the back of a very successful 2022 event and with growing interest in the F1 </w:t>
      </w:r>
      <w:proofErr w:type="gramStart"/>
      <w:r w:rsidRPr="00920D7B">
        <w:t>as a result of</w:t>
      </w:r>
      <w:proofErr w:type="gramEnd"/>
      <w:r w:rsidRPr="00920D7B">
        <w:t xml:space="preserve"> the popular Netflix series </w:t>
      </w:r>
      <w:r w:rsidRPr="00920D7B">
        <w:rPr>
          <w:i/>
          <w:iCs/>
        </w:rPr>
        <w:t xml:space="preserve">Drive to Survive </w:t>
      </w:r>
      <w:r w:rsidRPr="00920D7B">
        <w:t xml:space="preserve">and new rules designed to increase competition amongst teams, there were record level ticket sales. The scope of the Melbourne GP event was also broadened in 2023 with the introduction of the Formula 2 and Formula 3 category championships.  </w:t>
      </w:r>
    </w:p>
    <w:p w14:paraId="3061243C" w14:textId="77777777" w:rsidR="00920D7B" w:rsidRPr="00920D7B" w:rsidRDefault="00920D7B" w:rsidP="00920D7B">
      <w:r w:rsidRPr="00920D7B">
        <w:t xml:space="preserve">The increased estimated economic impact of the event is driven by three fundamental factors: </w:t>
      </w:r>
    </w:p>
    <w:p w14:paraId="19B7EC2A" w14:textId="77777777" w:rsidR="00920D7B" w:rsidRPr="00920D7B" w:rsidRDefault="00920D7B" w:rsidP="00F50D39">
      <w:pPr>
        <w:pStyle w:val="ListParagraph"/>
        <w:numPr>
          <w:ilvl w:val="0"/>
          <w:numId w:val="27"/>
        </w:numPr>
      </w:pPr>
      <w:r w:rsidRPr="00920D7B">
        <w:t>Increased footfall: the rise in attendees, fuelled by enormous local and international hype around the sport</w:t>
      </w:r>
    </w:p>
    <w:p w14:paraId="3FEBBCFB" w14:textId="77777777" w:rsidR="00920D7B" w:rsidRPr="00920D7B" w:rsidRDefault="00920D7B" w:rsidP="00F50D39">
      <w:pPr>
        <w:pStyle w:val="ListParagraph"/>
        <w:numPr>
          <w:ilvl w:val="0"/>
          <w:numId w:val="27"/>
        </w:numPr>
      </w:pPr>
      <w:r w:rsidRPr="00920D7B">
        <w:t xml:space="preserve">Change in visitor origin: the increase in interstate and international spectators </w:t>
      </w:r>
    </w:p>
    <w:p w14:paraId="794B5F33" w14:textId="30C00390" w:rsidR="00920D7B" w:rsidRPr="00920D7B" w:rsidRDefault="00920D7B" w:rsidP="00F50D39">
      <w:pPr>
        <w:pStyle w:val="ListParagraph"/>
        <w:numPr>
          <w:ilvl w:val="0"/>
          <w:numId w:val="27"/>
        </w:numPr>
      </w:pPr>
      <w:proofErr w:type="gramStart"/>
      <w:r w:rsidRPr="00920D7B">
        <w:t>Visitor</w:t>
      </w:r>
      <w:proofErr w:type="gramEnd"/>
      <w:r w:rsidRPr="00920D7B">
        <w:t xml:space="preserve"> </w:t>
      </w:r>
      <w:proofErr w:type="gramStart"/>
      <w:r w:rsidRPr="00920D7B">
        <w:t>spend:</w:t>
      </w:r>
      <w:proofErr w:type="gramEnd"/>
      <w:r w:rsidRPr="00920D7B">
        <w:t xml:space="preserve"> increased spending by spectators, participants and officials attending the event on accommodation, transport, food and retail due to inflation over the last year. </w:t>
      </w:r>
    </w:p>
    <w:p w14:paraId="0A2DAFB0" w14:textId="77777777" w:rsidR="00BA149B" w:rsidRPr="00BA149B" w:rsidRDefault="00920D7B" w:rsidP="00BA149B">
      <w:r w:rsidRPr="00920D7B">
        <w:t>In previous years, the economic impact of the event has been constrained by increased barriers to travel as the world dealt with the aftermath of COVID-19. While the 2022 F1® GP marked the return of the event in Melbourne, it was 2023 when restrictions were fully lifted and interstate and international visitors who may</w:t>
      </w:r>
      <w:r w:rsidR="00BA149B">
        <w:t xml:space="preserve"> </w:t>
      </w:r>
      <w:r w:rsidR="00BA149B" w:rsidRPr="00BA149B">
        <w:t xml:space="preserve">have been hesitant to travel in 2022, once again returned to Melbourne. </w:t>
      </w:r>
    </w:p>
    <w:p w14:paraId="15B9B8A0" w14:textId="058F5BE3" w:rsidR="00BA149B" w:rsidRPr="00BA149B" w:rsidRDefault="00BA149B" w:rsidP="00BA149B">
      <w:r w:rsidRPr="00BA149B">
        <w:t xml:space="preserve">Gross event attendance was 444,631 over the </w:t>
      </w:r>
      <w:r w:rsidR="00937869" w:rsidRPr="00BA149B">
        <w:t>four-day</w:t>
      </w:r>
      <w:r w:rsidRPr="00BA149B">
        <w:t xml:space="preserve"> event. Interstate specific and extended visitation increased by approximately 5% (from an estimated ~69,000 in 2022 to ~72,000 in 2023). Additionally, international specific and extended stay visitors increased by 36% (from an estimated ~6,500 in 2022</w:t>
      </w:r>
      <w:r w:rsidR="00711E6F">
        <w:t xml:space="preserve"> </w:t>
      </w:r>
      <w:r w:rsidRPr="00BA149B">
        <w:t>to ~8,800 in 2023)</w:t>
      </w:r>
      <w:r w:rsidR="00385ADB">
        <w:t xml:space="preserve"> (</w:t>
      </w:r>
      <w:r w:rsidR="008C30B0">
        <w:t>2022 data based on the</w:t>
      </w:r>
      <w:r w:rsidR="00385ADB" w:rsidRPr="00385ADB">
        <w:t xml:space="preserve"> 2022 Ticketmaster data</w:t>
      </w:r>
      <w:r w:rsidR="00385ADB">
        <w:t>)</w:t>
      </w:r>
      <w:r w:rsidRPr="00BA149B">
        <w:t>.</w:t>
      </w:r>
    </w:p>
    <w:p w14:paraId="10EC82C2" w14:textId="77777777" w:rsidR="00BA149B" w:rsidRPr="00BA149B" w:rsidRDefault="00BA149B" w:rsidP="00BA149B">
      <w:r w:rsidRPr="00BA149B">
        <w:t xml:space="preserve">Female spectators continued to grow, with approximately 39% of ticket purchases by females, which is comparable to 38% in 2022 and considerably above 24% in 2019. </w:t>
      </w:r>
    </w:p>
    <w:p w14:paraId="5C60FB88" w14:textId="0E2FD144" w:rsidR="00BA149B" w:rsidRPr="00BA149B" w:rsidRDefault="00BA149B" w:rsidP="00637D87">
      <w:pPr>
        <w:pStyle w:val="Heading3"/>
      </w:pPr>
      <w:bookmarkStart w:id="17" w:name="_Toc199255807"/>
      <w:r w:rsidRPr="00BA149B">
        <w:t xml:space="preserve">Return on </w:t>
      </w:r>
      <w:r w:rsidR="009D673A">
        <w:t>g</w:t>
      </w:r>
      <w:r w:rsidRPr="00BA149B">
        <w:t>overnment investment</w:t>
      </w:r>
      <w:bookmarkEnd w:id="17"/>
      <w:r w:rsidRPr="00BA149B">
        <w:t xml:space="preserve"> </w:t>
      </w:r>
    </w:p>
    <w:p w14:paraId="0F9E6CF2" w14:textId="6F7D2389" w:rsidR="00BA149B" w:rsidRPr="00BA149B" w:rsidRDefault="00BA149B" w:rsidP="00BA149B">
      <w:r w:rsidRPr="00BA149B">
        <w:t>The 2023 event received a total $100.6m in government operational support (up $22.5m on the $78.1m of support provided in 2022)</w:t>
      </w:r>
      <w:r w:rsidR="009311A9">
        <w:t xml:space="preserve"> </w:t>
      </w:r>
      <w:hyperlink w:anchor="ref0002" w:history="1">
        <w:r w:rsidR="00BE3D20" w:rsidRPr="004134B7">
          <w:rPr>
            <w:rStyle w:val="Hyperlink"/>
          </w:rPr>
          <w:t>[2]</w:t>
        </w:r>
      </w:hyperlink>
      <w:r w:rsidR="007A3F3C">
        <w:t xml:space="preserve"> </w:t>
      </w:r>
    </w:p>
    <w:p w14:paraId="5699D134" w14:textId="4BC63FE7" w:rsidR="004D4711" w:rsidRDefault="00BA149B" w:rsidP="00BA149B">
      <w:r w:rsidRPr="00BA149B">
        <w:t>The event delivered a total of $144m in direct expenditure and $268m in GSP (in comparison to the 2022 event which delivered $92m in direct expenditure and $171m in GSP).</w:t>
      </w:r>
    </w:p>
    <w:p w14:paraId="02935C43" w14:textId="1764F921" w:rsidR="004D4711" w:rsidRDefault="00E13ED7" w:rsidP="00A63FC6">
      <w:r w:rsidRPr="00E13ED7">
        <w:t>While this report has not undertaken a full cost benefit analysis of the event, the ratio of Government operational support to economic impact demonstrates a continued return on investment for Government.</w:t>
      </w:r>
    </w:p>
    <w:p w14:paraId="0A52FBF0" w14:textId="317197FC" w:rsidR="00E13ED7" w:rsidRDefault="00900449" w:rsidP="00E13ED7">
      <w:r>
        <w:t>“</w:t>
      </w:r>
      <w:r w:rsidR="00E13ED7">
        <w:t>For every dollar of Victorian State Government investment in the operations, the F1 ® GP event generated an estimated $2.66 in economic impact to Victoria</w:t>
      </w:r>
      <w:r>
        <w:t xml:space="preserve">” </w:t>
      </w:r>
      <w:hyperlink w:anchor="ref0002" w:history="1">
        <w:r w:rsidRPr="004B088C">
          <w:rPr>
            <w:rStyle w:val="Hyperlink"/>
          </w:rPr>
          <w:t>[2]</w:t>
        </w:r>
      </w:hyperlink>
      <w:r w:rsidR="00E13ED7">
        <w:t xml:space="preserve"> </w:t>
      </w:r>
    </w:p>
    <w:p w14:paraId="6276F3EE" w14:textId="38AE1508" w:rsidR="001F0BAB" w:rsidRPr="007A4324" w:rsidRDefault="001F0BAB" w:rsidP="001F0BAB">
      <w:pPr>
        <w:rPr>
          <w:lang w:val="en-US"/>
        </w:rPr>
      </w:pPr>
      <w:r w:rsidRPr="007A4324">
        <w:rPr>
          <w:lang w:val="en-US"/>
        </w:rPr>
        <w:t>Total Attendance at Melbourne F1 Grand Prix</w:t>
      </w:r>
      <w:r>
        <w:rPr>
          <w:lang w:val="en-US"/>
        </w:rPr>
        <w:t xml:space="preserve"> </w:t>
      </w:r>
      <w:hyperlink w:anchor="ref0003" w:history="1">
        <w:r w:rsidR="003B1D6F" w:rsidRPr="003B1D6F">
          <w:rPr>
            <w:rStyle w:val="Hyperlink"/>
            <w:lang w:val="en-US"/>
          </w:rPr>
          <w:t>[3]</w:t>
        </w:r>
      </w:hyperlink>
    </w:p>
    <w:p w14:paraId="0878D917" w14:textId="77777777" w:rsidR="001F0BAB" w:rsidRPr="007A4324" w:rsidRDefault="001F0BAB" w:rsidP="001F0BAB">
      <w:pPr>
        <w:rPr>
          <w:lang w:val="en-US"/>
        </w:rPr>
      </w:pPr>
      <w:r w:rsidRPr="007A4324">
        <w:rPr>
          <w:lang w:val="en-US"/>
        </w:rPr>
        <w:t xml:space="preserve">This table provides </w:t>
      </w:r>
      <w:r>
        <w:rPr>
          <w:lang w:val="en-US"/>
        </w:rPr>
        <w:t>the t</w:t>
      </w:r>
      <w:r w:rsidRPr="007A4324">
        <w:rPr>
          <w:lang w:val="en-US"/>
        </w:rPr>
        <w:t xml:space="preserve">otal attendance at Melbourne F1 Grand Prix since 1996. It lists the approximate total attendance for each year, measured in thousands ('000s). The events in </w:t>
      </w:r>
      <w:r w:rsidRPr="007A4324">
        <w:rPr>
          <w:lang w:val="en-US"/>
        </w:rPr>
        <w:lastRenderedPageBreak/>
        <w:t>2020 and 2021 were cancelled due to the COVID-19 pandemic and therefore recorded no attendance figures.</w:t>
      </w:r>
    </w:p>
    <w:tbl>
      <w:tblPr>
        <w:tblStyle w:val="GridTable4"/>
        <w:tblW w:w="0" w:type="auto"/>
        <w:tblLook w:val="06A0" w:firstRow="1" w:lastRow="0" w:firstColumn="1" w:lastColumn="0" w:noHBand="1" w:noVBand="1"/>
      </w:tblPr>
      <w:tblGrid>
        <w:gridCol w:w="617"/>
        <w:gridCol w:w="2017"/>
      </w:tblGrid>
      <w:tr w:rsidR="001F0BAB" w:rsidRPr="007A4324" w14:paraId="6AAE0169" w14:textId="77777777" w:rsidTr="006254F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F2D02DA" w14:textId="77777777" w:rsidR="001F0BAB" w:rsidRPr="007A4324" w:rsidRDefault="001F0BAB" w:rsidP="00142BC1">
            <w:pPr>
              <w:spacing w:after="160"/>
              <w:rPr>
                <w:rFonts w:cs="Arial"/>
                <w:sz w:val="18"/>
                <w:szCs w:val="18"/>
                <w:lang w:val="en-US"/>
              </w:rPr>
            </w:pPr>
            <w:r w:rsidRPr="007A4324">
              <w:rPr>
                <w:rFonts w:cs="Arial"/>
                <w:sz w:val="18"/>
                <w:szCs w:val="18"/>
                <w:lang w:val="en-US"/>
              </w:rPr>
              <w:t>Year</w:t>
            </w:r>
          </w:p>
        </w:tc>
        <w:tc>
          <w:tcPr>
            <w:tcW w:w="0" w:type="auto"/>
            <w:hideMark/>
          </w:tcPr>
          <w:p w14:paraId="1CD32137" w14:textId="77777777" w:rsidR="001F0BAB" w:rsidRPr="007A4324" w:rsidRDefault="001F0BAB" w:rsidP="00142BC1">
            <w:pPr>
              <w:spacing w:after="160"/>
              <w:cnfStyle w:val="100000000000" w:firstRow="1"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Attendance (approx.)</w:t>
            </w:r>
          </w:p>
        </w:tc>
      </w:tr>
      <w:tr w:rsidR="001F0BAB" w:rsidRPr="007A4324" w14:paraId="16B88F30"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0790F75" w14:textId="77777777" w:rsidR="001F0BAB" w:rsidRPr="007A4324" w:rsidRDefault="001F0BAB" w:rsidP="00142BC1">
            <w:pPr>
              <w:spacing w:after="160"/>
              <w:rPr>
                <w:rFonts w:cs="Arial"/>
                <w:sz w:val="18"/>
                <w:szCs w:val="18"/>
                <w:lang w:val="en-US"/>
              </w:rPr>
            </w:pPr>
            <w:r w:rsidRPr="007A4324">
              <w:rPr>
                <w:rFonts w:cs="Arial"/>
                <w:sz w:val="18"/>
                <w:szCs w:val="18"/>
                <w:lang w:val="en-US"/>
              </w:rPr>
              <w:t>1996</w:t>
            </w:r>
          </w:p>
        </w:tc>
        <w:tc>
          <w:tcPr>
            <w:tcW w:w="0" w:type="auto"/>
            <w:hideMark/>
          </w:tcPr>
          <w:p w14:paraId="2F52CE14"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400,000</w:t>
            </w:r>
          </w:p>
        </w:tc>
      </w:tr>
      <w:tr w:rsidR="001F0BAB" w:rsidRPr="007A4324" w14:paraId="2AD948C0"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159E793" w14:textId="77777777" w:rsidR="001F0BAB" w:rsidRPr="007A4324" w:rsidRDefault="001F0BAB" w:rsidP="00142BC1">
            <w:pPr>
              <w:spacing w:after="160"/>
              <w:rPr>
                <w:rFonts w:cs="Arial"/>
                <w:sz w:val="18"/>
                <w:szCs w:val="18"/>
                <w:lang w:val="en-US"/>
              </w:rPr>
            </w:pPr>
            <w:r w:rsidRPr="007A4324">
              <w:rPr>
                <w:rFonts w:cs="Arial"/>
                <w:sz w:val="18"/>
                <w:szCs w:val="18"/>
                <w:lang w:val="en-US"/>
              </w:rPr>
              <w:t>1997</w:t>
            </w:r>
          </w:p>
        </w:tc>
        <w:tc>
          <w:tcPr>
            <w:tcW w:w="0" w:type="auto"/>
            <w:hideMark/>
          </w:tcPr>
          <w:p w14:paraId="3115C2A7"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330,000</w:t>
            </w:r>
          </w:p>
        </w:tc>
      </w:tr>
      <w:tr w:rsidR="001F0BAB" w:rsidRPr="007A4324" w14:paraId="1EA15016"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CC8BD8C" w14:textId="77777777" w:rsidR="001F0BAB" w:rsidRPr="007A4324" w:rsidRDefault="001F0BAB" w:rsidP="00142BC1">
            <w:pPr>
              <w:spacing w:after="160"/>
              <w:rPr>
                <w:rFonts w:cs="Arial"/>
                <w:sz w:val="18"/>
                <w:szCs w:val="18"/>
                <w:lang w:val="en-US"/>
              </w:rPr>
            </w:pPr>
            <w:r w:rsidRPr="007A4324">
              <w:rPr>
                <w:rFonts w:cs="Arial"/>
                <w:sz w:val="18"/>
                <w:szCs w:val="18"/>
                <w:lang w:val="en-US"/>
              </w:rPr>
              <w:t>1998</w:t>
            </w:r>
          </w:p>
        </w:tc>
        <w:tc>
          <w:tcPr>
            <w:tcW w:w="0" w:type="auto"/>
            <w:hideMark/>
          </w:tcPr>
          <w:p w14:paraId="6C1C8EDB"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350,000</w:t>
            </w:r>
          </w:p>
        </w:tc>
      </w:tr>
      <w:tr w:rsidR="001F0BAB" w:rsidRPr="007A4324" w14:paraId="0E31043B"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D8A1E74" w14:textId="77777777" w:rsidR="001F0BAB" w:rsidRPr="007A4324" w:rsidRDefault="001F0BAB" w:rsidP="00142BC1">
            <w:pPr>
              <w:spacing w:after="160"/>
              <w:rPr>
                <w:rFonts w:cs="Arial"/>
                <w:sz w:val="18"/>
                <w:szCs w:val="18"/>
                <w:lang w:val="en-US"/>
              </w:rPr>
            </w:pPr>
            <w:r w:rsidRPr="007A4324">
              <w:rPr>
                <w:rFonts w:cs="Arial"/>
                <w:sz w:val="18"/>
                <w:szCs w:val="18"/>
                <w:lang w:val="en-US"/>
              </w:rPr>
              <w:t>1999</w:t>
            </w:r>
          </w:p>
        </w:tc>
        <w:tc>
          <w:tcPr>
            <w:tcW w:w="0" w:type="auto"/>
            <w:hideMark/>
          </w:tcPr>
          <w:p w14:paraId="26BF2667"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370,000</w:t>
            </w:r>
          </w:p>
        </w:tc>
      </w:tr>
      <w:tr w:rsidR="001F0BAB" w:rsidRPr="007A4324" w14:paraId="74FCAC62"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97BF180" w14:textId="77777777" w:rsidR="001F0BAB" w:rsidRPr="007A4324" w:rsidRDefault="001F0BAB" w:rsidP="00142BC1">
            <w:pPr>
              <w:spacing w:after="160"/>
              <w:rPr>
                <w:rFonts w:cs="Arial"/>
                <w:sz w:val="18"/>
                <w:szCs w:val="18"/>
                <w:lang w:val="en-US"/>
              </w:rPr>
            </w:pPr>
            <w:r w:rsidRPr="007A4324">
              <w:rPr>
                <w:rFonts w:cs="Arial"/>
                <w:sz w:val="18"/>
                <w:szCs w:val="18"/>
                <w:lang w:val="en-US"/>
              </w:rPr>
              <w:t>2000</w:t>
            </w:r>
          </w:p>
        </w:tc>
        <w:tc>
          <w:tcPr>
            <w:tcW w:w="0" w:type="auto"/>
            <w:hideMark/>
          </w:tcPr>
          <w:p w14:paraId="72EC7977"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380,000</w:t>
            </w:r>
          </w:p>
        </w:tc>
      </w:tr>
      <w:tr w:rsidR="001F0BAB" w:rsidRPr="007A4324" w14:paraId="5CC6FA1C"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C6E2A02" w14:textId="77777777" w:rsidR="001F0BAB" w:rsidRPr="007A4324" w:rsidRDefault="001F0BAB" w:rsidP="00142BC1">
            <w:pPr>
              <w:spacing w:after="160"/>
              <w:rPr>
                <w:rFonts w:cs="Arial"/>
                <w:sz w:val="18"/>
                <w:szCs w:val="18"/>
                <w:lang w:val="en-US"/>
              </w:rPr>
            </w:pPr>
            <w:r w:rsidRPr="007A4324">
              <w:rPr>
                <w:rFonts w:cs="Arial"/>
                <w:sz w:val="18"/>
                <w:szCs w:val="18"/>
                <w:lang w:val="en-US"/>
              </w:rPr>
              <w:t>2001</w:t>
            </w:r>
          </w:p>
        </w:tc>
        <w:tc>
          <w:tcPr>
            <w:tcW w:w="0" w:type="auto"/>
            <w:hideMark/>
          </w:tcPr>
          <w:p w14:paraId="494E52B0"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370,000</w:t>
            </w:r>
          </w:p>
        </w:tc>
      </w:tr>
      <w:tr w:rsidR="001F0BAB" w:rsidRPr="007A4324" w14:paraId="68945C54"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875EBA6" w14:textId="77777777" w:rsidR="001F0BAB" w:rsidRPr="007A4324" w:rsidRDefault="001F0BAB" w:rsidP="00142BC1">
            <w:pPr>
              <w:spacing w:after="160"/>
              <w:rPr>
                <w:rFonts w:cs="Arial"/>
                <w:sz w:val="18"/>
                <w:szCs w:val="18"/>
                <w:lang w:val="en-US"/>
              </w:rPr>
            </w:pPr>
            <w:r w:rsidRPr="007A4324">
              <w:rPr>
                <w:rFonts w:cs="Arial"/>
                <w:sz w:val="18"/>
                <w:szCs w:val="18"/>
                <w:lang w:val="en-US"/>
              </w:rPr>
              <w:t>2002</w:t>
            </w:r>
          </w:p>
        </w:tc>
        <w:tc>
          <w:tcPr>
            <w:tcW w:w="0" w:type="auto"/>
            <w:hideMark/>
          </w:tcPr>
          <w:p w14:paraId="3EDE133A"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390,000</w:t>
            </w:r>
          </w:p>
        </w:tc>
      </w:tr>
      <w:tr w:rsidR="001F0BAB" w:rsidRPr="007A4324" w14:paraId="734242C0"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EA6EE91" w14:textId="77777777" w:rsidR="001F0BAB" w:rsidRPr="007A4324" w:rsidRDefault="001F0BAB" w:rsidP="00142BC1">
            <w:pPr>
              <w:spacing w:after="160"/>
              <w:rPr>
                <w:rFonts w:cs="Arial"/>
                <w:sz w:val="18"/>
                <w:szCs w:val="18"/>
                <w:lang w:val="en-US"/>
              </w:rPr>
            </w:pPr>
            <w:r w:rsidRPr="007A4324">
              <w:rPr>
                <w:rFonts w:cs="Arial"/>
                <w:sz w:val="18"/>
                <w:szCs w:val="18"/>
                <w:lang w:val="en-US"/>
              </w:rPr>
              <w:t>2003</w:t>
            </w:r>
          </w:p>
        </w:tc>
        <w:tc>
          <w:tcPr>
            <w:tcW w:w="0" w:type="auto"/>
            <w:hideMark/>
          </w:tcPr>
          <w:p w14:paraId="051AE14F"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370,000</w:t>
            </w:r>
          </w:p>
        </w:tc>
      </w:tr>
      <w:tr w:rsidR="001F0BAB" w:rsidRPr="007A4324" w14:paraId="61972B63"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007C2A6" w14:textId="77777777" w:rsidR="001F0BAB" w:rsidRPr="007A4324" w:rsidRDefault="001F0BAB" w:rsidP="00142BC1">
            <w:pPr>
              <w:spacing w:after="160"/>
              <w:rPr>
                <w:rFonts w:cs="Arial"/>
                <w:sz w:val="18"/>
                <w:szCs w:val="18"/>
                <w:lang w:val="en-US"/>
              </w:rPr>
            </w:pPr>
            <w:r w:rsidRPr="007A4324">
              <w:rPr>
                <w:rFonts w:cs="Arial"/>
                <w:sz w:val="18"/>
                <w:szCs w:val="18"/>
                <w:lang w:val="en-US"/>
              </w:rPr>
              <w:t>2004</w:t>
            </w:r>
          </w:p>
        </w:tc>
        <w:tc>
          <w:tcPr>
            <w:tcW w:w="0" w:type="auto"/>
            <w:hideMark/>
          </w:tcPr>
          <w:p w14:paraId="54C340BB"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380,000</w:t>
            </w:r>
          </w:p>
        </w:tc>
      </w:tr>
      <w:tr w:rsidR="001F0BAB" w:rsidRPr="007A4324" w14:paraId="465A19E5"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F684C8D" w14:textId="77777777" w:rsidR="001F0BAB" w:rsidRPr="007A4324" w:rsidRDefault="001F0BAB" w:rsidP="00142BC1">
            <w:pPr>
              <w:spacing w:after="160"/>
              <w:rPr>
                <w:rFonts w:cs="Arial"/>
                <w:sz w:val="18"/>
                <w:szCs w:val="18"/>
                <w:lang w:val="en-US"/>
              </w:rPr>
            </w:pPr>
            <w:r w:rsidRPr="007A4324">
              <w:rPr>
                <w:rFonts w:cs="Arial"/>
                <w:sz w:val="18"/>
                <w:szCs w:val="18"/>
                <w:lang w:val="en-US"/>
              </w:rPr>
              <w:t>2005</w:t>
            </w:r>
          </w:p>
        </w:tc>
        <w:tc>
          <w:tcPr>
            <w:tcW w:w="0" w:type="auto"/>
            <w:hideMark/>
          </w:tcPr>
          <w:p w14:paraId="5F4DCA63"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390,000</w:t>
            </w:r>
          </w:p>
        </w:tc>
      </w:tr>
      <w:tr w:rsidR="001F0BAB" w:rsidRPr="007A4324" w14:paraId="4CD45A86"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9A04F8B" w14:textId="77777777" w:rsidR="001F0BAB" w:rsidRPr="007A4324" w:rsidRDefault="001F0BAB" w:rsidP="00142BC1">
            <w:pPr>
              <w:spacing w:after="160"/>
              <w:rPr>
                <w:rFonts w:cs="Arial"/>
                <w:sz w:val="18"/>
                <w:szCs w:val="18"/>
                <w:lang w:val="en-US"/>
              </w:rPr>
            </w:pPr>
            <w:r w:rsidRPr="007A4324">
              <w:rPr>
                <w:rFonts w:cs="Arial"/>
                <w:sz w:val="18"/>
                <w:szCs w:val="18"/>
                <w:lang w:val="en-US"/>
              </w:rPr>
              <w:t>2006</w:t>
            </w:r>
          </w:p>
        </w:tc>
        <w:tc>
          <w:tcPr>
            <w:tcW w:w="0" w:type="auto"/>
            <w:hideMark/>
          </w:tcPr>
          <w:p w14:paraId="661849CE"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360,000</w:t>
            </w:r>
          </w:p>
        </w:tc>
      </w:tr>
      <w:tr w:rsidR="001F0BAB" w:rsidRPr="007A4324" w14:paraId="0DDD360C"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9A195BC" w14:textId="77777777" w:rsidR="001F0BAB" w:rsidRPr="007A4324" w:rsidRDefault="001F0BAB" w:rsidP="00142BC1">
            <w:pPr>
              <w:spacing w:after="160"/>
              <w:rPr>
                <w:rFonts w:cs="Arial"/>
                <w:sz w:val="18"/>
                <w:szCs w:val="18"/>
                <w:lang w:val="en-US"/>
              </w:rPr>
            </w:pPr>
            <w:r w:rsidRPr="007A4324">
              <w:rPr>
                <w:rFonts w:cs="Arial"/>
                <w:sz w:val="18"/>
                <w:szCs w:val="18"/>
                <w:lang w:val="en-US"/>
              </w:rPr>
              <w:t>2007</w:t>
            </w:r>
          </w:p>
        </w:tc>
        <w:tc>
          <w:tcPr>
            <w:tcW w:w="0" w:type="auto"/>
            <w:hideMark/>
          </w:tcPr>
          <w:p w14:paraId="16F9F29D"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340,000</w:t>
            </w:r>
          </w:p>
        </w:tc>
      </w:tr>
      <w:tr w:rsidR="001F0BAB" w:rsidRPr="007A4324" w14:paraId="1FBF99AF"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A6F28FF" w14:textId="77777777" w:rsidR="001F0BAB" w:rsidRPr="007A4324" w:rsidRDefault="001F0BAB" w:rsidP="00142BC1">
            <w:pPr>
              <w:spacing w:after="160"/>
              <w:rPr>
                <w:rFonts w:cs="Arial"/>
                <w:sz w:val="18"/>
                <w:szCs w:val="18"/>
                <w:lang w:val="en-US"/>
              </w:rPr>
            </w:pPr>
            <w:r w:rsidRPr="007A4324">
              <w:rPr>
                <w:rFonts w:cs="Arial"/>
                <w:sz w:val="18"/>
                <w:szCs w:val="18"/>
                <w:lang w:val="en-US"/>
              </w:rPr>
              <w:t>2008</w:t>
            </w:r>
          </w:p>
        </w:tc>
        <w:tc>
          <w:tcPr>
            <w:tcW w:w="0" w:type="auto"/>
            <w:hideMark/>
          </w:tcPr>
          <w:p w14:paraId="1584B926"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340,000</w:t>
            </w:r>
          </w:p>
        </w:tc>
      </w:tr>
      <w:tr w:rsidR="001F0BAB" w:rsidRPr="007A4324" w14:paraId="1468FD63"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4778EDE" w14:textId="77777777" w:rsidR="001F0BAB" w:rsidRPr="007A4324" w:rsidRDefault="001F0BAB" w:rsidP="00142BC1">
            <w:pPr>
              <w:spacing w:after="160"/>
              <w:rPr>
                <w:rFonts w:cs="Arial"/>
                <w:sz w:val="18"/>
                <w:szCs w:val="18"/>
                <w:lang w:val="en-US"/>
              </w:rPr>
            </w:pPr>
            <w:r w:rsidRPr="007A4324">
              <w:rPr>
                <w:rFonts w:cs="Arial"/>
                <w:sz w:val="18"/>
                <w:szCs w:val="18"/>
                <w:lang w:val="en-US"/>
              </w:rPr>
              <w:t>2009</w:t>
            </w:r>
          </w:p>
        </w:tc>
        <w:tc>
          <w:tcPr>
            <w:tcW w:w="0" w:type="auto"/>
            <w:hideMark/>
          </w:tcPr>
          <w:p w14:paraId="49B08848"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330,000</w:t>
            </w:r>
          </w:p>
        </w:tc>
      </w:tr>
      <w:tr w:rsidR="001F0BAB" w:rsidRPr="007A4324" w14:paraId="21A5980B"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ACD8088" w14:textId="77777777" w:rsidR="001F0BAB" w:rsidRPr="007A4324" w:rsidRDefault="001F0BAB" w:rsidP="00142BC1">
            <w:pPr>
              <w:spacing w:after="160"/>
              <w:rPr>
                <w:rFonts w:cs="Arial"/>
                <w:sz w:val="18"/>
                <w:szCs w:val="18"/>
                <w:lang w:val="en-US"/>
              </w:rPr>
            </w:pPr>
            <w:r w:rsidRPr="007A4324">
              <w:rPr>
                <w:rFonts w:cs="Arial"/>
                <w:sz w:val="18"/>
                <w:szCs w:val="18"/>
                <w:lang w:val="en-US"/>
              </w:rPr>
              <w:t>2010</w:t>
            </w:r>
          </w:p>
        </w:tc>
        <w:tc>
          <w:tcPr>
            <w:tcW w:w="0" w:type="auto"/>
            <w:hideMark/>
          </w:tcPr>
          <w:p w14:paraId="58C89268"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340,000</w:t>
            </w:r>
          </w:p>
        </w:tc>
      </w:tr>
      <w:tr w:rsidR="001F0BAB" w:rsidRPr="007A4324" w14:paraId="32810608"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8C6A5ED" w14:textId="77777777" w:rsidR="001F0BAB" w:rsidRPr="007A4324" w:rsidRDefault="001F0BAB" w:rsidP="00142BC1">
            <w:pPr>
              <w:spacing w:after="160"/>
              <w:rPr>
                <w:rFonts w:cs="Arial"/>
                <w:sz w:val="18"/>
                <w:szCs w:val="18"/>
                <w:lang w:val="en-US"/>
              </w:rPr>
            </w:pPr>
            <w:r w:rsidRPr="007A4324">
              <w:rPr>
                <w:rFonts w:cs="Arial"/>
                <w:sz w:val="18"/>
                <w:szCs w:val="18"/>
                <w:lang w:val="en-US"/>
              </w:rPr>
              <w:t>2011</w:t>
            </w:r>
          </w:p>
        </w:tc>
        <w:tc>
          <w:tcPr>
            <w:tcW w:w="0" w:type="auto"/>
            <w:hideMark/>
          </w:tcPr>
          <w:p w14:paraId="27D85D53"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320,000</w:t>
            </w:r>
          </w:p>
        </w:tc>
      </w:tr>
      <w:tr w:rsidR="001F0BAB" w:rsidRPr="007A4324" w14:paraId="7E50D77B"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AD12252" w14:textId="77777777" w:rsidR="001F0BAB" w:rsidRPr="007A4324" w:rsidRDefault="001F0BAB" w:rsidP="00142BC1">
            <w:pPr>
              <w:spacing w:after="160"/>
              <w:rPr>
                <w:rFonts w:cs="Arial"/>
                <w:sz w:val="18"/>
                <w:szCs w:val="18"/>
                <w:lang w:val="en-US"/>
              </w:rPr>
            </w:pPr>
            <w:r w:rsidRPr="007A4324">
              <w:rPr>
                <w:rFonts w:cs="Arial"/>
                <w:sz w:val="18"/>
                <w:szCs w:val="18"/>
                <w:lang w:val="en-US"/>
              </w:rPr>
              <w:t>2012</w:t>
            </w:r>
          </w:p>
        </w:tc>
        <w:tc>
          <w:tcPr>
            <w:tcW w:w="0" w:type="auto"/>
            <w:hideMark/>
          </w:tcPr>
          <w:p w14:paraId="641E6D38"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330,000</w:t>
            </w:r>
          </w:p>
        </w:tc>
      </w:tr>
      <w:tr w:rsidR="001F0BAB" w:rsidRPr="007A4324" w14:paraId="12D22826"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E67773A" w14:textId="77777777" w:rsidR="001F0BAB" w:rsidRPr="007A4324" w:rsidRDefault="001F0BAB" w:rsidP="00142BC1">
            <w:pPr>
              <w:spacing w:after="160"/>
              <w:rPr>
                <w:rFonts w:cs="Arial"/>
                <w:sz w:val="18"/>
                <w:szCs w:val="18"/>
                <w:lang w:val="en-US"/>
              </w:rPr>
            </w:pPr>
            <w:r w:rsidRPr="007A4324">
              <w:rPr>
                <w:rFonts w:cs="Arial"/>
                <w:sz w:val="18"/>
                <w:szCs w:val="18"/>
                <w:lang w:val="en-US"/>
              </w:rPr>
              <w:t>2013</w:t>
            </w:r>
          </w:p>
        </w:tc>
        <w:tc>
          <w:tcPr>
            <w:tcW w:w="0" w:type="auto"/>
            <w:hideMark/>
          </w:tcPr>
          <w:p w14:paraId="6255DB7D"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320,000</w:t>
            </w:r>
          </w:p>
        </w:tc>
      </w:tr>
      <w:tr w:rsidR="001F0BAB" w:rsidRPr="007A4324" w14:paraId="6CDA3B64"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35AF633" w14:textId="77777777" w:rsidR="001F0BAB" w:rsidRPr="007A4324" w:rsidRDefault="001F0BAB" w:rsidP="00142BC1">
            <w:pPr>
              <w:spacing w:after="160"/>
              <w:rPr>
                <w:rFonts w:cs="Arial"/>
                <w:sz w:val="18"/>
                <w:szCs w:val="18"/>
                <w:lang w:val="en-US"/>
              </w:rPr>
            </w:pPr>
            <w:r w:rsidRPr="007A4324">
              <w:rPr>
                <w:rFonts w:cs="Arial"/>
                <w:sz w:val="18"/>
                <w:szCs w:val="18"/>
                <w:lang w:val="en-US"/>
              </w:rPr>
              <w:t>2014</w:t>
            </w:r>
          </w:p>
        </w:tc>
        <w:tc>
          <w:tcPr>
            <w:tcW w:w="0" w:type="auto"/>
            <w:hideMark/>
          </w:tcPr>
          <w:p w14:paraId="73A3C56F"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320,000</w:t>
            </w:r>
          </w:p>
        </w:tc>
      </w:tr>
      <w:tr w:rsidR="001F0BAB" w:rsidRPr="007A4324" w14:paraId="15467A67"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B256624" w14:textId="77777777" w:rsidR="001F0BAB" w:rsidRPr="007A4324" w:rsidRDefault="001F0BAB" w:rsidP="00142BC1">
            <w:pPr>
              <w:spacing w:after="160"/>
              <w:rPr>
                <w:rFonts w:cs="Arial"/>
                <w:sz w:val="18"/>
                <w:szCs w:val="18"/>
                <w:lang w:val="en-US"/>
              </w:rPr>
            </w:pPr>
            <w:r w:rsidRPr="007A4324">
              <w:rPr>
                <w:rFonts w:cs="Arial"/>
                <w:sz w:val="18"/>
                <w:szCs w:val="18"/>
                <w:lang w:val="en-US"/>
              </w:rPr>
              <w:t>2015</w:t>
            </w:r>
          </w:p>
        </w:tc>
        <w:tc>
          <w:tcPr>
            <w:tcW w:w="0" w:type="auto"/>
            <w:hideMark/>
          </w:tcPr>
          <w:p w14:paraId="34CC1B77"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300,000</w:t>
            </w:r>
          </w:p>
        </w:tc>
      </w:tr>
      <w:tr w:rsidR="001F0BAB" w:rsidRPr="007A4324" w14:paraId="72466803"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BD2708C" w14:textId="77777777" w:rsidR="001F0BAB" w:rsidRPr="007A4324" w:rsidRDefault="001F0BAB" w:rsidP="00142BC1">
            <w:pPr>
              <w:spacing w:after="160"/>
              <w:rPr>
                <w:rFonts w:cs="Arial"/>
                <w:sz w:val="18"/>
                <w:szCs w:val="18"/>
                <w:lang w:val="en-US"/>
              </w:rPr>
            </w:pPr>
            <w:r w:rsidRPr="007A4324">
              <w:rPr>
                <w:rFonts w:cs="Arial"/>
                <w:sz w:val="18"/>
                <w:szCs w:val="18"/>
                <w:lang w:val="en-US"/>
              </w:rPr>
              <w:t>2016</w:t>
            </w:r>
          </w:p>
        </w:tc>
        <w:tc>
          <w:tcPr>
            <w:tcW w:w="0" w:type="auto"/>
            <w:hideMark/>
          </w:tcPr>
          <w:p w14:paraId="63348E5D"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320,000</w:t>
            </w:r>
          </w:p>
        </w:tc>
      </w:tr>
      <w:tr w:rsidR="001F0BAB" w:rsidRPr="007A4324" w14:paraId="4E8AF02D"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2114051" w14:textId="77777777" w:rsidR="001F0BAB" w:rsidRPr="007A4324" w:rsidRDefault="001F0BAB" w:rsidP="00142BC1">
            <w:pPr>
              <w:spacing w:after="160"/>
              <w:rPr>
                <w:rFonts w:cs="Arial"/>
                <w:sz w:val="18"/>
                <w:szCs w:val="18"/>
                <w:lang w:val="en-US"/>
              </w:rPr>
            </w:pPr>
            <w:r w:rsidRPr="007A4324">
              <w:rPr>
                <w:rFonts w:cs="Arial"/>
                <w:sz w:val="18"/>
                <w:szCs w:val="18"/>
                <w:lang w:val="en-US"/>
              </w:rPr>
              <w:t>2017</w:t>
            </w:r>
          </w:p>
        </w:tc>
        <w:tc>
          <w:tcPr>
            <w:tcW w:w="0" w:type="auto"/>
            <w:hideMark/>
          </w:tcPr>
          <w:p w14:paraId="3ADD1567"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320,000</w:t>
            </w:r>
          </w:p>
        </w:tc>
      </w:tr>
      <w:tr w:rsidR="001F0BAB" w:rsidRPr="007A4324" w14:paraId="16DA1EE9"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32CCD6F" w14:textId="77777777" w:rsidR="001F0BAB" w:rsidRPr="007A4324" w:rsidRDefault="001F0BAB" w:rsidP="00142BC1">
            <w:pPr>
              <w:spacing w:after="160"/>
              <w:rPr>
                <w:rFonts w:cs="Arial"/>
                <w:sz w:val="18"/>
                <w:szCs w:val="18"/>
                <w:lang w:val="en-US"/>
              </w:rPr>
            </w:pPr>
            <w:r w:rsidRPr="007A4324">
              <w:rPr>
                <w:rFonts w:cs="Arial"/>
                <w:sz w:val="18"/>
                <w:szCs w:val="18"/>
                <w:lang w:val="en-US"/>
              </w:rPr>
              <w:t>2018</w:t>
            </w:r>
          </w:p>
        </w:tc>
        <w:tc>
          <w:tcPr>
            <w:tcW w:w="0" w:type="auto"/>
            <w:hideMark/>
          </w:tcPr>
          <w:p w14:paraId="28D1E20F"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300,000</w:t>
            </w:r>
          </w:p>
        </w:tc>
      </w:tr>
      <w:tr w:rsidR="001F0BAB" w:rsidRPr="007A4324" w14:paraId="7D6AD4E4"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8E092BB" w14:textId="77777777" w:rsidR="001F0BAB" w:rsidRPr="007A4324" w:rsidRDefault="001F0BAB" w:rsidP="00142BC1">
            <w:pPr>
              <w:spacing w:after="160"/>
              <w:rPr>
                <w:rFonts w:cs="Arial"/>
                <w:sz w:val="18"/>
                <w:szCs w:val="18"/>
                <w:lang w:val="en-US"/>
              </w:rPr>
            </w:pPr>
            <w:r w:rsidRPr="007A4324">
              <w:rPr>
                <w:rFonts w:cs="Arial"/>
                <w:sz w:val="18"/>
                <w:szCs w:val="18"/>
                <w:lang w:val="en-US"/>
              </w:rPr>
              <w:t>2019</w:t>
            </w:r>
          </w:p>
        </w:tc>
        <w:tc>
          <w:tcPr>
            <w:tcW w:w="0" w:type="auto"/>
            <w:hideMark/>
          </w:tcPr>
          <w:p w14:paraId="6A69F1B6"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320,000</w:t>
            </w:r>
          </w:p>
        </w:tc>
      </w:tr>
      <w:tr w:rsidR="001F0BAB" w:rsidRPr="007A4324" w14:paraId="0836E056"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6761FC0" w14:textId="77777777" w:rsidR="001F0BAB" w:rsidRPr="007A4324" w:rsidRDefault="001F0BAB" w:rsidP="00142BC1">
            <w:pPr>
              <w:spacing w:after="160"/>
              <w:rPr>
                <w:rFonts w:cs="Arial"/>
                <w:sz w:val="18"/>
                <w:szCs w:val="18"/>
                <w:lang w:val="en-US"/>
              </w:rPr>
            </w:pPr>
            <w:r w:rsidRPr="007A4324">
              <w:rPr>
                <w:rFonts w:cs="Arial"/>
                <w:sz w:val="18"/>
                <w:szCs w:val="18"/>
                <w:lang w:val="en-US"/>
              </w:rPr>
              <w:t>2020</w:t>
            </w:r>
          </w:p>
        </w:tc>
        <w:tc>
          <w:tcPr>
            <w:tcW w:w="0" w:type="auto"/>
            <w:hideMark/>
          </w:tcPr>
          <w:p w14:paraId="7CACB208"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Cancelled</w:t>
            </w:r>
          </w:p>
        </w:tc>
      </w:tr>
      <w:tr w:rsidR="001F0BAB" w:rsidRPr="007A4324" w14:paraId="546FB9A5"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C48E76F" w14:textId="77777777" w:rsidR="001F0BAB" w:rsidRPr="007A4324" w:rsidRDefault="001F0BAB" w:rsidP="00142BC1">
            <w:pPr>
              <w:spacing w:after="160"/>
              <w:rPr>
                <w:rFonts w:cs="Arial"/>
                <w:sz w:val="18"/>
                <w:szCs w:val="18"/>
                <w:lang w:val="en-US"/>
              </w:rPr>
            </w:pPr>
            <w:r w:rsidRPr="007A4324">
              <w:rPr>
                <w:rFonts w:cs="Arial"/>
                <w:sz w:val="18"/>
                <w:szCs w:val="18"/>
                <w:lang w:val="en-US"/>
              </w:rPr>
              <w:t>2021</w:t>
            </w:r>
          </w:p>
        </w:tc>
        <w:tc>
          <w:tcPr>
            <w:tcW w:w="0" w:type="auto"/>
            <w:hideMark/>
          </w:tcPr>
          <w:p w14:paraId="53E35CE6"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Cancelled</w:t>
            </w:r>
          </w:p>
        </w:tc>
      </w:tr>
      <w:tr w:rsidR="001F0BAB" w:rsidRPr="007A4324" w14:paraId="79AA2C6E"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D31E3D4" w14:textId="77777777" w:rsidR="001F0BAB" w:rsidRPr="007A4324" w:rsidRDefault="001F0BAB" w:rsidP="00142BC1">
            <w:pPr>
              <w:spacing w:after="160"/>
              <w:rPr>
                <w:rFonts w:cs="Arial"/>
                <w:sz w:val="18"/>
                <w:szCs w:val="18"/>
                <w:lang w:val="en-US"/>
              </w:rPr>
            </w:pPr>
            <w:r w:rsidRPr="007A4324">
              <w:rPr>
                <w:rFonts w:cs="Arial"/>
                <w:sz w:val="18"/>
                <w:szCs w:val="18"/>
                <w:lang w:val="en-US"/>
              </w:rPr>
              <w:t>2022</w:t>
            </w:r>
          </w:p>
        </w:tc>
        <w:tc>
          <w:tcPr>
            <w:tcW w:w="0" w:type="auto"/>
            <w:hideMark/>
          </w:tcPr>
          <w:p w14:paraId="5DFE23A4"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420,000</w:t>
            </w:r>
          </w:p>
        </w:tc>
      </w:tr>
      <w:tr w:rsidR="001F0BAB" w:rsidRPr="007A4324" w14:paraId="0C0CEF43" w14:textId="77777777" w:rsidTr="006254F1">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07780B5" w14:textId="77777777" w:rsidR="001F0BAB" w:rsidRPr="007A4324" w:rsidRDefault="001F0BAB" w:rsidP="00142BC1">
            <w:pPr>
              <w:spacing w:after="160"/>
              <w:rPr>
                <w:rFonts w:cs="Arial"/>
                <w:sz w:val="18"/>
                <w:szCs w:val="18"/>
                <w:lang w:val="en-US"/>
              </w:rPr>
            </w:pPr>
            <w:r w:rsidRPr="007A4324">
              <w:rPr>
                <w:rFonts w:cs="Arial"/>
                <w:sz w:val="18"/>
                <w:szCs w:val="18"/>
                <w:lang w:val="en-US"/>
              </w:rPr>
              <w:t>2023</w:t>
            </w:r>
          </w:p>
        </w:tc>
        <w:tc>
          <w:tcPr>
            <w:tcW w:w="0" w:type="auto"/>
            <w:hideMark/>
          </w:tcPr>
          <w:p w14:paraId="53916643" w14:textId="77777777" w:rsidR="001F0BAB" w:rsidRPr="007A4324" w:rsidRDefault="001F0BAB" w:rsidP="00142BC1">
            <w:pPr>
              <w:spacing w:after="16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7A4324">
              <w:rPr>
                <w:rFonts w:cs="Arial"/>
                <w:sz w:val="18"/>
                <w:szCs w:val="18"/>
                <w:lang w:val="en-US"/>
              </w:rPr>
              <w:t>445,000</w:t>
            </w:r>
          </w:p>
        </w:tc>
      </w:tr>
    </w:tbl>
    <w:p w14:paraId="02082329" w14:textId="5F637061" w:rsidR="00DF485F" w:rsidRPr="00814531" w:rsidRDefault="00DF485F" w:rsidP="00DF485F">
      <w:pPr>
        <w:rPr>
          <w:sz w:val="18"/>
          <w:szCs w:val="18"/>
        </w:rPr>
      </w:pPr>
      <w:r w:rsidRPr="00814531">
        <w:rPr>
          <w:sz w:val="18"/>
          <w:szCs w:val="18"/>
        </w:rPr>
        <w:t>List of References</w:t>
      </w:r>
    </w:p>
    <w:p w14:paraId="0D3985C8" w14:textId="77777777" w:rsidR="00DF485F" w:rsidRPr="00814531" w:rsidRDefault="00DF485F" w:rsidP="00DF485F">
      <w:pPr>
        <w:rPr>
          <w:sz w:val="18"/>
          <w:szCs w:val="18"/>
        </w:rPr>
      </w:pPr>
      <w:bookmarkStart w:id="18" w:name="ref0001"/>
      <w:bookmarkEnd w:id="18"/>
      <w:r w:rsidRPr="00814531">
        <w:rPr>
          <w:sz w:val="18"/>
          <w:szCs w:val="18"/>
        </w:rPr>
        <w:t>[1] Based on the 2022 Ticketmaster data</w:t>
      </w:r>
    </w:p>
    <w:p w14:paraId="72CE11BD" w14:textId="77777777" w:rsidR="00DF485F" w:rsidRPr="00814531" w:rsidRDefault="00DF485F" w:rsidP="00DF485F">
      <w:pPr>
        <w:rPr>
          <w:sz w:val="18"/>
          <w:szCs w:val="18"/>
        </w:rPr>
      </w:pPr>
      <w:bookmarkStart w:id="19" w:name="ref0002"/>
      <w:bookmarkEnd w:id="19"/>
      <w:r w:rsidRPr="00814531">
        <w:rPr>
          <w:sz w:val="18"/>
          <w:szCs w:val="18"/>
        </w:rPr>
        <w:t>[2] Based on the 2022-23 and 2023-24 AGPC Annual Reports</w:t>
      </w:r>
    </w:p>
    <w:p w14:paraId="1B1BF636" w14:textId="143271BF" w:rsidR="00DF485F" w:rsidRPr="00814531" w:rsidRDefault="00DF485F" w:rsidP="00632D0A">
      <w:pPr>
        <w:rPr>
          <w:sz w:val="18"/>
          <w:szCs w:val="18"/>
        </w:rPr>
      </w:pPr>
      <w:bookmarkStart w:id="20" w:name="ref0003"/>
      <w:bookmarkEnd w:id="20"/>
      <w:r w:rsidRPr="00814531">
        <w:rPr>
          <w:sz w:val="18"/>
          <w:szCs w:val="18"/>
        </w:rPr>
        <w:t>[3] Based on the 2022 Ticketmaster data</w:t>
      </w:r>
      <w:r w:rsidR="00D007B4">
        <w:rPr>
          <w:sz w:val="18"/>
          <w:szCs w:val="18"/>
        </w:rPr>
        <w:br w:type="page"/>
      </w:r>
    </w:p>
    <w:p w14:paraId="0091020E" w14:textId="4ADA2A96" w:rsidR="00C4076A" w:rsidRDefault="00C4076A" w:rsidP="00337E61">
      <w:pPr>
        <w:pStyle w:val="Heading1"/>
      </w:pPr>
      <w:bookmarkStart w:id="21" w:name="_Toc198738849"/>
      <w:bookmarkStart w:id="22" w:name="_Toc199255808"/>
      <w:r w:rsidRPr="00C4076A">
        <w:lastRenderedPageBreak/>
        <w:t xml:space="preserve">2. </w:t>
      </w:r>
      <w:r w:rsidRPr="00337E61">
        <w:t>Approach</w:t>
      </w:r>
      <w:bookmarkEnd w:id="21"/>
      <w:bookmarkEnd w:id="22"/>
    </w:p>
    <w:p w14:paraId="5824672C" w14:textId="77777777" w:rsidR="002B7166" w:rsidRDefault="002B7166" w:rsidP="002B7166">
      <w:r>
        <w:t>The assessment measures the changes to the economic base of Victoria that can be attributed to the event, that would otherwise not have occurred.</w:t>
      </w:r>
    </w:p>
    <w:p w14:paraId="77CA3B2E" w14:textId="77777777" w:rsidR="00CB31C3" w:rsidRPr="00337E61" w:rsidRDefault="00CB31C3" w:rsidP="00337E61">
      <w:pPr>
        <w:pStyle w:val="Heading2"/>
      </w:pPr>
      <w:bookmarkStart w:id="23" w:name="_Toc198738850"/>
      <w:bookmarkStart w:id="24" w:name="_Toc199255809"/>
      <w:r w:rsidRPr="00337E61">
        <w:t>Economic impact on Victoria</w:t>
      </w:r>
      <w:bookmarkEnd w:id="23"/>
      <w:bookmarkEnd w:id="24"/>
    </w:p>
    <w:p w14:paraId="244D5C4F" w14:textId="5653D842" w:rsidR="00CB31C3" w:rsidRPr="00CB31C3" w:rsidRDefault="00CB31C3" w:rsidP="00CB31C3">
      <w:r w:rsidRPr="00CB31C3">
        <w:t>EY assessed the economic impact of the event on the state of Victoria. The assessment measures the changes to the economic base of Victoria that can be directly attributed to the event.</w:t>
      </w:r>
      <w:r w:rsidR="001A053B">
        <w:t xml:space="preserve"> </w:t>
      </w:r>
      <w:r w:rsidRPr="00CB31C3">
        <w:t xml:space="preserve">The F1®GP economic impact study includes the following measures: </w:t>
      </w:r>
    </w:p>
    <w:p w14:paraId="46DAFB45" w14:textId="77777777" w:rsidR="00CB31C3" w:rsidRPr="00CB31C3" w:rsidRDefault="00CB31C3" w:rsidP="002B0DEA">
      <w:pPr>
        <w:pStyle w:val="Heading3"/>
      </w:pPr>
      <w:bookmarkStart w:id="25" w:name="_Toc198738851"/>
      <w:bookmarkStart w:id="26" w:name="_Toc199255810"/>
      <w:r w:rsidRPr="00CB31C3">
        <w:t>Direct impact</w:t>
      </w:r>
      <w:bookmarkEnd w:id="25"/>
      <w:bookmarkEnd w:id="26"/>
      <w:r w:rsidRPr="00CB31C3">
        <w:t xml:space="preserve"> </w:t>
      </w:r>
    </w:p>
    <w:p w14:paraId="59E66539" w14:textId="77777777" w:rsidR="00CB31C3" w:rsidRPr="00CB31C3" w:rsidRDefault="00CB31C3" w:rsidP="00CB31C3">
      <w:r w:rsidRPr="00CB31C3">
        <w:t xml:space="preserve">The direct impact captures the increase in direct spending in Victoria attributable to the event. The direct impact estimate is based on the following: </w:t>
      </w:r>
    </w:p>
    <w:p w14:paraId="76C62FC5" w14:textId="699C4DF1" w:rsidR="00CB31C3" w:rsidRPr="00CB31C3" w:rsidRDefault="00CB31C3" w:rsidP="00691298">
      <w:pPr>
        <w:pStyle w:val="ListParagraph"/>
        <w:numPr>
          <w:ilvl w:val="0"/>
          <w:numId w:val="17"/>
        </w:numPr>
        <w:ind w:left="567" w:hanging="567"/>
      </w:pPr>
      <w:r w:rsidRPr="00CB31C3">
        <w:t>Visitor expenditure from specific and extended stay interstate and international visitors (excluding ticket expenditure, which is captured in the event operations –</w:t>
      </w:r>
      <w:r w:rsidR="001A053B">
        <w:t xml:space="preserve"> </w:t>
      </w:r>
      <w:r w:rsidRPr="00CB31C3">
        <w:t xml:space="preserve">see below). This is comprised of: </w:t>
      </w:r>
    </w:p>
    <w:p w14:paraId="2C238045" w14:textId="77777777" w:rsidR="00CB31C3" w:rsidRPr="00CB31C3" w:rsidRDefault="00CB31C3" w:rsidP="00691298">
      <w:pPr>
        <w:numPr>
          <w:ilvl w:val="2"/>
          <w:numId w:val="16"/>
        </w:numPr>
        <w:ind w:left="1134" w:hanging="567"/>
        <w:contextualSpacing/>
      </w:pPr>
      <w:r w:rsidRPr="00CB31C3">
        <w:t>Total number of interstate and international specific and extended stay visitors including spectators, teams, officials, media and other attendees (e.g. volunteers, event staff).</w:t>
      </w:r>
    </w:p>
    <w:p w14:paraId="68FC9987" w14:textId="77777777" w:rsidR="00CB31C3" w:rsidRPr="00CB31C3" w:rsidRDefault="00CB31C3" w:rsidP="00691298">
      <w:pPr>
        <w:numPr>
          <w:ilvl w:val="2"/>
          <w:numId w:val="16"/>
        </w:numPr>
        <w:ind w:left="1134" w:hanging="567"/>
        <w:contextualSpacing/>
      </w:pPr>
      <w:r w:rsidRPr="00CB31C3">
        <w:t>Length of stay of these attendees.</w:t>
      </w:r>
    </w:p>
    <w:p w14:paraId="3D9AAE4E" w14:textId="77777777" w:rsidR="00CB31C3" w:rsidRPr="00CB31C3" w:rsidRDefault="00CB31C3" w:rsidP="00691298">
      <w:pPr>
        <w:numPr>
          <w:ilvl w:val="2"/>
          <w:numId w:val="16"/>
        </w:numPr>
        <w:ind w:left="1134" w:hanging="567"/>
        <w:contextualSpacing/>
      </w:pPr>
      <w:r w:rsidRPr="00CB31C3">
        <w:t>Total expenditure of these attendees attributable to their trip (excluding ticket sales).</w:t>
      </w:r>
    </w:p>
    <w:p w14:paraId="5C3BCE49" w14:textId="77777777" w:rsidR="00103C94" w:rsidRDefault="00CB31C3" w:rsidP="00691298">
      <w:pPr>
        <w:pStyle w:val="ListParagraph"/>
        <w:numPr>
          <w:ilvl w:val="0"/>
          <w:numId w:val="17"/>
        </w:numPr>
        <w:ind w:left="567" w:hanging="567"/>
      </w:pPr>
      <w:r w:rsidRPr="00CB31C3">
        <w:t>Expenditure from Victorian residents that remain in the State due to Victoria hosting the F1® Australian GP (instead of another state) –</w:t>
      </w:r>
      <w:r w:rsidR="00103C94">
        <w:t xml:space="preserve"> </w:t>
      </w:r>
      <w:r w:rsidRPr="00CB31C3">
        <w:t>referred to as retained expenditure.</w:t>
      </w:r>
    </w:p>
    <w:p w14:paraId="3EC798FA" w14:textId="00D73C95" w:rsidR="00CB31C3" w:rsidRPr="00CB31C3" w:rsidRDefault="00CB31C3" w:rsidP="00691298">
      <w:pPr>
        <w:pStyle w:val="ListParagraph"/>
        <w:numPr>
          <w:ilvl w:val="0"/>
          <w:numId w:val="17"/>
        </w:numPr>
        <w:ind w:left="567" w:hanging="567"/>
      </w:pPr>
      <w:r w:rsidRPr="00CB31C3">
        <w:t>The event operations impact, which is the net impact of AGPC’s incremental operating revenues (including ticket revenue) less the imported component of operations.</w:t>
      </w:r>
    </w:p>
    <w:p w14:paraId="2D855307" w14:textId="0A213093" w:rsidR="004E640C" w:rsidRDefault="00CB31C3" w:rsidP="004E640C">
      <w:r w:rsidRPr="00CB31C3">
        <w:t>This data was sourced from the AGPC, event intercept surveys from the 2022 event (with values escalated to $2023) and analysis supported by data from the 2023 F1 Online survey and previous F1®GP</w:t>
      </w:r>
      <w:r w:rsidR="00103C94">
        <w:t xml:space="preserve"> </w:t>
      </w:r>
      <w:r w:rsidRPr="00CB31C3">
        <w:t>post event assessments (where current information was not available). The 2022</w:t>
      </w:r>
      <w:r w:rsidR="004E640C">
        <w:t xml:space="preserve"> event intercept survey collected data including visitor origin, reason for visit, number of accompanying persons, average length of stay per trip, average spend and satisfaction with the event.</w:t>
      </w:r>
    </w:p>
    <w:p w14:paraId="6ECF02BD" w14:textId="77777777" w:rsidR="004E640C" w:rsidRPr="00E70814" w:rsidRDefault="004E640C" w:rsidP="002B0DEA">
      <w:pPr>
        <w:pStyle w:val="Heading3"/>
      </w:pPr>
      <w:bookmarkStart w:id="27" w:name="_Toc198738852"/>
      <w:bookmarkStart w:id="28" w:name="_Toc199255811"/>
      <w:r w:rsidRPr="00E70814">
        <w:t>Economic impact</w:t>
      </w:r>
      <w:bookmarkEnd w:id="27"/>
      <w:bookmarkEnd w:id="28"/>
    </w:p>
    <w:p w14:paraId="5ADB5DEF" w14:textId="46577870" w:rsidR="004E640C" w:rsidRDefault="004E640C" w:rsidP="004E640C">
      <w:r>
        <w:t xml:space="preserve">The additional direct spending produces additional rounds of spending and income generation. For example, additional money spent at restaurants is allocated between the additional material inputs (such as food and drink), wages, and profits of the proprietor. Wages spent by the employees for example, on household items, circulates money throughout a broader section of the economy creating indirect benefits. To estimate </w:t>
      </w:r>
      <w:r w:rsidR="000754E2">
        <w:t>this additional flow</w:t>
      </w:r>
      <w:r>
        <w:t xml:space="preserve"> on benefits (indirect impact), EY has used General Input Output Multiplier (GIOM) used by the Victorian State Government. The GIOM utilises the national input output</w:t>
      </w:r>
      <w:r w:rsidR="0092198E">
        <w:t xml:space="preserve"> </w:t>
      </w:r>
      <w:r>
        <w:t>tables and is based on all industries in the economy.</w:t>
      </w:r>
    </w:p>
    <w:p w14:paraId="2CAF8AAB" w14:textId="77777777" w:rsidR="004E640C" w:rsidRDefault="004E640C" w:rsidP="002B0DEA">
      <w:pPr>
        <w:pStyle w:val="Heading3"/>
      </w:pPr>
      <w:bookmarkStart w:id="29" w:name="_Toc198738853"/>
      <w:bookmarkStart w:id="30" w:name="_Toc199255812"/>
      <w:r>
        <w:t>Full Time Equivalent Employment (FTE)</w:t>
      </w:r>
      <w:bookmarkEnd w:id="29"/>
      <w:bookmarkEnd w:id="30"/>
    </w:p>
    <w:p w14:paraId="09997C2C" w14:textId="1586DDD5" w:rsidR="004E640C" w:rsidRDefault="004E640C" w:rsidP="004E640C">
      <w:r>
        <w:t>To estimate the employment impact, EY conducted an Input</w:t>
      </w:r>
      <w:r w:rsidR="0092198E">
        <w:t xml:space="preserve"> </w:t>
      </w:r>
      <w:r>
        <w:t>Output (IO) multiplier analysis (IO multipliers supplied by</w:t>
      </w:r>
      <w:r w:rsidR="0092198E">
        <w:t xml:space="preserve"> </w:t>
      </w:r>
      <w:r>
        <w:t>REMPLAN).</w:t>
      </w:r>
    </w:p>
    <w:p w14:paraId="603D68C4" w14:textId="77777777" w:rsidR="004E640C" w:rsidRDefault="004E640C" w:rsidP="002B0DEA">
      <w:pPr>
        <w:pStyle w:val="Heading3"/>
      </w:pPr>
      <w:bookmarkStart w:id="31" w:name="_Toc198738854"/>
      <w:bookmarkStart w:id="32" w:name="_Toc199255813"/>
      <w:r>
        <w:t xml:space="preserve">Estimate of </w:t>
      </w:r>
      <w:r w:rsidRPr="002B0DEA">
        <w:t>attendance</w:t>
      </w:r>
      <w:bookmarkEnd w:id="31"/>
      <w:bookmarkEnd w:id="32"/>
    </w:p>
    <w:p w14:paraId="44937A71" w14:textId="2A178270" w:rsidR="002B7166" w:rsidRDefault="004E640C" w:rsidP="004E640C">
      <w:r>
        <w:t>Total ticket attendance data was provided by Ticketmaster.</w:t>
      </w:r>
      <w:r w:rsidR="0092198E">
        <w:t xml:space="preserve"> </w:t>
      </w:r>
      <w:r>
        <w:t>Ticketmaster data was also used to estimate the origin of</w:t>
      </w:r>
      <w:r w:rsidR="0092198E">
        <w:t xml:space="preserve"> </w:t>
      </w:r>
      <w:r>
        <w:t>attendees for General Admission, Grandstand and Corporate</w:t>
      </w:r>
      <w:r w:rsidR="0092198E">
        <w:t xml:space="preserve"> </w:t>
      </w:r>
      <w:r>
        <w:lastRenderedPageBreak/>
        <w:t>Hospitality ticket holders. Attendees were classified as</w:t>
      </w:r>
      <w:r w:rsidR="0092198E">
        <w:t xml:space="preserve"> </w:t>
      </w:r>
      <w:r>
        <w:t>either Victorian, interstate or overseas. As for other</w:t>
      </w:r>
      <w:r w:rsidR="0092198E">
        <w:t xml:space="preserve"> </w:t>
      </w:r>
      <w:r>
        <w:t>attendees such as media, Motorsport Australia officials and</w:t>
      </w:r>
      <w:r w:rsidR="0092198E">
        <w:t xml:space="preserve"> </w:t>
      </w:r>
      <w:r>
        <w:t>other accredited persons, the number and origin of these</w:t>
      </w:r>
      <w:r w:rsidR="0092198E">
        <w:t xml:space="preserve"> </w:t>
      </w:r>
      <w:r>
        <w:t>attendees was estimated using a combination of</w:t>
      </w:r>
      <w:r w:rsidR="0092198E">
        <w:t xml:space="preserve"> </w:t>
      </w:r>
      <w:r>
        <w:t>accreditation data from AGPC and previous F1® GP</w:t>
      </w:r>
      <w:r w:rsidR="0092198E">
        <w:t xml:space="preserve"> </w:t>
      </w:r>
      <w:r>
        <w:t>economic studies where adequate data was not available.</w:t>
      </w:r>
    </w:p>
    <w:p w14:paraId="0718A8F3" w14:textId="77777777" w:rsidR="00E70814" w:rsidRDefault="00E70814" w:rsidP="00E70814">
      <w:pPr>
        <w:pStyle w:val="Heading3"/>
      </w:pPr>
      <w:bookmarkStart w:id="33" w:name="_Toc195020145"/>
      <w:bookmarkStart w:id="34" w:name="_Toc195020297"/>
      <w:bookmarkStart w:id="35" w:name="_Toc198738855"/>
      <w:bookmarkStart w:id="36" w:name="_Toc199255814"/>
      <w:r w:rsidRPr="00C4076A">
        <w:t>Simplified economic impact methodology</w:t>
      </w:r>
      <w:bookmarkEnd w:id="33"/>
      <w:bookmarkEnd w:id="34"/>
      <w:bookmarkEnd w:id="35"/>
      <w:bookmarkEnd w:id="36"/>
    </w:p>
    <w:p w14:paraId="7E22C7AD" w14:textId="77777777" w:rsidR="005A7FEB" w:rsidRPr="005A7FEB" w:rsidRDefault="005A7FEB" w:rsidP="005A7FEB">
      <w:pPr>
        <w:pStyle w:val="NormalWeb"/>
        <w:rPr>
          <w:rFonts w:ascii="Arial" w:hAnsi="Arial" w:cs="Arial"/>
          <w:sz w:val="22"/>
          <w:szCs w:val="22"/>
        </w:rPr>
      </w:pPr>
      <w:r w:rsidRPr="005A7FEB">
        <w:rPr>
          <w:rFonts w:ascii="Arial" w:hAnsi="Arial" w:cs="Arial"/>
          <w:sz w:val="22"/>
          <w:szCs w:val="22"/>
        </w:rPr>
        <w:t>The economic impact to Victoria from hosting the 2022 Formula 1® Australian Grand Prix is calculated using the following components:</w:t>
      </w:r>
    </w:p>
    <w:p w14:paraId="1753434B" w14:textId="77777777" w:rsidR="005A7FEB" w:rsidRPr="005A7FEB" w:rsidRDefault="005A7FEB" w:rsidP="005A7FEB">
      <w:pPr>
        <w:pStyle w:val="NormalWeb"/>
        <w:numPr>
          <w:ilvl w:val="0"/>
          <w:numId w:val="28"/>
        </w:numPr>
        <w:rPr>
          <w:rFonts w:ascii="Arial" w:hAnsi="Arial" w:cs="Arial"/>
          <w:sz w:val="22"/>
          <w:szCs w:val="22"/>
        </w:rPr>
      </w:pPr>
      <w:r w:rsidRPr="005A7FEB">
        <w:rPr>
          <w:rStyle w:val="Strong"/>
          <w:rFonts w:ascii="Arial" w:eastAsiaTheme="majorEastAsia" w:hAnsi="Arial" w:cs="Arial"/>
          <w:b w:val="0"/>
          <w:bCs w:val="0"/>
          <w:sz w:val="22"/>
          <w:szCs w:val="22"/>
        </w:rPr>
        <w:t>Direct Expenditure:</w:t>
      </w:r>
    </w:p>
    <w:p w14:paraId="70494911" w14:textId="77777777" w:rsidR="005A7FEB" w:rsidRPr="005A7FEB" w:rsidRDefault="005A7FEB" w:rsidP="00F93595">
      <w:pPr>
        <w:pStyle w:val="NormalWeb"/>
        <w:numPr>
          <w:ilvl w:val="1"/>
          <w:numId w:val="29"/>
        </w:numPr>
        <w:rPr>
          <w:rFonts w:ascii="Arial" w:hAnsi="Arial" w:cs="Arial"/>
          <w:sz w:val="22"/>
          <w:szCs w:val="22"/>
        </w:rPr>
      </w:pPr>
      <w:r w:rsidRPr="005A7FEB">
        <w:rPr>
          <w:rFonts w:ascii="Arial" w:hAnsi="Arial" w:cs="Arial"/>
          <w:sz w:val="22"/>
          <w:szCs w:val="22"/>
        </w:rPr>
        <w:t>Spending in Victoria by interstate and international visitors, including those who attended specifically for the event or extended their stay because of it.</w:t>
      </w:r>
    </w:p>
    <w:p w14:paraId="4685138D" w14:textId="77777777" w:rsidR="005A7FEB" w:rsidRPr="005A7FEB" w:rsidRDefault="005A7FEB" w:rsidP="00F93595">
      <w:pPr>
        <w:pStyle w:val="NormalWeb"/>
        <w:numPr>
          <w:ilvl w:val="1"/>
          <w:numId w:val="29"/>
        </w:numPr>
        <w:rPr>
          <w:rFonts w:ascii="Arial" w:hAnsi="Arial" w:cs="Arial"/>
          <w:sz w:val="22"/>
          <w:szCs w:val="22"/>
        </w:rPr>
      </w:pPr>
      <w:r w:rsidRPr="005A7FEB">
        <w:rPr>
          <w:rFonts w:ascii="Arial" w:hAnsi="Arial" w:cs="Arial"/>
          <w:sz w:val="22"/>
          <w:szCs w:val="22"/>
        </w:rPr>
        <w:t>Spending by Victorian residents who remained in the state to attend the event rather than travelling elsewhere.</w:t>
      </w:r>
    </w:p>
    <w:p w14:paraId="7A4BE428" w14:textId="77777777" w:rsidR="005A7FEB" w:rsidRPr="005A7FEB" w:rsidRDefault="005A7FEB" w:rsidP="00F93595">
      <w:pPr>
        <w:pStyle w:val="NormalWeb"/>
        <w:numPr>
          <w:ilvl w:val="1"/>
          <w:numId w:val="29"/>
        </w:numPr>
        <w:rPr>
          <w:rFonts w:ascii="Arial" w:hAnsi="Arial" w:cs="Arial"/>
          <w:sz w:val="22"/>
          <w:szCs w:val="22"/>
        </w:rPr>
      </w:pPr>
      <w:r w:rsidRPr="005A7FEB">
        <w:rPr>
          <w:rFonts w:ascii="Arial" w:hAnsi="Arial" w:cs="Arial"/>
          <w:sz w:val="22"/>
          <w:szCs w:val="22"/>
        </w:rPr>
        <w:t>Event-related operational expenditure within Victoria that is sourced from outside the region.</w:t>
      </w:r>
    </w:p>
    <w:p w14:paraId="4C7CCDDD" w14:textId="77777777" w:rsidR="005A7FEB" w:rsidRPr="005A7FEB" w:rsidRDefault="005A7FEB" w:rsidP="005A7FEB">
      <w:pPr>
        <w:pStyle w:val="NormalWeb"/>
        <w:numPr>
          <w:ilvl w:val="0"/>
          <w:numId w:val="28"/>
        </w:numPr>
        <w:rPr>
          <w:rFonts w:ascii="Arial" w:hAnsi="Arial" w:cs="Arial"/>
          <w:sz w:val="22"/>
          <w:szCs w:val="22"/>
        </w:rPr>
      </w:pPr>
      <w:r w:rsidRPr="005A7FEB">
        <w:rPr>
          <w:rStyle w:val="Strong"/>
          <w:rFonts w:ascii="Arial" w:eastAsiaTheme="majorEastAsia" w:hAnsi="Arial" w:cs="Arial"/>
          <w:b w:val="0"/>
          <w:bCs w:val="0"/>
          <w:sz w:val="22"/>
          <w:szCs w:val="22"/>
        </w:rPr>
        <w:t>Multiplier Effect:</w:t>
      </w:r>
    </w:p>
    <w:p w14:paraId="6AF27086" w14:textId="77777777" w:rsidR="005A7FEB" w:rsidRPr="005A7FEB" w:rsidRDefault="005A7FEB" w:rsidP="00F93595">
      <w:pPr>
        <w:pStyle w:val="NormalWeb"/>
        <w:numPr>
          <w:ilvl w:val="1"/>
          <w:numId w:val="30"/>
        </w:numPr>
        <w:rPr>
          <w:rFonts w:ascii="Arial" w:hAnsi="Arial" w:cs="Arial"/>
          <w:sz w:val="22"/>
          <w:szCs w:val="22"/>
        </w:rPr>
      </w:pPr>
      <w:r w:rsidRPr="005A7FEB">
        <w:rPr>
          <w:rFonts w:ascii="Arial" w:hAnsi="Arial" w:cs="Arial"/>
          <w:sz w:val="22"/>
          <w:szCs w:val="22"/>
        </w:rPr>
        <w:t xml:space="preserve">The total direct expenditure (as defined above) is multiplied by </w:t>
      </w:r>
      <w:r w:rsidRPr="005A7FEB">
        <w:rPr>
          <w:rStyle w:val="Strong"/>
          <w:rFonts w:ascii="Arial" w:eastAsiaTheme="majorEastAsia" w:hAnsi="Arial" w:cs="Arial"/>
          <w:b w:val="0"/>
          <w:bCs w:val="0"/>
          <w:sz w:val="22"/>
          <w:szCs w:val="22"/>
        </w:rPr>
        <w:t>General Input-Output Model (GIOM) multipliers</w:t>
      </w:r>
      <w:r w:rsidRPr="005A7FEB">
        <w:rPr>
          <w:rFonts w:ascii="Arial" w:hAnsi="Arial" w:cs="Arial"/>
          <w:sz w:val="22"/>
          <w:szCs w:val="22"/>
        </w:rPr>
        <w:t>.</w:t>
      </w:r>
    </w:p>
    <w:p w14:paraId="71D3AB54" w14:textId="77777777" w:rsidR="005A7FEB" w:rsidRPr="005A7FEB" w:rsidRDefault="005A7FEB" w:rsidP="00F93595">
      <w:pPr>
        <w:pStyle w:val="NormalWeb"/>
        <w:numPr>
          <w:ilvl w:val="1"/>
          <w:numId w:val="30"/>
        </w:numPr>
        <w:rPr>
          <w:rFonts w:ascii="Arial" w:hAnsi="Arial" w:cs="Arial"/>
          <w:sz w:val="22"/>
          <w:szCs w:val="22"/>
        </w:rPr>
      </w:pPr>
      <w:r w:rsidRPr="005A7FEB">
        <w:rPr>
          <w:rFonts w:ascii="Arial" w:hAnsi="Arial" w:cs="Arial"/>
          <w:sz w:val="22"/>
          <w:szCs w:val="22"/>
        </w:rPr>
        <w:t>These multipliers reflect the flow-on (indirect and induced) effects of spending within the state economy.</w:t>
      </w:r>
    </w:p>
    <w:p w14:paraId="6060B006" w14:textId="77777777" w:rsidR="005A7FEB" w:rsidRPr="005A7FEB" w:rsidRDefault="005A7FEB" w:rsidP="005A7FEB">
      <w:pPr>
        <w:pStyle w:val="NormalWeb"/>
        <w:numPr>
          <w:ilvl w:val="0"/>
          <w:numId w:val="28"/>
        </w:numPr>
        <w:rPr>
          <w:rFonts w:ascii="Arial" w:hAnsi="Arial" w:cs="Arial"/>
          <w:sz w:val="22"/>
          <w:szCs w:val="22"/>
        </w:rPr>
      </w:pPr>
      <w:r w:rsidRPr="005A7FEB">
        <w:rPr>
          <w:rStyle w:val="Strong"/>
          <w:rFonts w:ascii="Arial" w:eastAsiaTheme="majorEastAsia" w:hAnsi="Arial" w:cs="Arial"/>
          <w:b w:val="0"/>
          <w:bCs w:val="0"/>
          <w:sz w:val="22"/>
          <w:szCs w:val="22"/>
        </w:rPr>
        <w:t>Result – Total Economic Impact:</w:t>
      </w:r>
    </w:p>
    <w:p w14:paraId="2985E113" w14:textId="6FA92738" w:rsidR="002E4689" w:rsidRDefault="005A7FEB" w:rsidP="00F93595">
      <w:pPr>
        <w:pStyle w:val="NormalWeb"/>
        <w:numPr>
          <w:ilvl w:val="1"/>
          <w:numId w:val="31"/>
        </w:numPr>
        <w:rPr>
          <w:rFonts w:ascii="Arial" w:hAnsi="Arial" w:cs="Arial"/>
          <w:sz w:val="22"/>
          <w:szCs w:val="22"/>
        </w:rPr>
      </w:pPr>
      <w:r w:rsidRPr="005A7FEB">
        <w:rPr>
          <w:rFonts w:ascii="Arial" w:hAnsi="Arial" w:cs="Arial"/>
          <w:sz w:val="22"/>
          <w:szCs w:val="22"/>
        </w:rPr>
        <w:t xml:space="preserve">The outcome of applying the GIOM multipliers to the direct expenditure is the </w:t>
      </w:r>
      <w:r w:rsidRPr="005A7FEB">
        <w:rPr>
          <w:rStyle w:val="Strong"/>
          <w:rFonts w:ascii="Arial" w:eastAsiaTheme="majorEastAsia" w:hAnsi="Arial" w:cs="Arial"/>
          <w:b w:val="0"/>
          <w:bCs w:val="0"/>
          <w:sz w:val="22"/>
          <w:szCs w:val="22"/>
        </w:rPr>
        <w:t>total economic impact to Victoria</w:t>
      </w:r>
      <w:r w:rsidRPr="005A7FEB">
        <w:rPr>
          <w:rFonts w:ascii="Arial" w:hAnsi="Arial" w:cs="Arial"/>
          <w:sz w:val="22"/>
          <w:szCs w:val="22"/>
        </w:rPr>
        <w:t xml:space="preserve"> from the event.</w:t>
      </w:r>
    </w:p>
    <w:p w14:paraId="69EE225D" w14:textId="488B6BA7" w:rsidR="00666456" w:rsidRPr="002E4689" w:rsidRDefault="002E4689" w:rsidP="002E4689">
      <w:pPr>
        <w:spacing w:line="259" w:lineRule="auto"/>
        <w:rPr>
          <w:rFonts w:eastAsia="Times New Roman" w:cs="Arial"/>
          <w:lang w:eastAsia="en-AU"/>
        </w:rPr>
      </w:pPr>
      <w:r>
        <w:rPr>
          <w:rFonts w:cs="Arial"/>
        </w:rPr>
        <w:br w:type="page"/>
      </w:r>
    </w:p>
    <w:p w14:paraId="75A4154D" w14:textId="22B6A76A" w:rsidR="00C4076A" w:rsidRPr="00AC3D25" w:rsidRDefault="005B781A" w:rsidP="00AC3D25">
      <w:pPr>
        <w:pStyle w:val="Heading1"/>
      </w:pPr>
      <w:bookmarkStart w:id="37" w:name="_Toc198738856"/>
      <w:bookmarkStart w:id="38" w:name="_Toc199255815"/>
      <w:r w:rsidRPr="00AC3D25">
        <w:lastRenderedPageBreak/>
        <w:t>3.</w:t>
      </w:r>
      <w:r w:rsidR="00791B4A" w:rsidRPr="00AC3D25">
        <w:rPr>
          <w:rStyle w:val="Heading1Char"/>
        </w:rPr>
        <w:t>Economic Impact</w:t>
      </w:r>
      <w:bookmarkEnd w:id="37"/>
      <w:bookmarkEnd w:id="38"/>
      <w:r w:rsidR="00C4076A" w:rsidRPr="00AC3D25">
        <w:t xml:space="preserve"> </w:t>
      </w:r>
    </w:p>
    <w:p w14:paraId="5C128E58" w14:textId="4D875D4F" w:rsidR="00791B4A" w:rsidRPr="00791B4A" w:rsidRDefault="00791B4A" w:rsidP="00B432FB">
      <w:bookmarkStart w:id="39" w:name="_Toc195024286"/>
      <w:bookmarkStart w:id="40" w:name="_Toc198738857"/>
      <w:r w:rsidRPr="00791B4A">
        <w:t xml:space="preserve">The event is estimated to have increased Victoria’s GSP by up to $268 million and </w:t>
      </w:r>
      <w:r>
        <w:t>s</w:t>
      </w:r>
      <w:r w:rsidRPr="00791B4A">
        <w:t>upported an additional 1,149 FTE.</w:t>
      </w:r>
      <w:bookmarkEnd w:id="39"/>
      <w:bookmarkEnd w:id="40"/>
    </w:p>
    <w:p w14:paraId="561307F5" w14:textId="77777777" w:rsidR="009007CE" w:rsidRPr="009007CE" w:rsidRDefault="009007CE" w:rsidP="00AC3D25">
      <w:pPr>
        <w:pStyle w:val="Heading2"/>
      </w:pPr>
      <w:bookmarkStart w:id="41" w:name="_Toc198738858"/>
      <w:bookmarkStart w:id="42" w:name="_Toc199255816"/>
      <w:r w:rsidRPr="009007CE">
        <w:t>Summary</w:t>
      </w:r>
      <w:bookmarkEnd w:id="41"/>
      <w:bookmarkEnd w:id="42"/>
    </w:p>
    <w:p w14:paraId="33251BD8" w14:textId="77777777" w:rsidR="009007CE" w:rsidRPr="009007CE" w:rsidRDefault="009007CE" w:rsidP="009007CE">
      <w:r w:rsidRPr="009007CE">
        <w:t>The 2023 event, with a gross attendance of 444,631, generated the following economic impacts for Victoria:</w:t>
      </w:r>
    </w:p>
    <w:p w14:paraId="31A9FF24" w14:textId="77777777" w:rsidR="009007CE" w:rsidRPr="009007CE" w:rsidRDefault="009007CE" w:rsidP="009007CE">
      <w:pPr>
        <w:pStyle w:val="ListParagraph"/>
        <w:numPr>
          <w:ilvl w:val="0"/>
          <w:numId w:val="19"/>
        </w:numPr>
      </w:pPr>
      <w:r w:rsidRPr="009007CE">
        <w:t>$144m in direct expenditure</w:t>
      </w:r>
    </w:p>
    <w:p w14:paraId="61ADE177" w14:textId="77777777" w:rsidR="009007CE" w:rsidRPr="009007CE" w:rsidRDefault="009007CE" w:rsidP="009007CE">
      <w:pPr>
        <w:pStyle w:val="ListParagraph"/>
        <w:numPr>
          <w:ilvl w:val="0"/>
          <w:numId w:val="19"/>
        </w:numPr>
      </w:pPr>
      <w:r w:rsidRPr="009007CE">
        <w:t>$268m in total economic impact (including direct and indirect)</w:t>
      </w:r>
    </w:p>
    <w:p w14:paraId="66AF86D1" w14:textId="77777777" w:rsidR="009007CE" w:rsidRPr="009007CE" w:rsidRDefault="009007CE" w:rsidP="009007CE">
      <w:pPr>
        <w:pStyle w:val="ListParagraph"/>
        <w:numPr>
          <w:ilvl w:val="0"/>
          <w:numId w:val="19"/>
        </w:numPr>
      </w:pPr>
      <w:r w:rsidRPr="009007CE">
        <w:t>1,149 jobs (FTE), including 614 direct jobs and 535 indirect.</w:t>
      </w:r>
    </w:p>
    <w:p w14:paraId="5F2C8CF7" w14:textId="7C37BA94" w:rsidR="00C22E0F" w:rsidRDefault="00E744B2" w:rsidP="00B63BD9">
      <w:pPr>
        <w:pStyle w:val="Heading3"/>
      </w:pPr>
      <w:bookmarkStart w:id="43" w:name="_Toc199255817"/>
      <w:bookmarkStart w:id="44" w:name="_Toc195024288"/>
      <w:bookmarkStart w:id="45" w:name="_Toc198738859"/>
      <w:r>
        <w:t xml:space="preserve">Estimated </w:t>
      </w:r>
      <w:r w:rsidR="003069FC">
        <w:t>e</w:t>
      </w:r>
      <w:r>
        <w:t xml:space="preserve">conomic </w:t>
      </w:r>
      <w:r w:rsidR="003069FC">
        <w:t>i</w:t>
      </w:r>
      <w:r>
        <w:t>mpact to Victoria</w:t>
      </w:r>
      <w:bookmarkEnd w:id="43"/>
    </w:p>
    <w:p w14:paraId="453E21BE" w14:textId="429EBFB0" w:rsidR="00791B4A" w:rsidRPr="009007CE" w:rsidRDefault="009007CE" w:rsidP="00122977">
      <w:r w:rsidRPr="009007CE">
        <w:t xml:space="preserve">A breakdown of the estimated results </w:t>
      </w:r>
      <w:r w:rsidR="00BE43C9" w:rsidRPr="009007CE">
        <w:t>is</w:t>
      </w:r>
      <w:r w:rsidRPr="009007CE">
        <w:t xml:space="preserve"> provided in the table below. A summary of visitor expenditure across visitor type is </w:t>
      </w:r>
      <w:r w:rsidR="00336B41">
        <w:t xml:space="preserve">also </w:t>
      </w:r>
      <w:r w:rsidRPr="009007CE">
        <w:t xml:space="preserve">provided </w:t>
      </w:r>
      <w:r w:rsidR="00CB5F90">
        <w:t>below</w:t>
      </w:r>
      <w:r w:rsidRPr="009007CE">
        <w:t>.</w:t>
      </w:r>
      <w:bookmarkEnd w:id="44"/>
      <w:bookmarkEnd w:id="45"/>
    </w:p>
    <w:tbl>
      <w:tblPr>
        <w:tblStyle w:val="GridTable4"/>
        <w:tblW w:w="0" w:type="auto"/>
        <w:tblLook w:val="06A0" w:firstRow="1" w:lastRow="0" w:firstColumn="1" w:lastColumn="0" w:noHBand="1" w:noVBand="1"/>
      </w:tblPr>
      <w:tblGrid>
        <w:gridCol w:w="6516"/>
        <w:gridCol w:w="2500"/>
      </w:tblGrid>
      <w:tr w:rsidR="00503DED" w14:paraId="1773BFA2" w14:textId="77777777" w:rsidTr="00625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140F23" w14:textId="52301252" w:rsidR="00503DED" w:rsidRPr="00660665" w:rsidRDefault="0011478A" w:rsidP="00223432">
            <w:pPr>
              <w:rPr>
                <w:color w:val="auto"/>
              </w:rPr>
            </w:pPr>
            <w:r>
              <w:rPr>
                <w:color w:val="auto"/>
              </w:rPr>
              <w:t>Estimated economic impact to Victoria</w:t>
            </w:r>
          </w:p>
        </w:tc>
        <w:tc>
          <w:tcPr>
            <w:tcW w:w="2500" w:type="dxa"/>
          </w:tcPr>
          <w:p w14:paraId="24958749" w14:textId="77777777" w:rsidR="00503DED" w:rsidRPr="00660665" w:rsidRDefault="00503DED" w:rsidP="00223432">
            <w:pPr>
              <w:cnfStyle w:val="100000000000" w:firstRow="1" w:lastRow="0" w:firstColumn="0" w:lastColumn="0" w:oddVBand="0" w:evenVBand="0" w:oddHBand="0" w:evenHBand="0" w:firstRowFirstColumn="0" w:firstRowLastColumn="0" w:lastRowFirstColumn="0" w:lastRowLastColumn="0"/>
              <w:rPr>
                <w:color w:val="auto"/>
              </w:rPr>
            </w:pPr>
            <w:r w:rsidRPr="00660665">
              <w:rPr>
                <w:color w:val="auto"/>
              </w:rPr>
              <w:t xml:space="preserve">Total effect ($’000) </w:t>
            </w:r>
          </w:p>
        </w:tc>
      </w:tr>
      <w:tr w:rsidR="00503DED" w14:paraId="38816B98" w14:textId="77777777" w:rsidTr="006254F1">
        <w:tc>
          <w:tcPr>
            <w:cnfStyle w:val="001000000000" w:firstRow="0" w:lastRow="0" w:firstColumn="1" w:lastColumn="0" w:oddVBand="0" w:evenVBand="0" w:oddHBand="0" w:evenHBand="0" w:firstRowFirstColumn="0" w:firstRowLastColumn="0" w:lastRowFirstColumn="0" w:lastRowLastColumn="0"/>
            <w:tcW w:w="6516" w:type="dxa"/>
          </w:tcPr>
          <w:p w14:paraId="4E8B6199" w14:textId="77777777" w:rsidR="00503DED" w:rsidRPr="005B781A" w:rsidRDefault="00503DED" w:rsidP="00223432">
            <w:pPr>
              <w:rPr>
                <w:b w:val="0"/>
                <w:bCs w:val="0"/>
              </w:rPr>
            </w:pPr>
            <w:r w:rsidRPr="005B781A">
              <w:rPr>
                <w:b w:val="0"/>
                <w:bCs w:val="0"/>
              </w:rPr>
              <w:t>Visitor expenditure from specific and extended stay visitors</w:t>
            </w:r>
          </w:p>
        </w:tc>
        <w:tc>
          <w:tcPr>
            <w:tcW w:w="2500" w:type="dxa"/>
          </w:tcPr>
          <w:p w14:paraId="542C09D1" w14:textId="34C844E0" w:rsidR="00503DED" w:rsidRPr="00C11D71" w:rsidRDefault="00021275" w:rsidP="00021275">
            <w:pPr>
              <w:pStyle w:val="Default"/>
              <w:cnfStyle w:val="000000000000" w:firstRow="0" w:lastRow="0" w:firstColumn="0" w:lastColumn="0" w:oddVBand="0" w:evenVBand="0" w:oddHBand="0" w:evenHBand="0" w:firstRowFirstColumn="0" w:firstRowLastColumn="0" w:lastRowFirstColumn="0" w:lastRowLastColumn="0"/>
              <w:rPr>
                <w:rFonts w:ascii="Arial" w:hAnsi="Arial" w:cstheme="minorBidi"/>
                <w:color w:val="auto"/>
                <w:sz w:val="22"/>
                <w:szCs w:val="22"/>
              </w:rPr>
            </w:pPr>
            <w:r w:rsidRPr="00C11D71">
              <w:rPr>
                <w:rFonts w:ascii="Arial" w:hAnsi="Arial" w:cstheme="minorBidi"/>
                <w:color w:val="auto"/>
                <w:sz w:val="22"/>
                <w:szCs w:val="22"/>
              </w:rPr>
              <w:t>$127,791</w:t>
            </w:r>
          </w:p>
        </w:tc>
      </w:tr>
      <w:tr w:rsidR="00503DED" w14:paraId="4EC7F170" w14:textId="77777777" w:rsidTr="006254F1">
        <w:tc>
          <w:tcPr>
            <w:cnfStyle w:val="001000000000" w:firstRow="0" w:lastRow="0" w:firstColumn="1" w:lastColumn="0" w:oddVBand="0" w:evenVBand="0" w:oddHBand="0" w:evenHBand="0" w:firstRowFirstColumn="0" w:firstRowLastColumn="0" w:lastRowFirstColumn="0" w:lastRowLastColumn="0"/>
            <w:tcW w:w="6516" w:type="dxa"/>
          </w:tcPr>
          <w:p w14:paraId="580989CC" w14:textId="3931B790" w:rsidR="00503DED" w:rsidRPr="00C11D71" w:rsidRDefault="00021275" w:rsidP="00021275">
            <w:pPr>
              <w:pStyle w:val="Default"/>
              <w:rPr>
                <w:rFonts w:ascii="Arial" w:hAnsi="Arial" w:cstheme="minorBidi"/>
                <w:b w:val="0"/>
                <w:bCs w:val="0"/>
                <w:color w:val="auto"/>
                <w:sz w:val="22"/>
                <w:szCs w:val="22"/>
              </w:rPr>
            </w:pPr>
            <w:r w:rsidRPr="00C11D71">
              <w:rPr>
                <w:rFonts w:ascii="Arial" w:hAnsi="Arial" w:cstheme="minorBidi"/>
                <w:b w:val="0"/>
                <w:bCs w:val="0"/>
                <w:color w:val="auto"/>
                <w:sz w:val="22"/>
                <w:szCs w:val="22"/>
              </w:rPr>
              <w:t>Retained Expenditure: expenditure from Victorian residents that remains in the State due to Victoria hosting the F1® Australian GP (instead of another state)</w:t>
            </w:r>
          </w:p>
        </w:tc>
        <w:tc>
          <w:tcPr>
            <w:tcW w:w="2500" w:type="dxa"/>
          </w:tcPr>
          <w:p w14:paraId="00F84050" w14:textId="77895D67" w:rsidR="00503DED" w:rsidRPr="00C11D71" w:rsidRDefault="00021275" w:rsidP="00021275">
            <w:pPr>
              <w:pStyle w:val="Default"/>
              <w:cnfStyle w:val="000000000000" w:firstRow="0" w:lastRow="0" w:firstColumn="0" w:lastColumn="0" w:oddVBand="0" w:evenVBand="0" w:oddHBand="0" w:evenHBand="0" w:firstRowFirstColumn="0" w:firstRowLastColumn="0" w:lastRowFirstColumn="0" w:lastRowLastColumn="0"/>
              <w:rPr>
                <w:rFonts w:ascii="Arial" w:hAnsi="Arial" w:cstheme="minorBidi"/>
                <w:color w:val="auto"/>
                <w:sz w:val="22"/>
                <w:szCs w:val="22"/>
              </w:rPr>
            </w:pPr>
            <w:r w:rsidRPr="00C11D71">
              <w:rPr>
                <w:rFonts w:ascii="Arial" w:hAnsi="Arial" w:cstheme="minorBidi"/>
                <w:color w:val="auto"/>
                <w:sz w:val="22"/>
                <w:szCs w:val="22"/>
              </w:rPr>
              <w:t>$39,821</w:t>
            </w:r>
          </w:p>
        </w:tc>
      </w:tr>
      <w:tr w:rsidR="00503DED" w14:paraId="770A4CF0" w14:textId="77777777" w:rsidTr="006254F1">
        <w:tc>
          <w:tcPr>
            <w:cnfStyle w:val="001000000000" w:firstRow="0" w:lastRow="0" w:firstColumn="1" w:lastColumn="0" w:oddVBand="0" w:evenVBand="0" w:oddHBand="0" w:evenHBand="0" w:firstRowFirstColumn="0" w:firstRowLastColumn="0" w:lastRowFirstColumn="0" w:lastRowLastColumn="0"/>
            <w:tcW w:w="6516" w:type="dxa"/>
          </w:tcPr>
          <w:p w14:paraId="67862E40" w14:textId="77777777" w:rsidR="00503DED" w:rsidRPr="005B781A" w:rsidRDefault="00503DED" w:rsidP="00223432">
            <w:pPr>
              <w:rPr>
                <w:b w:val="0"/>
                <w:bCs w:val="0"/>
              </w:rPr>
            </w:pPr>
            <w:r w:rsidRPr="005B781A">
              <w:rPr>
                <w:b w:val="0"/>
                <w:bCs w:val="0"/>
              </w:rPr>
              <w:t>The event operations impact</w:t>
            </w:r>
          </w:p>
        </w:tc>
        <w:tc>
          <w:tcPr>
            <w:tcW w:w="2500" w:type="dxa"/>
          </w:tcPr>
          <w:p w14:paraId="21A94D61" w14:textId="14D5496D" w:rsidR="00503DED" w:rsidRPr="00C11D71" w:rsidRDefault="00021275" w:rsidP="00021275">
            <w:pPr>
              <w:pStyle w:val="Default"/>
              <w:cnfStyle w:val="000000000000" w:firstRow="0" w:lastRow="0" w:firstColumn="0" w:lastColumn="0" w:oddVBand="0" w:evenVBand="0" w:oddHBand="0" w:evenHBand="0" w:firstRowFirstColumn="0" w:firstRowLastColumn="0" w:lastRowFirstColumn="0" w:lastRowLastColumn="0"/>
              <w:rPr>
                <w:rFonts w:ascii="Arial" w:hAnsi="Arial" w:cstheme="minorBidi"/>
                <w:color w:val="auto"/>
                <w:sz w:val="22"/>
                <w:szCs w:val="22"/>
              </w:rPr>
            </w:pPr>
            <w:r w:rsidRPr="00C11D71">
              <w:rPr>
                <w:rFonts w:ascii="Arial" w:hAnsi="Arial" w:cstheme="minorBidi"/>
                <w:color w:val="auto"/>
                <w:sz w:val="22"/>
                <w:szCs w:val="22"/>
              </w:rPr>
              <w:t>-$23,643</w:t>
            </w:r>
            <w:r w:rsidR="00B4245A">
              <w:rPr>
                <w:rFonts w:ascii="Arial" w:hAnsi="Arial" w:cstheme="minorBidi"/>
                <w:color w:val="auto"/>
                <w:sz w:val="22"/>
                <w:szCs w:val="22"/>
              </w:rPr>
              <w:t xml:space="preserve"> </w:t>
            </w:r>
            <w:hyperlink w:anchor="ref00001" w:history="1">
              <w:r w:rsidR="00B4245A" w:rsidRPr="00B4245A">
                <w:rPr>
                  <w:rStyle w:val="Hyperlink"/>
                  <w:rFonts w:ascii="Arial" w:hAnsi="Arial" w:cstheme="minorBidi"/>
                  <w:sz w:val="22"/>
                  <w:szCs w:val="22"/>
                </w:rPr>
                <w:t>[1]</w:t>
              </w:r>
            </w:hyperlink>
          </w:p>
        </w:tc>
      </w:tr>
      <w:tr w:rsidR="00503DED" w14:paraId="7B955F07" w14:textId="77777777" w:rsidTr="006254F1">
        <w:tc>
          <w:tcPr>
            <w:cnfStyle w:val="001000000000" w:firstRow="0" w:lastRow="0" w:firstColumn="1" w:lastColumn="0" w:oddVBand="0" w:evenVBand="0" w:oddHBand="0" w:evenHBand="0" w:firstRowFirstColumn="0" w:firstRowLastColumn="0" w:lastRowFirstColumn="0" w:lastRowLastColumn="0"/>
            <w:tcW w:w="6516" w:type="dxa"/>
          </w:tcPr>
          <w:p w14:paraId="6136970F" w14:textId="77777777" w:rsidR="00503DED" w:rsidRPr="005B781A" w:rsidRDefault="00503DED" w:rsidP="00223432">
            <w:pPr>
              <w:rPr>
                <w:b w:val="0"/>
                <w:bCs w:val="0"/>
              </w:rPr>
            </w:pPr>
            <w:r w:rsidRPr="005B781A">
              <w:rPr>
                <w:b w:val="0"/>
                <w:bCs w:val="0"/>
              </w:rPr>
              <w:t xml:space="preserve">Increase in direct expenditure </w:t>
            </w:r>
          </w:p>
        </w:tc>
        <w:tc>
          <w:tcPr>
            <w:tcW w:w="2500" w:type="dxa"/>
          </w:tcPr>
          <w:p w14:paraId="064E0EAB" w14:textId="2BA1F96B" w:rsidR="00503DED" w:rsidRPr="00C11D71" w:rsidRDefault="00C11D71" w:rsidP="00C11D71">
            <w:pPr>
              <w:pStyle w:val="Default"/>
              <w:cnfStyle w:val="000000000000" w:firstRow="0" w:lastRow="0" w:firstColumn="0" w:lastColumn="0" w:oddVBand="0" w:evenVBand="0" w:oddHBand="0" w:evenHBand="0" w:firstRowFirstColumn="0" w:firstRowLastColumn="0" w:lastRowFirstColumn="0" w:lastRowLastColumn="0"/>
              <w:rPr>
                <w:rFonts w:ascii="Arial" w:hAnsi="Arial" w:cstheme="minorBidi"/>
                <w:color w:val="auto"/>
                <w:sz w:val="22"/>
                <w:szCs w:val="22"/>
              </w:rPr>
            </w:pPr>
            <w:r w:rsidRPr="00C11D71">
              <w:rPr>
                <w:rFonts w:ascii="Arial" w:hAnsi="Arial" w:cstheme="minorBidi"/>
                <w:color w:val="auto"/>
                <w:sz w:val="22"/>
                <w:szCs w:val="22"/>
              </w:rPr>
              <w:t>$143,969</w:t>
            </w:r>
          </w:p>
        </w:tc>
      </w:tr>
      <w:tr w:rsidR="00503DED" w14:paraId="5EAD86DE" w14:textId="77777777" w:rsidTr="006254F1">
        <w:tc>
          <w:tcPr>
            <w:cnfStyle w:val="001000000000" w:firstRow="0" w:lastRow="0" w:firstColumn="1" w:lastColumn="0" w:oddVBand="0" w:evenVBand="0" w:oddHBand="0" w:evenHBand="0" w:firstRowFirstColumn="0" w:firstRowLastColumn="0" w:lastRowFirstColumn="0" w:lastRowLastColumn="0"/>
            <w:tcW w:w="6516" w:type="dxa"/>
          </w:tcPr>
          <w:p w14:paraId="2C6B967E" w14:textId="77777777" w:rsidR="00503DED" w:rsidRPr="005B781A" w:rsidRDefault="00503DED" w:rsidP="00223432">
            <w:pPr>
              <w:rPr>
                <w:b w:val="0"/>
                <w:bCs w:val="0"/>
              </w:rPr>
            </w:pPr>
            <w:r w:rsidRPr="005B781A">
              <w:rPr>
                <w:b w:val="0"/>
                <w:bCs w:val="0"/>
              </w:rPr>
              <w:t xml:space="preserve">Value-add / Economic impact </w:t>
            </w:r>
          </w:p>
        </w:tc>
        <w:tc>
          <w:tcPr>
            <w:tcW w:w="2500" w:type="dxa"/>
          </w:tcPr>
          <w:p w14:paraId="3679187F" w14:textId="21219CA8" w:rsidR="00503DED" w:rsidRPr="00C11D71" w:rsidRDefault="00C11D71" w:rsidP="00C11D71">
            <w:pPr>
              <w:pStyle w:val="Default"/>
              <w:cnfStyle w:val="000000000000" w:firstRow="0" w:lastRow="0" w:firstColumn="0" w:lastColumn="0" w:oddVBand="0" w:evenVBand="0" w:oddHBand="0" w:evenHBand="0" w:firstRowFirstColumn="0" w:firstRowLastColumn="0" w:lastRowFirstColumn="0" w:lastRowLastColumn="0"/>
              <w:rPr>
                <w:rFonts w:ascii="Arial" w:hAnsi="Arial" w:cstheme="minorBidi"/>
                <w:color w:val="auto"/>
                <w:sz w:val="22"/>
                <w:szCs w:val="22"/>
              </w:rPr>
            </w:pPr>
            <w:r w:rsidRPr="00C11D71">
              <w:rPr>
                <w:rFonts w:ascii="Arial" w:hAnsi="Arial" w:cstheme="minorBidi"/>
                <w:color w:val="auto"/>
                <w:sz w:val="22"/>
                <w:szCs w:val="22"/>
              </w:rPr>
              <w:t>$267,783</w:t>
            </w:r>
          </w:p>
        </w:tc>
      </w:tr>
      <w:tr w:rsidR="00503DED" w14:paraId="27E6A9C8" w14:textId="77777777" w:rsidTr="006254F1">
        <w:tc>
          <w:tcPr>
            <w:cnfStyle w:val="001000000000" w:firstRow="0" w:lastRow="0" w:firstColumn="1" w:lastColumn="0" w:oddVBand="0" w:evenVBand="0" w:oddHBand="0" w:evenHBand="0" w:firstRowFirstColumn="0" w:firstRowLastColumn="0" w:lastRowFirstColumn="0" w:lastRowLastColumn="0"/>
            <w:tcW w:w="6516" w:type="dxa"/>
          </w:tcPr>
          <w:p w14:paraId="421BDE78" w14:textId="6AC22124" w:rsidR="00503DED" w:rsidRPr="005B781A" w:rsidRDefault="00503DED" w:rsidP="00223432">
            <w:pPr>
              <w:rPr>
                <w:b w:val="0"/>
                <w:bCs w:val="0"/>
              </w:rPr>
            </w:pPr>
            <w:r w:rsidRPr="005B781A">
              <w:rPr>
                <w:b w:val="0"/>
                <w:bCs w:val="0"/>
              </w:rPr>
              <w:t>Jobs (FTE)</w:t>
            </w:r>
          </w:p>
        </w:tc>
        <w:tc>
          <w:tcPr>
            <w:tcW w:w="2500" w:type="dxa"/>
          </w:tcPr>
          <w:p w14:paraId="42328A0B" w14:textId="42942CFA" w:rsidR="00503DED" w:rsidRPr="00C4076A" w:rsidRDefault="00C11D71" w:rsidP="00223432">
            <w:pPr>
              <w:cnfStyle w:val="000000000000" w:firstRow="0" w:lastRow="0" w:firstColumn="0" w:lastColumn="0" w:oddVBand="0" w:evenVBand="0" w:oddHBand="0" w:evenHBand="0" w:firstRowFirstColumn="0" w:firstRowLastColumn="0" w:lastRowFirstColumn="0" w:lastRowLastColumn="0"/>
            </w:pPr>
            <w:r>
              <w:t>1,149</w:t>
            </w:r>
            <w:r w:rsidR="00CE2BCE">
              <w:t xml:space="preserve"> </w:t>
            </w:r>
            <w:hyperlink w:anchor="ref00002" w:history="1">
              <w:r w:rsidR="00CE2BCE" w:rsidRPr="00CE2BCE">
                <w:rPr>
                  <w:rStyle w:val="Hyperlink"/>
                </w:rPr>
                <w:t>[2]</w:t>
              </w:r>
            </w:hyperlink>
          </w:p>
        </w:tc>
      </w:tr>
    </w:tbl>
    <w:p w14:paraId="5B26A7BA" w14:textId="7A43A59C" w:rsidR="009007CE" w:rsidRDefault="00C11D71" w:rsidP="00C11D71">
      <w:pPr>
        <w:spacing w:before="120"/>
      </w:pPr>
      <w:r w:rsidRPr="00C11D71">
        <w:t>Event operations impact is negative because a portion of the expenditure in hosting the event is not retained in Victoria</w:t>
      </w:r>
      <w:r>
        <w:t>.</w:t>
      </w:r>
    </w:p>
    <w:p w14:paraId="754EB945" w14:textId="69E1007C" w:rsidR="001621D0" w:rsidRDefault="001621D0" w:rsidP="00C11D71">
      <w:pPr>
        <w:spacing w:before="120"/>
      </w:pPr>
      <w:r w:rsidRPr="001621D0">
        <w:t>Based on IO multipliers supplied by REMPLAN</w:t>
      </w:r>
    </w:p>
    <w:p w14:paraId="3CD30A56" w14:textId="6A34204D" w:rsidR="009007CE" w:rsidRDefault="00DA0BAE" w:rsidP="009B3542">
      <w:r>
        <w:t>444,631 Gross attendance</w:t>
      </w:r>
    </w:p>
    <w:p w14:paraId="524C7CF4" w14:textId="7609E056" w:rsidR="00DA0BAE" w:rsidRDefault="000F38A0" w:rsidP="00DA0BAE">
      <w:pPr>
        <w:pStyle w:val="ListParagraph"/>
        <w:numPr>
          <w:ilvl w:val="0"/>
          <w:numId w:val="20"/>
        </w:numPr>
      </w:pPr>
      <w:r>
        <w:t>11,676 International (3%)</w:t>
      </w:r>
    </w:p>
    <w:p w14:paraId="5F2DCE10" w14:textId="644DF940" w:rsidR="000F38A0" w:rsidRDefault="000F38A0" w:rsidP="00DA0BAE">
      <w:pPr>
        <w:pStyle w:val="ListParagraph"/>
        <w:numPr>
          <w:ilvl w:val="0"/>
          <w:numId w:val="20"/>
        </w:numPr>
      </w:pPr>
      <w:r>
        <w:t>186,437 Interstate (42%)</w:t>
      </w:r>
    </w:p>
    <w:p w14:paraId="641B6336" w14:textId="6BEFEFD0" w:rsidR="000F38A0" w:rsidRDefault="000F38A0" w:rsidP="00DA0BAE">
      <w:pPr>
        <w:pStyle w:val="ListParagraph"/>
        <w:numPr>
          <w:ilvl w:val="0"/>
          <w:numId w:val="20"/>
        </w:numPr>
      </w:pPr>
      <w:r>
        <w:t>246,518 Victorians (55%)</w:t>
      </w:r>
    </w:p>
    <w:p w14:paraId="3A373081" w14:textId="24DBC09B" w:rsidR="000F38A0" w:rsidRDefault="009B3542" w:rsidP="000F38A0">
      <w:r w:rsidRPr="009B3542">
        <w:t>Visitation summary: Unique specific and extended visitors</w:t>
      </w:r>
    </w:p>
    <w:p w14:paraId="3F222195" w14:textId="371BA2EA" w:rsidR="009B3542" w:rsidRDefault="009B3542" w:rsidP="009B3542">
      <w:pPr>
        <w:pStyle w:val="ListParagraph"/>
        <w:numPr>
          <w:ilvl w:val="0"/>
          <w:numId w:val="21"/>
        </w:numPr>
      </w:pPr>
      <w:r w:rsidRPr="009B3542">
        <w:t>80,987 Total unique international and interstate specific and extended stay visitors</w:t>
      </w:r>
    </w:p>
    <w:p w14:paraId="55D2022E" w14:textId="11C39273" w:rsidR="009B3542" w:rsidRDefault="009B3542" w:rsidP="009B3542">
      <w:pPr>
        <w:pStyle w:val="ListParagraph"/>
        <w:numPr>
          <w:ilvl w:val="0"/>
          <w:numId w:val="21"/>
        </w:numPr>
      </w:pPr>
      <w:r>
        <w:t>8,811 international</w:t>
      </w:r>
    </w:p>
    <w:p w14:paraId="2CEA0034" w14:textId="3CFE7A96" w:rsidR="009B3542" w:rsidRPr="009B3542" w:rsidRDefault="009B3542" w:rsidP="009B3542">
      <w:pPr>
        <w:pStyle w:val="ListParagraph"/>
        <w:numPr>
          <w:ilvl w:val="0"/>
          <w:numId w:val="21"/>
        </w:numPr>
      </w:pPr>
      <w:r>
        <w:t xml:space="preserve">72,176 </w:t>
      </w:r>
      <w:proofErr w:type="gramStart"/>
      <w:r>
        <w:t>interstate</w:t>
      </w:r>
      <w:proofErr w:type="gramEnd"/>
    </w:p>
    <w:p w14:paraId="20A79749" w14:textId="77777777" w:rsidR="001C3015" w:rsidRPr="001C3015" w:rsidRDefault="001C3015" w:rsidP="001C3015">
      <w:r w:rsidRPr="001C3015">
        <w:t xml:space="preserve">The 2023 event saw a significant increase ($52m) in direct expenditure from $92m in 2022 to $144m in 2023. </w:t>
      </w:r>
    </w:p>
    <w:p w14:paraId="586395FF" w14:textId="77777777" w:rsidR="001C3015" w:rsidRPr="001C3015" w:rsidRDefault="001C3015" w:rsidP="001C3015">
      <w:r w:rsidRPr="001C3015">
        <w:t xml:space="preserve">Direct expenditure consists of three components: </w:t>
      </w:r>
    </w:p>
    <w:p w14:paraId="7F7E469A" w14:textId="77777777" w:rsidR="001C3015" w:rsidRPr="001C3015" w:rsidRDefault="001C3015" w:rsidP="001C3015">
      <w:pPr>
        <w:pStyle w:val="ListParagraph"/>
        <w:numPr>
          <w:ilvl w:val="0"/>
          <w:numId w:val="21"/>
        </w:numPr>
      </w:pPr>
      <w:r w:rsidRPr="001C3015">
        <w:t xml:space="preserve">Visitor expenditure from specific and extended stay visitors: Represents expenditure of interstate and international visitors who came to Victoria specifically to attend the event. This increased in 2023 to $128m from $102m in 2022 (an increase of $26m). This increase was mainly driven by the increase in interstate visitation of ~3,000 visitors (+5% compared to 2022), international visitation (+36% compared with 2022) and an increase in average daily expenditure of these visitors. </w:t>
      </w:r>
    </w:p>
    <w:p w14:paraId="2A678286" w14:textId="4B6BDB5B" w:rsidR="001C3015" w:rsidRPr="001C3015" w:rsidRDefault="001C3015" w:rsidP="001C3015">
      <w:pPr>
        <w:pStyle w:val="ListParagraph"/>
        <w:numPr>
          <w:ilvl w:val="0"/>
          <w:numId w:val="21"/>
        </w:numPr>
      </w:pPr>
      <w:r w:rsidRPr="001C3015">
        <w:t xml:space="preserve">Expenditure from Victorian residents that remain in the State (Retained Expenditure): Represents expenditure of Victorians who attended the F1® Australian GP and </w:t>
      </w:r>
      <w:r w:rsidRPr="001C3015">
        <w:lastRenderedPageBreak/>
        <w:t>would likely attend the event if it were held in another state (spending their money in that state instead of Victoria)</w:t>
      </w:r>
      <w:r w:rsidR="0056382B">
        <w:t xml:space="preserve"> </w:t>
      </w:r>
      <w:hyperlink w:anchor="ref00003" w:history="1">
        <w:r w:rsidR="00307737" w:rsidRPr="00307737">
          <w:rPr>
            <w:rStyle w:val="Hyperlink"/>
          </w:rPr>
          <w:t>[3]</w:t>
        </w:r>
      </w:hyperlink>
      <w:r w:rsidRPr="001C3015">
        <w:t>. This increased to $40m in 2023 from $26m in 2022 (an increase of $14m). This increase is attributed to increased local ticket sales of the event in 2023.</w:t>
      </w:r>
    </w:p>
    <w:p w14:paraId="60071CD4" w14:textId="77777777" w:rsidR="001C3015" w:rsidRDefault="001C3015" w:rsidP="001C3015">
      <w:pPr>
        <w:pStyle w:val="ListParagraph"/>
        <w:numPr>
          <w:ilvl w:val="0"/>
          <w:numId w:val="21"/>
        </w:numPr>
      </w:pPr>
      <w:r w:rsidRPr="001C3015">
        <w:t xml:space="preserve">Event operations impact: Represents the event’s operating revenue and expenditure. It includes new revenue into the State of Victoria (from outside of Victoria) and event operation spend which is retained in Victoria. While there is significant event operating revenue that flows into Victoria from outside the State, there is a greater amount of event expenditure spent on interstate and international suppliers. This results in a negative event operations impact in 2023 of -$24m, this is however less than the negative impact of -$36m in 2022 due to increased interstate and international ticket sales in 2023. </w:t>
      </w:r>
    </w:p>
    <w:p w14:paraId="3FB2761C" w14:textId="6DBFE0AD" w:rsidR="00C55A16" w:rsidRPr="00C55A16" w:rsidRDefault="00C55A16" w:rsidP="00C55A16">
      <w:r w:rsidRPr="00C55A16">
        <w:t xml:space="preserve">There was $144m of incremental direct expenditure </w:t>
      </w:r>
      <w:proofErr w:type="gramStart"/>
      <w:r w:rsidRPr="00C55A16">
        <w:t>as a result of</w:t>
      </w:r>
      <w:proofErr w:type="gramEnd"/>
      <w:r w:rsidRPr="00C55A16">
        <w:t xml:space="preserve"> the 2023 F1®</w:t>
      </w:r>
      <w:r w:rsidR="00042DA2">
        <w:t xml:space="preserve"> </w:t>
      </w:r>
      <w:r w:rsidRPr="00C55A16">
        <w:t xml:space="preserve">Australian Grand Prix. The estimated increase in Gross State Product (GSP) in 2023 resulting from the event was $268m (an increase of $97m compared to 2022). </w:t>
      </w:r>
    </w:p>
    <w:p w14:paraId="017E4340" w14:textId="3C69D7CE" w:rsidR="00CB0E8A" w:rsidRDefault="00C55A16" w:rsidP="00C55A16">
      <w:r w:rsidRPr="00C55A16">
        <w:t>The number of full time equivalent (FTE) jobs generated in Victoria from the economic impact of the event in 2023 was 1,149. This included 614 FTE jobs directly generated by the event and 535 FTE jobs indirectly generated by the event. This was an increase of 415 total FTE jobs in 2023 compared to 2022 (734).</w:t>
      </w:r>
    </w:p>
    <w:p w14:paraId="7D052FA0" w14:textId="53FDC91A" w:rsidR="00612120" w:rsidRPr="005C064C" w:rsidRDefault="00612120" w:rsidP="00C55A16">
      <w:pPr>
        <w:rPr>
          <w:sz w:val="18"/>
          <w:szCs w:val="18"/>
        </w:rPr>
      </w:pPr>
      <w:r w:rsidRPr="005C064C">
        <w:rPr>
          <w:sz w:val="18"/>
          <w:szCs w:val="18"/>
        </w:rPr>
        <w:t>List of References</w:t>
      </w:r>
    </w:p>
    <w:p w14:paraId="32A7DC45" w14:textId="192932B4" w:rsidR="00612120" w:rsidRPr="005C064C" w:rsidRDefault="00311644" w:rsidP="00C55A16">
      <w:pPr>
        <w:rPr>
          <w:sz w:val="18"/>
          <w:szCs w:val="18"/>
        </w:rPr>
      </w:pPr>
      <w:bookmarkStart w:id="46" w:name="ref00001"/>
      <w:bookmarkEnd w:id="46"/>
      <w:r w:rsidRPr="005C064C">
        <w:rPr>
          <w:sz w:val="18"/>
          <w:szCs w:val="18"/>
        </w:rPr>
        <w:t>[1] Event operations impact is negative because a portion of the expenditure in hosting the event is not retained in Vic</w:t>
      </w:r>
      <w:r w:rsidR="00DC460E" w:rsidRPr="005C064C">
        <w:rPr>
          <w:sz w:val="18"/>
          <w:szCs w:val="18"/>
        </w:rPr>
        <w:t>toria</w:t>
      </w:r>
    </w:p>
    <w:p w14:paraId="54D7DA87" w14:textId="6BEBBFFF" w:rsidR="00DC460E" w:rsidRPr="005C064C" w:rsidRDefault="00DC460E" w:rsidP="00C55A16">
      <w:pPr>
        <w:rPr>
          <w:sz w:val="18"/>
          <w:szCs w:val="18"/>
        </w:rPr>
      </w:pPr>
      <w:bookmarkStart w:id="47" w:name="ref00002"/>
      <w:bookmarkEnd w:id="47"/>
      <w:r w:rsidRPr="005C064C">
        <w:rPr>
          <w:sz w:val="18"/>
          <w:szCs w:val="18"/>
        </w:rPr>
        <w:t xml:space="preserve">[2] Based on IO </w:t>
      </w:r>
      <w:r w:rsidR="00CC710B" w:rsidRPr="005C064C">
        <w:rPr>
          <w:sz w:val="18"/>
          <w:szCs w:val="18"/>
        </w:rPr>
        <w:t>multipliers supplied by REMPLAN</w:t>
      </w:r>
    </w:p>
    <w:p w14:paraId="0BE9DC2B" w14:textId="08287ED3" w:rsidR="001C3015" w:rsidRPr="005C064C" w:rsidRDefault="005C064C" w:rsidP="001C3015">
      <w:pPr>
        <w:rPr>
          <w:sz w:val="18"/>
          <w:szCs w:val="18"/>
        </w:rPr>
      </w:pPr>
      <w:bookmarkStart w:id="48" w:name="ref00003"/>
      <w:bookmarkEnd w:id="48"/>
      <w:r w:rsidRPr="005C064C">
        <w:rPr>
          <w:sz w:val="18"/>
          <w:szCs w:val="18"/>
        </w:rPr>
        <w:t>[3] Based on data collected from the 20233 Intercept Surveys</w:t>
      </w:r>
    </w:p>
    <w:p w14:paraId="50116A77" w14:textId="77777777" w:rsidR="002E4689" w:rsidRDefault="002E4689">
      <w:pPr>
        <w:spacing w:line="259" w:lineRule="auto"/>
        <w:rPr>
          <w:rFonts w:eastAsiaTheme="majorEastAsia" w:cstheme="majorBidi"/>
          <w:sz w:val="40"/>
          <w:szCs w:val="40"/>
        </w:rPr>
      </w:pPr>
      <w:bookmarkStart w:id="49" w:name="_Toc198738860"/>
      <w:r>
        <w:br w:type="page"/>
      </w:r>
    </w:p>
    <w:p w14:paraId="5D99C645" w14:textId="27ADC2A8" w:rsidR="0056382B" w:rsidRDefault="0056382B" w:rsidP="00902B2E">
      <w:pPr>
        <w:pStyle w:val="Heading1"/>
      </w:pPr>
      <w:bookmarkStart w:id="50" w:name="_Toc199255818"/>
      <w:r w:rsidRPr="0056382B">
        <w:lastRenderedPageBreak/>
        <w:t>Notice and Disclaimer</w:t>
      </w:r>
      <w:bookmarkEnd w:id="49"/>
      <w:bookmarkEnd w:id="50"/>
    </w:p>
    <w:p w14:paraId="294A732A" w14:textId="77777777" w:rsidR="004A3C4E" w:rsidRPr="004A3C4E" w:rsidRDefault="004A3C4E" w:rsidP="004A3C4E">
      <w:r w:rsidRPr="004A3C4E">
        <w:t>Ernst &amp; Young was engaged on the instructions of Department of Jobs, Skills, Industry and Regions (‘DJSIR’ or ‘Client’) to estimate the economic impact of the 2023 F1® Australian Grand Prix, in accordance with the signed contract.</w:t>
      </w:r>
    </w:p>
    <w:p w14:paraId="2830D59F" w14:textId="3AB825CC" w:rsidR="004A3C4E" w:rsidRPr="004A3C4E" w:rsidRDefault="004A3C4E" w:rsidP="004A3C4E">
      <w:r w:rsidRPr="004A3C4E">
        <w:t>The results of Ernst &amp; Young’s work, including the assumptions and qualifications made in preparing the report, are set out in Ernst &amp; Young's report dated 3 November 2023</w:t>
      </w:r>
      <w:r w:rsidR="008448CA">
        <w:t xml:space="preserve"> </w:t>
      </w:r>
      <w:r w:rsidRPr="004A3C4E">
        <w:t>(‘Report’ or the ‘Study’). The Report should be read in its entirety including the cover letter, introductory chapters, the applicable scope of the work and any limitations.</w:t>
      </w:r>
      <w:r>
        <w:t xml:space="preserve"> </w:t>
      </w:r>
      <w:r w:rsidRPr="004A3C4E">
        <w:t>A reference to the Report includes any part of the Report.</w:t>
      </w:r>
      <w:r>
        <w:t xml:space="preserve"> </w:t>
      </w:r>
      <w:r w:rsidRPr="004A3C4E">
        <w:t>No further work has been undertaken by Ernst &amp; Young since the date of the Report to update it.</w:t>
      </w:r>
    </w:p>
    <w:p w14:paraId="747FF38C" w14:textId="1A64CA0A" w:rsidR="004A3C4E" w:rsidRPr="004A3C4E" w:rsidRDefault="004A3C4E" w:rsidP="004A3C4E">
      <w:r w:rsidRPr="004A3C4E">
        <w:t xml:space="preserve">Ernst &amp; Young has prepared the Report for the benefit of DJSIR and has considered only the interests of DJSIR. Ernst &amp; Young has not been engaged to act, and has not acted, as advisor to any other party. Accordingly, Ernst &amp; Young makes no representations as to the appropriateness, accuracy or completeness of the Report for any other party's purposes. </w:t>
      </w:r>
    </w:p>
    <w:p w14:paraId="6BAF4A4D" w14:textId="77777777" w:rsidR="004A3C4E" w:rsidRPr="004A3C4E" w:rsidRDefault="004A3C4E" w:rsidP="004A3C4E">
      <w:r w:rsidRPr="004A3C4E">
        <w:t>Our work commenced on 24 July 2023 and was completed on 16 October 2023. No further work has been undertaken by Ernst &amp; Young since the date of the Report to update it, and Ernst &amp; Young has no responsibility to update the Report to take account of events or circumstances arising after that date. Therefore, our Report does not take account of events or circumstances arising after 16 October 2023.</w:t>
      </w:r>
    </w:p>
    <w:p w14:paraId="3EC26355" w14:textId="77777777" w:rsidR="004A3C4E" w:rsidRPr="004A3C4E" w:rsidRDefault="004A3C4E" w:rsidP="004A3C4E">
      <w:r w:rsidRPr="004A3C4E">
        <w:t>No reliance may be placed upon the Report or any of its contents by any party other than the Client (“Third Parties”). Any Third Party receiving a copy of the Report must make and rely on their own enquiries in relation to the issues to which the Report relates, the contents of the Report and all matters arising from or relating to or in any way connected with the Report or its contents.</w:t>
      </w:r>
    </w:p>
    <w:p w14:paraId="42699B5B" w14:textId="77777777" w:rsidR="004A3C4E" w:rsidRPr="004A3C4E" w:rsidRDefault="004A3C4E" w:rsidP="004A3C4E">
      <w:r w:rsidRPr="004A3C4E">
        <w:t xml:space="preserve">Ernst &amp; Young disclaims all responsibility to any Third Parties for any loss or liability that the Third Parties may suffer or incur arising from or relating to or in any way connected with the contents of the Report, the provision of the Report to the Third Parties or the reliance upon the Report by the Third Parties.  </w:t>
      </w:r>
    </w:p>
    <w:p w14:paraId="262FF338" w14:textId="5C4F6467" w:rsidR="0056382B" w:rsidRDefault="004A3C4E" w:rsidP="004A3C4E">
      <w:r w:rsidRPr="004A3C4E">
        <w:t>No claim or demand or any actions or proceedings may be brought against Ernst &amp; Young arising from or connected with the contents of the Report or the provision of the Report to the Third Parties. Ernst &amp; Young will be released and forever discharged from any such claims, demands, actions or proceedings.</w:t>
      </w:r>
    </w:p>
    <w:p w14:paraId="7A80DBCA" w14:textId="77777777" w:rsidR="004A3C4E" w:rsidRPr="004A3C4E" w:rsidRDefault="004A3C4E" w:rsidP="004A3C4E">
      <w:r w:rsidRPr="004A3C4E">
        <w:t>In preparing this Report Ernst &amp; Young has considered and relied upon information from a range of sources believed to be reliable and accurate. We have not been informed that any information supplied to it, or obtained from public sources, was false or that any material information has been withheld from it. Neither Ernst &amp; Young nor any member or employee thereof undertakes responsibility in any way whatsoever to any person in respect of errors in this Report arising from incorrect information provided to EY</w:t>
      </w:r>
    </w:p>
    <w:p w14:paraId="3C7CD52F" w14:textId="4A7F08FE" w:rsidR="004A3C4E" w:rsidRPr="004A3C4E" w:rsidRDefault="004A3C4E" w:rsidP="004A3C4E">
      <w:r w:rsidRPr="004A3C4E">
        <w:t xml:space="preserve">Ernst &amp; Young does not </w:t>
      </w:r>
      <w:r w:rsidR="00937869" w:rsidRPr="004A3C4E">
        <w:t>imply,</w:t>
      </w:r>
      <w:r w:rsidRPr="004A3C4E">
        <w:t xml:space="preserve"> and it should not be construed that it has verified any of the information provided to it, or that its enquiries could have identified any matter that a more extensive examination might disclose. </w:t>
      </w:r>
    </w:p>
    <w:p w14:paraId="1C0B4F35" w14:textId="77777777" w:rsidR="004A3C4E" w:rsidRPr="004A3C4E" w:rsidRDefault="004A3C4E" w:rsidP="004A3C4E">
      <w:r w:rsidRPr="004A3C4E">
        <w:t>The analysis and Report do not constitute a recommendation on a future course of action.</w:t>
      </w:r>
    </w:p>
    <w:p w14:paraId="78EA63A4" w14:textId="77777777" w:rsidR="004A3C4E" w:rsidRPr="004A3C4E" w:rsidRDefault="004A3C4E" w:rsidP="004A3C4E">
      <w:r w:rsidRPr="004A3C4E">
        <w:t xml:space="preserve">Ernst &amp; Young has consented to the Report being published electronically on the Client’s website for informational purposes only.  Ernst &amp; Young has not consented to distribution or disclosure beyond this.  The material contained in the Report, including the Ernst &amp; Young logo, is copyright. The copyright in the material contained in the Report itself, excluding Ernst </w:t>
      </w:r>
      <w:r w:rsidRPr="004A3C4E">
        <w:lastRenderedPageBreak/>
        <w:t>&amp; Young logo, vests in the Client. The Report, including the Ernst &amp; Young logo, cannot be altered without prior written permission from Ernst &amp; Young.</w:t>
      </w:r>
    </w:p>
    <w:p w14:paraId="53AF4F5D" w14:textId="125436DE" w:rsidR="004A3C4E" w:rsidRDefault="004A3C4E" w:rsidP="004A3C4E">
      <w:r w:rsidRPr="004A3C4E">
        <w:t>Ernst &amp; Young’s liability is limited by a scheme approved under Professional Standards Legislation.</w:t>
      </w:r>
    </w:p>
    <w:p w14:paraId="54DAB1A8" w14:textId="77777777" w:rsidR="002E4689" w:rsidRDefault="002E4689">
      <w:pPr>
        <w:spacing w:line="259" w:lineRule="auto"/>
        <w:rPr>
          <w:rFonts w:eastAsiaTheme="majorEastAsia" w:cstheme="majorBidi"/>
          <w:sz w:val="40"/>
          <w:szCs w:val="40"/>
        </w:rPr>
      </w:pPr>
      <w:r>
        <w:br w:type="page"/>
      </w:r>
    </w:p>
    <w:p w14:paraId="17CF1861" w14:textId="472E435A" w:rsidR="004A3C4E" w:rsidRPr="004A3C4E" w:rsidRDefault="001A5296" w:rsidP="001A5296">
      <w:pPr>
        <w:pStyle w:val="Heading1"/>
      </w:pPr>
      <w:bookmarkStart w:id="51" w:name="_Toc199255819"/>
      <w:r w:rsidRPr="00643929">
        <w:lastRenderedPageBreak/>
        <w:t xml:space="preserve">EY </w:t>
      </w:r>
      <w:r w:rsidRPr="004A3C4E">
        <w:rPr>
          <w:b/>
          <w:bCs/>
        </w:rPr>
        <w:t>|</w:t>
      </w:r>
      <w:r w:rsidRPr="004A3C4E">
        <w:t xml:space="preserve"> Building</w:t>
      </w:r>
      <w:r w:rsidR="004A3C4E" w:rsidRPr="004A3C4E">
        <w:t xml:space="preserve"> a better working world</w:t>
      </w:r>
      <w:bookmarkEnd w:id="51"/>
    </w:p>
    <w:p w14:paraId="7EE6F53C" w14:textId="77777777" w:rsidR="004A3C4E" w:rsidRPr="004A3C4E" w:rsidRDefault="004A3C4E" w:rsidP="004A3C4E">
      <w:r w:rsidRPr="004A3C4E">
        <w:t xml:space="preserve">EY exists to build a better working world, helping to create long-term value for clients, people and society and build trust in the capital markets. </w:t>
      </w:r>
    </w:p>
    <w:p w14:paraId="7D5B013E" w14:textId="77777777" w:rsidR="004A3C4E" w:rsidRPr="004A3C4E" w:rsidRDefault="004A3C4E" w:rsidP="004A3C4E">
      <w:r w:rsidRPr="004A3C4E">
        <w:t xml:space="preserve">Enabled by data and technology, diverse EY teams in over 150 countries provide trust through assurance and help clients grow, transform and operate. </w:t>
      </w:r>
    </w:p>
    <w:p w14:paraId="3073EADC" w14:textId="274BB0DE" w:rsidR="004A3C4E" w:rsidRDefault="004A3C4E" w:rsidP="004A3C4E">
      <w:r w:rsidRPr="004A3C4E">
        <w:t>Working across assurance, consulting, law, strategy, tax and transactions, EY teams ask better questions to find new answers for the complex issues facing our world today.</w:t>
      </w:r>
    </w:p>
    <w:p w14:paraId="542AA50D" w14:textId="6DCB392F" w:rsidR="00285B96" w:rsidRPr="00285B96" w:rsidRDefault="00285B96" w:rsidP="00285B96">
      <w:r w:rsidRPr="00285B96">
        <w:t xml:space="preserve">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w:t>
      </w:r>
      <w:proofErr w:type="gramStart"/>
      <w:r w:rsidRPr="00285B96">
        <w:t>data</w:t>
      </w:r>
      <w:proofErr w:type="gramEnd"/>
      <w:r>
        <w:t xml:space="preserve"> </w:t>
      </w:r>
      <w:r w:rsidRPr="00285B96">
        <w:t xml:space="preserve">and a description of the rights individuals have under data protection legislation are available via ey.com/privacy. EY member firms do not practice law </w:t>
      </w:r>
      <w:proofErr w:type="gramStart"/>
      <w:r w:rsidRPr="00285B96">
        <w:t>where</w:t>
      </w:r>
      <w:proofErr w:type="gramEnd"/>
      <w:r>
        <w:t xml:space="preserve"> p</w:t>
      </w:r>
      <w:r w:rsidRPr="00285B96">
        <w:t>rohibited by local laws. For more information about our organization, please visit ey.com.</w:t>
      </w:r>
    </w:p>
    <w:p w14:paraId="030AD192" w14:textId="77777777" w:rsidR="00285B96" w:rsidRPr="00285B96" w:rsidRDefault="00285B96" w:rsidP="00285B96">
      <w:r w:rsidRPr="00285B96">
        <w:t xml:space="preserve">©2023 Ernst &amp; Young, Australia. </w:t>
      </w:r>
    </w:p>
    <w:p w14:paraId="51168C74" w14:textId="77777777" w:rsidR="00285B96" w:rsidRPr="00285B96" w:rsidRDefault="00285B96" w:rsidP="00285B96">
      <w:r w:rsidRPr="00285B96">
        <w:t>All Rights Reserved.</w:t>
      </w:r>
    </w:p>
    <w:p w14:paraId="691723BE" w14:textId="77777777" w:rsidR="00285B96" w:rsidRPr="00285B96" w:rsidRDefault="00285B96" w:rsidP="00285B96">
      <w:r w:rsidRPr="00285B96">
        <w:t>Liability limited by a scheme approved under Professional Standards Legislation.</w:t>
      </w:r>
    </w:p>
    <w:p w14:paraId="37C32C8E" w14:textId="77777777" w:rsidR="00285B96" w:rsidRPr="00285B96" w:rsidRDefault="00285B96" w:rsidP="00285B96">
      <w:r w:rsidRPr="00285B96">
        <w:t>In line with EY’s commitment to minimise its impact on the environment, this document has been printed on paper with a high recycled content.</w:t>
      </w:r>
    </w:p>
    <w:p w14:paraId="55911914" w14:textId="77777777" w:rsidR="00285B96" w:rsidRPr="00285B96" w:rsidRDefault="00285B96" w:rsidP="00285B96">
      <w:r w:rsidRPr="00285B96">
        <w:t>This communication provides general information which is current at the time of production. The information contained in this communication does not constitute advice and should not be relied on as such. Professional advice should be sought prior to any action being taken in reliance on any of the information. Ernst &amp; Young disclaims all responsibility and liability (including, without limitation, for any direct or indirect or consequential costs, loss or damage or loss of profits) arising from anything done or omitted to be done by any party in reliance, whether wholly or partially, on any of the information. Any party that relies on the information does so at its own risk.</w:t>
      </w:r>
    </w:p>
    <w:p w14:paraId="432CA5E0" w14:textId="3A7BF7C5" w:rsidR="0056382B" w:rsidRDefault="00285B96" w:rsidP="00285B96">
      <w:r w:rsidRPr="00285B96">
        <w:t>ey.com</w:t>
      </w:r>
    </w:p>
    <w:sectPr w:rsidR="0056382B" w:rsidSect="00FD5100">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5751" w14:textId="77777777" w:rsidR="00AC36A7" w:rsidRDefault="00AC36A7" w:rsidP="00B01B96">
      <w:pPr>
        <w:spacing w:after="0"/>
      </w:pPr>
      <w:r>
        <w:separator/>
      </w:r>
    </w:p>
  </w:endnote>
  <w:endnote w:type="continuationSeparator" w:id="0">
    <w:p w14:paraId="0DDF2ACE" w14:textId="77777777" w:rsidR="00AC36A7" w:rsidRDefault="00AC36A7" w:rsidP="00B01B96">
      <w:pPr>
        <w:spacing w:after="0"/>
      </w:pPr>
      <w:r>
        <w:continuationSeparator/>
      </w:r>
    </w:p>
  </w:endnote>
  <w:endnote w:type="continuationNotice" w:id="1">
    <w:p w14:paraId="6BB38B2D" w14:textId="77777777" w:rsidR="00AC36A7" w:rsidRDefault="00AC36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YInterst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EB77" w14:textId="555C2B6D" w:rsidR="00B01B96" w:rsidRDefault="00B01B96">
    <w:pPr>
      <w:pStyle w:val="Footer"/>
    </w:pPr>
    <w:r>
      <w:rPr>
        <w:noProof/>
      </w:rPr>
      <mc:AlternateContent>
        <mc:Choice Requires="wps">
          <w:drawing>
            <wp:anchor distT="0" distB="0" distL="0" distR="0" simplePos="0" relativeHeight="251658244" behindDoc="0" locked="0" layoutInCell="1" allowOverlap="1" wp14:anchorId="0165A289" wp14:editId="33190ECD">
              <wp:simplePos x="635" y="635"/>
              <wp:positionH relativeFrom="page">
                <wp:align>center</wp:align>
              </wp:positionH>
              <wp:positionV relativeFrom="page">
                <wp:align>bottom</wp:align>
              </wp:positionV>
              <wp:extent cx="686435" cy="365760"/>
              <wp:effectExtent l="0" t="0" r="18415" b="0"/>
              <wp:wrapNone/>
              <wp:docPr id="15355084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67D214"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65A289" id="_x0000_t202" coordsize="21600,21600" o:spt="202" path="m,l,21600r21600,l21600,xe">
              <v:stroke joinstyle="miter"/>
              <v:path gradientshapeok="t" o:connecttype="rect"/>
            </v:shapetype>
            <v:shape id="Text Box 5" o:spid="_x0000_s1027"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0B67D214"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v:textbox>
              <w10:wrap anchorx="page" anchory="page"/>
            </v:shape>
          </w:pict>
        </mc:Fallback>
      </mc:AlternateContent>
    </w:r>
  </w:p>
  <w:p w14:paraId="5D3CEA7B" w14:textId="77777777" w:rsidR="00CB5F90" w:rsidRDefault="00CB5F90"/>
  <w:p w14:paraId="7D55E9BE" w14:textId="77777777" w:rsidR="00CB5F90" w:rsidRDefault="00CB5F90"/>
  <w:p w14:paraId="361AC4D8" w14:textId="77777777" w:rsidR="00CB5F90" w:rsidRDefault="00CB5F90"/>
  <w:p w14:paraId="2B79200E" w14:textId="77777777" w:rsidR="00CB5F90" w:rsidRDefault="00CB5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0CBF" w14:textId="72ED3C19" w:rsidR="00261BFE" w:rsidRPr="00FD5100" w:rsidRDefault="00BE408C">
    <w:pPr>
      <w:pStyle w:val="Footer"/>
      <w:rPr>
        <w:sz w:val="18"/>
        <w:szCs w:val="18"/>
      </w:rPr>
    </w:pPr>
    <w:r w:rsidRPr="00FD5100">
      <w:rPr>
        <w:sz w:val="18"/>
        <w:szCs w:val="18"/>
      </w:rPr>
      <w:t xml:space="preserve">Economic Impact </w:t>
    </w:r>
    <w:r w:rsidR="00C0703B" w:rsidRPr="00FD5100">
      <w:rPr>
        <w:sz w:val="18"/>
        <w:szCs w:val="18"/>
      </w:rPr>
      <w:t>of the Formula 1</w:t>
    </w:r>
    <w:r w:rsidR="00C62F8A" w:rsidRPr="00FD5100">
      <w:rPr>
        <w:sz w:val="18"/>
        <w:szCs w:val="18"/>
      </w:rPr>
      <w:t xml:space="preserve">® </w:t>
    </w:r>
    <w:r w:rsidR="003C6174" w:rsidRPr="00FD5100">
      <w:rPr>
        <w:sz w:val="18"/>
        <w:szCs w:val="18"/>
      </w:rPr>
      <w:t>Australian Grand Prix 2023</w:t>
    </w:r>
    <w:r w:rsidR="004F142F" w:rsidRPr="00FD5100">
      <w:rPr>
        <w:sz w:val="18"/>
        <w:szCs w:val="18"/>
      </w:rPr>
      <w:t>.</w:t>
    </w:r>
  </w:p>
  <w:p w14:paraId="6A34EDCC" w14:textId="03124555" w:rsidR="003C6174" w:rsidRPr="00FD5100" w:rsidRDefault="003C6174">
    <w:pPr>
      <w:pStyle w:val="Footer"/>
      <w:rPr>
        <w:sz w:val="18"/>
        <w:szCs w:val="18"/>
      </w:rPr>
    </w:pPr>
    <w:r w:rsidRPr="00FD5100">
      <w:rPr>
        <w:sz w:val="18"/>
        <w:szCs w:val="18"/>
      </w:rPr>
      <w:t>A member firm of Ernst and Young Global Limited. Liability limited by a scheme approved under Professional Standards Legislation.</w:t>
    </w:r>
  </w:p>
  <w:p w14:paraId="090323D7" w14:textId="77777777" w:rsidR="00CB5F90" w:rsidRDefault="00CB5F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A00" w14:textId="5DFEEB58" w:rsidR="00B01B96" w:rsidRDefault="00B01B96">
    <w:pPr>
      <w:pStyle w:val="Footer"/>
    </w:pPr>
    <w:r>
      <w:rPr>
        <w:noProof/>
      </w:rPr>
      <mc:AlternateContent>
        <mc:Choice Requires="wps">
          <w:drawing>
            <wp:anchor distT="0" distB="0" distL="0" distR="0" simplePos="0" relativeHeight="251658243" behindDoc="0" locked="0" layoutInCell="1" allowOverlap="1" wp14:anchorId="260BCD73" wp14:editId="2DD581A8">
              <wp:simplePos x="635" y="635"/>
              <wp:positionH relativeFrom="page">
                <wp:align>center</wp:align>
              </wp:positionH>
              <wp:positionV relativeFrom="page">
                <wp:align>bottom</wp:align>
              </wp:positionV>
              <wp:extent cx="686435" cy="365760"/>
              <wp:effectExtent l="0" t="0" r="18415" b="0"/>
              <wp:wrapNone/>
              <wp:docPr id="3129814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118D50"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BCD73" id="_x0000_t202" coordsize="21600,21600" o:spt="202" path="m,l,21600r21600,l21600,xe">
              <v:stroke joinstyle="miter"/>
              <v:path gradientshapeok="t" o:connecttype="rect"/>
            </v:shapetype>
            <v:shape id="Text Box 4" o:spid="_x0000_s1029"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1118D50"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828D" w14:textId="77777777" w:rsidR="00AC36A7" w:rsidRDefault="00AC36A7" w:rsidP="00B01B96">
      <w:pPr>
        <w:spacing w:after="0"/>
      </w:pPr>
      <w:r>
        <w:separator/>
      </w:r>
    </w:p>
  </w:footnote>
  <w:footnote w:type="continuationSeparator" w:id="0">
    <w:p w14:paraId="43D30470" w14:textId="77777777" w:rsidR="00AC36A7" w:rsidRDefault="00AC36A7" w:rsidP="00B01B96">
      <w:pPr>
        <w:spacing w:after="0"/>
      </w:pPr>
      <w:r>
        <w:continuationSeparator/>
      </w:r>
    </w:p>
  </w:footnote>
  <w:footnote w:type="continuationNotice" w:id="1">
    <w:p w14:paraId="63845457" w14:textId="77777777" w:rsidR="00AC36A7" w:rsidRDefault="00AC36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6B7B" w14:textId="08350F17" w:rsidR="00B01B96" w:rsidRDefault="00B01B96">
    <w:pPr>
      <w:pStyle w:val="Header"/>
    </w:pPr>
    <w:r>
      <w:rPr>
        <w:noProof/>
      </w:rPr>
      <mc:AlternateContent>
        <mc:Choice Requires="wps">
          <w:drawing>
            <wp:anchor distT="0" distB="0" distL="0" distR="0" simplePos="0" relativeHeight="251658241" behindDoc="0" locked="0" layoutInCell="1" allowOverlap="1" wp14:anchorId="560894F8" wp14:editId="2247BECB">
              <wp:simplePos x="635" y="635"/>
              <wp:positionH relativeFrom="page">
                <wp:align>center</wp:align>
              </wp:positionH>
              <wp:positionV relativeFrom="page">
                <wp:align>top</wp:align>
              </wp:positionV>
              <wp:extent cx="686435" cy="365760"/>
              <wp:effectExtent l="0" t="0" r="18415" b="15240"/>
              <wp:wrapNone/>
              <wp:docPr id="1273118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99AE65"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894F8"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F99AE65"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v:textbox>
              <w10:wrap anchorx="page" anchory="page"/>
            </v:shape>
          </w:pict>
        </mc:Fallback>
      </mc:AlternateContent>
    </w:r>
  </w:p>
  <w:p w14:paraId="5983834A" w14:textId="77777777" w:rsidR="00CB5F90" w:rsidRDefault="00CB5F90"/>
  <w:p w14:paraId="312640BA" w14:textId="77777777" w:rsidR="00CB5F90" w:rsidRDefault="00CB5F90"/>
  <w:p w14:paraId="650DA3A4" w14:textId="77777777" w:rsidR="00CB5F90" w:rsidRDefault="00CB5F90"/>
  <w:p w14:paraId="2BA4E6A1" w14:textId="77777777" w:rsidR="00CB5F90" w:rsidRDefault="00CB5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1594128895"/>
      <w:docPartObj>
        <w:docPartGallery w:val="Page Numbers (Top of Page)"/>
        <w:docPartUnique/>
      </w:docPartObj>
    </w:sdtPr>
    <w:sdtEndPr>
      <w:rPr>
        <w:b/>
        <w:bCs/>
        <w:noProof/>
        <w:spacing w:val="0"/>
      </w:rPr>
    </w:sdtEndPr>
    <w:sdtContent>
      <w:p w14:paraId="2319D6A2" w14:textId="3D4C3463" w:rsidR="00A45A2F" w:rsidRDefault="00A45A2F">
        <w:pPr>
          <w:pStyle w:val="Header"/>
          <w:pBdr>
            <w:bottom w:val="single" w:sz="4" w:space="1" w:color="D9D9D9" w:themeColor="background1" w:themeShade="D9"/>
          </w:pBdr>
          <w:jc w:val="right"/>
          <w:rPr>
            <w:b/>
            <w:bCs/>
          </w:rPr>
        </w:pPr>
        <w:r w:rsidRPr="006254F1">
          <w:rPr>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8BE6DAC" w14:textId="77777777" w:rsidR="009E761F" w:rsidRDefault="009E761F" w:rsidP="009E7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7EDB" w14:textId="17977181" w:rsidR="00B01B96" w:rsidRDefault="00B01B96">
    <w:pPr>
      <w:pStyle w:val="Header"/>
    </w:pPr>
    <w:r>
      <w:rPr>
        <w:noProof/>
      </w:rPr>
      <mc:AlternateContent>
        <mc:Choice Requires="wps">
          <w:drawing>
            <wp:anchor distT="0" distB="0" distL="0" distR="0" simplePos="0" relativeHeight="251658240" behindDoc="0" locked="0" layoutInCell="1" allowOverlap="1" wp14:anchorId="4B472894" wp14:editId="03EC948E">
              <wp:simplePos x="635" y="635"/>
              <wp:positionH relativeFrom="page">
                <wp:align>center</wp:align>
              </wp:positionH>
              <wp:positionV relativeFrom="page">
                <wp:align>top</wp:align>
              </wp:positionV>
              <wp:extent cx="686435" cy="365760"/>
              <wp:effectExtent l="0" t="0" r="18415" b="15240"/>
              <wp:wrapNone/>
              <wp:docPr id="17158248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81E844"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72894" id="_x0000_t202" coordsize="21600,21600" o:spt="202" path="m,l,21600r21600,l21600,xe">
              <v:stroke joinstyle="miter"/>
              <v:path gradientshapeok="t" o:connecttype="rect"/>
            </v:shapetype>
            <v:shape id="Text Box 1" o:spid="_x0000_s1028"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7F81E844" w14:textId="77777777" w:rsidR="00B01B96" w:rsidRPr="00B01B96" w:rsidRDefault="00B01B96" w:rsidP="00B01B96">
                    <w:pPr>
                      <w:spacing w:after="0"/>
                      <w:rPr>
                        <w:rFonts w:eastAsia="Arial" w:cs="Arial"/>
                        <w:noProof/>
                        <w:color w:val="000000"/>
                        <w:sz w:val="24"/>
                        <w:szCs w:val="24"/>
                      </w:rPr>
                    </w:pPr>
                    <w:r w:rsidRPr="00B01B96">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CFBC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2A18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3D5B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56F5B"/>
    <w:multiLevelType w:val="hybridMultilevel"/>
    <w:tmpl w:val="8754341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06E60"/>
    <w:multiLevelType w:val="hybridMultilevel"/>
    <w:tmpl w:val="3BDC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568C5"/>
    <w:multiLevelType w:val="hybridMultilevel"/>
    <w:tmpl w:val="1FAED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02386"/>
    <w:multiLevelType w:val="multilevel"/>
    <w:tmpl w:val="9CD28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3646E"/>
    <w:multiLevelType w:val="hybridMultilevel"/>
    <w:tmpl w:val="5DD6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E0CA7"/>
    <w:multiLevelType w:val="hybridMultilevel"/>
    <w:tmpl w:val="492ED3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11E8C"/>
    <w:multiLevelType w:val="hybridMultilevel"/>
    <w:tmpl w:val="CEE6C39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F11080"/>
    <w:multiLevelType w:val="hybridMultilevel"/>
    <w:tmpl w:val="ED08DB1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67152C"/>
    <w:multiLevelType w:val="hybridMultilevel"/>
    <w:tmpl w:val="FEF4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62EDD"/>
    <w:multiLevelType w:val="hybridMultilevel"/>
    <w:tmpl w:val="358459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943296B"/>
    <w:multiLevelType w:val="hybridMultilevel"/>
    <w:tmpl w:val="75D63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C63ACF"/>
    <w:multiLevelType w:val="multilevel"/>
    <w:tmpl w:val="9CD28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267FD"/>
    <w:multiLevelType w:val="hybridMultilevel"/>
    <w:tmpl w:val="6090098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A24D5D"/>
    <w:multiLevelType w:val="hybridMultilevel"/>
    <w:tmpl w:val="44365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05360A"/>
    <w:multiLevelType w:val="multilevel"/>
    <w:tmpl w:val="9CD28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ED6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4664D6"/>
    <w:multiLevelType w:val="hybridMultilevel"/>
    <w:tmpl w:val="DEB6749C"/>
    <w:lvl w:ilvl="0" w:tplc="003EBA34">
      <w:start w:val="1"/>
      <w:numFmt w:val="decimal"/>
      <w:lvlText w:val="%1."/>
      <w:lvlJc w:val="left"/>
      <w:pPr>
        <w:ind w:left="580" w:hanging="360"/>
      </w:pPr>
      <w:rPr>
        <w:rFonts w:ascii="Arial" w:eastAsiaTheme="minorHAnsi" w:hAnsi="Arial" w:hint="default"/>
        <w:sz w:val="22"/>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20" w15:restartNumberingAfterBreak="0">
    <w:nsid w:val="374F1847"/>
    <w:multiLevelType w:val="hybridMultilevel"/>
    <w:tmpl w:val="1BA63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03F4E"/>
    <w:multiLevelType w:val="hybridMultilevel"/>
    <w:tmpl w:val="7DBAB50C"/>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1910C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1FF1F31"/>
    <w:multiLevelType w:val="hybridMultilevel"/>
    <w:tmpl w:val="B4D6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0B46F6"/>
    <w:multiLevelType w:val="hybridMultilevel"/>
    <w:tmpl w:val="32DC7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7B785C"/>
    <w:multiLevelType w:val="hybridMultilevel"/>
    <w:tmpl w:val="15D0187A"/>
    <w:lvl w:ilvl="0" w:tplc="34E8308C">
      <w:start w:val="1"/>
      <w:numFmt w:val="decimal"/>
      <w:lvlText w:val="%1."/>
      <w:lvlJc w:val="left"/>
      <w:pPr>
        <w:ind w:left="720" w:hanging="360"/>
      </w:pPr>
      <w:rPr>
        <w:rFonts w:ascii="Arial" w:eastAsiaTheme="minorHAnsi" w:hAnsi="Arial" w:cstheme="minorBidi"/>
      </w:rPr>
    </w:lvl>
    <w:lvl w:ilvl="1" w:tplc="0C090001">
      <w:start w:val="1"/>
      <w:numFmt w:val="bullet"/>
      <w:lvlText w:val=""/>
      <w:lvlJc w:val="left"/>
      <w:pPr>
        <w:ind w:left="78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C4415C"/>
    <w:multiLevelType w:val="hybridMultilevel"/>
    <w:tmpl w:val="6C3E1B8C"/>
    <w:lvl w:ilvl="0" w:tplc="FFFFFFFF">
      <w:start w:val="1"/>
      <w:numFmt w:val="ideographDigital"/>
      <w:lvlText w:val=""/>
      <w:lvlJc w:val="left"/>
    </w:lvl>
    <w:lvl w:ilvl="1" w:tplc="FFFFFFFF">
      <w:start w:val="1"/>
      <w:numFmt w:val="ideographDigital"/>
      <w:lvlText w:val=""/>
      <w:lvlJc w:val="left"/>
    </w:lvl>
    <w:lvl w:ilvl="2" w:tplc="0C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8655E1"/>
    <w:multiLevelType w:val="hybridMultilevel"/>
    <w:tmpl w:val="B5DE8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154AD5"/>
    <w:multiLevelType w:val="hybridMultilevel"/>
    <w:tmpl w:val="36B88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734ABF"/>
    <w:multiLevelType w:val="multilevel"/>
    <w:tmpl w:val="6DC20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5B503E"/>
    <w:multiLevelType w:val="hybridMultilevel"/>
    <w:tmpl w:val="94646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1340351">
    <w:abstractNumId w:val="8"/>
  </w:num>
  <w:num w:numId="2" w16cid:durableId="1528758298">
    <w:abstractNumId w:val="12"/>
  </w:num>
  <w:num w:numId="3" w16cid:durableId="1025719084">
    <w:abstractNumId w:val="25"/>
  </w:num>
  <w:num w:numId="4" w16cid:durableId="1976524220">
    <w:abstractNumId w:val="21"/>
  </w:num>
  <w:num w:numId="5" w16cid:durableId="1424448796">
    <w:abstractNumId w:val="20"/>
  </w:num>
  <w:num w:numId="6" w16cid:durableId="1170367615">
    <w:abstractNumId w:val="7"/>
  </w:num>
  <w:num w:numId="7" w16cid:durableId="185944118">
    <w:abstractNumId w:val="10"/>
  </w:num>
  <w:num w:numId="8" w16cid:durableId="1181746977">
    <w:abstractNumId w:val="13"/>
  </w:num>
  <w:num w:numId="9" w16cid:durableId="1308390858">
    <w:abstractNumId w:val="5"/>
  </w:num>
  <w:num w:numId="10" w16cid:durableId="769279228">
    <w:abstractNumId w:val="23"/>
  </w:num>
  <w:num w:numId="11" w16cid:durableId="1828814048">
    <w:abstractNumId w:val="1"/>
  </w:num>
  <w:num w:numId="12" w16cid:durableId="823013823">
    <w:abstractNumId w:val="15"/>
  </w:num>
  <w:num w:numId="13" w16cid:durableId="1841122026">
    <w:abstractNumId w:val="18"/>
  </w:num>
  <w:num w:numId="14" w16cid:durableId="1303075153">
    <w:abstractNumId w:val="3"/>
  </w:num>
  <w:num w:numId="15" w16cid:durableId="832523249">
    <w:abstractNumId w:val="0"/>
  </w:num>
  <w:num w:numId="16" w16cid:durableId="591353896">
    <w:abstractNumId w:val="26"/>
  </w:num>
  <w:num w:numId="17" w16cid:durableId="1660962348">
    <w:abstractNumId w:val="30"/>
  </w:num>
  <w:num w:numId="18" w16cid:durableId="1294600948">
    <w:abstractNumId w:val="2"/>
  </w:num>
  <w:num w:numId="19" w16cid:durableId="243415413">
    <w:abstractNumId w:val="28"/>
  </w:num>
  <w:num w:numId="20" w16cid:durableId="1100444846">
    <w:abstractNumId w:val="4"/>
  </w:num>
  <w:num w:numId="21" w16cid:durableId="444467194">
    <w:abstractNumId w:val="11"/>
  </w:num>
  <w:num w:numId="22" w16cid:durableId="643461996">
    <w:abstractNumId w:val="22"/>
  </w:num>
  <w:num w:numId="23" w16cid:durableId="133912233">
    <w:abstractNumId w:val="9"/>
  </w:num>
  <w:num w:numId="24" w16cid:durableId="1858618">
    <w:abstractNumId w:val="27"/>
  </w:num>
  <w:num w:numId="25" w16cid:durableId="1246840452">
    <w:abstractNumId w:val="19"/>
  </w:num>
  <w:num w:numId="26" w16cid:durableId="2005744991">
    <w:abstractNumId w:val="16"/>
  </w:num>
  <w:num w:numId="27" w16cid:durableId="1934702934">
    <w:abstractNumId w:val="24"/>
  </w:num>
  <w:num w:numId="28" w16cid:durableId="315647444">
    <w:abstractNumId w:val="29"/>
  </w:num>
  <w:num w:numId="29" w16cid:durableId="1246455005">
    <w:abstractNumId w:val="14"/>
  </w:num>
  <w:num w:numId="30" w16cid:durableId="665476609">
    <w:abstractNumId w:val="6"/>
  </w:num>
  <w:num w:numId="31" w16cid:durableId="12657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B"/>
    <w:rsid w:val="00007A4A"/>
    <w:rsid w:val="00012D95"/>
    <w:rsid w:val="00020627"/>
    <w:rsid w:val="00021275"/>
    <w:rsid w:val="00027CA3"/>
    <w:rsid w:val="00042DA2"/>
    <w:rsid w:val="00047F2E"/>
    <w:rsid w:val="00060324"/>
    <w:rsid w:val="00070C64"/>
    <w:rsid w:val="00073271"/>
    <w:rsid w:val="000754E2"/>
    <w:rsid w:val="000854CB"/>
    <w:rsid w:val="000B1B36"/>
    <w:rsid w:val="000D15F7"/>
    <w:rsid w:val="000E6B88"/>
    <w:rsid w:val="000F38A0"/>
    <w:rsid w:val="00103C94"/>
    <w:rsid w:val="0011478A"/>
    <w:rsid w:val="00122977"/>
    <w:rsid w:val="001621D0"/>
    <w:rsid w:val="00180248"/>
    <w:rsid w:val="001873C2"/>
    <w:rsid w:val="001A053B"/>
    <w:rsid w:val="001A5296"/>
    <w:rsid w:val="001C3015"/>
    <w:rsid w:val="001F0BAB"/>
    <w:rsid w:val="002057A8"/>
    <w:rsid w:val="00231C33"/>
    <w:rsid w:val="00234783"/>
    <w:rsid w:val="002512E9"/>
    <w:rsid w:val="00260644"/>
    <w:rsid w:val="00261BFE"/>
    <w:rsid w:val="00273EC8"/>
    <w:rsid w:val="002814E2"/>
    <w:rsid w:val="00285B96"/>
    <w:rsid w:val="002902AE"/>
    <w:rsid w:val="0029729A"/>
    <w:rsid w:val="002A2102"/>
    <w:rsid w:val="002B0DEA"/>
    <w:rsid w:val="002B550B"/>
    <w:rsid w:val="002B7166"/>
    <w:rsid w:val="002C02A6"/>
    <w:rsid w:val="002D7055"/>
    <w:rsid w:val="002E2399"/>
    <w:rsid w:val="002E4689"/>
    <w:rsid w:val="002F60CA"/>
    <w:rsid w:val="003069FC"/>
    <w:rsid w:val="00307737"/>
    <w:rsid w:val="00311644"/>
    <w:rsid w:val="00322E46"/>
    <w:rsid w:val="00332628"/>
    <w:rsid w:val="0033654B"/>
    <w:rsid w:val="00336B41"/>
    <w:rsid w:val="00337E61"/>
    <w:rsid w:val="0034666D"/>
    <w:rsid w:val="0038262A"/>
    <w:rsid w:val="00385ADB"/>
    <w:rsid w:val="00386DE0"/>
    <w:rsid w:val="003B1D6F"/>
    <w:rsid w:val="003C6174"/>
    <w:rsid w:val="003D1F66"/>
    <w:rsid w:val="003F6986"/>
    <w:rsid w:val="00403FA4"/>
    <w:rsid w:val="004134B7"/>
    <w:rsid w:val="00432864"/>
    <w:rsid w:val="004719E0"/>
    <w:rsid w:val="004860B1"/>
    <w:rsid w:val="004A3BE5"/>
    <w:rsid w:val="004A3C4E"/>
    <w:rsid w:val="004A6D31"/>
    <w:rsid w:val="004B088C"/>
    <w:rsid w:val="004B2D92"/>
    <w:rsid w:val="004C6ADF"/>
    <w:rsid w:val="004D4711"/>
    <w:rsid w:val="004D4CB9"/>
    <w:rsid w:val="004E640C"/>
    <w:rsid w:val="004F142F"/>
    <w:rsid w:val="00503DED"/>
    <w:rsid w:val="0051711A"/>
    <w:rsid w:val="0052759C"/>
    <w:rsid w:val="00537EBB"/>
    <w:rsid w:val="00544B92"/>
    <w:rsid w:val="005474A4"/>
    <w:rsid w:val="00550EC2"/>
    <w:rsid w:val="0056382B"/>
    <w:rsid w:val="005756B3"/>
    <w:rsid w:val="00593058"/>
    <w:rsid w:val="00597FF3"/>
    <w:rsid w:val="005A7FEB"/>
    <w:rsid w:val="005B148D"/>
    <w:rsid w:val="005B781A"/>
    <w:rsid w:val="005C064C"/>
    <w:rsid w:val="005C7566"/>
    <w:rsid w:val="005F31D5"/>
    <w:rsid w:val="005F4466"/>
    <w:rsid w:val="006068B6"/>
    <w:rsid w:val="00612120"/>
    <w:rsid w:val="00620D03"/>
    <w:rsid w:val="006254F1"/>
    <w:rsid w:val="00632D0A"/>
    <w:rsid w:val="0063390B"/>
    <w:rsid w:val="00637D87"/>
    <w:rsid w:val="00643929"/>
    <w:rsid w:val="00650DC0"/>
    <w:rsid w:val="00660665"/>
    <w:rsid w:val="00666456"/>
    <w:rsid w:val="006873DE"/>
    <w:rsid w:val="00691298"/>
    <w:rsid w:val="00697D91"/>
    <w:rsid w:val="006D7195"/>
    <w:rsid w:val="007114D4"/>
    <w:rsid w:val="00711E6F"/>
    <w:rsid w:val="007379C2"/>
    <w:rsid w:val="007523E8"/>
    <w:rsid w:val="0075243E"/>
    <w:rsid w:val="007679F4"/>
    <w:rsid w:val="00791B4A"/>
    <w:rsid w:val="007A3F3C"/>
    <w:rsid w:val="007A4324"/>
    <w:rsid w:val="007B568C"/>
    <w:rsid w:val="007B6BB8"/>
    <w:rsid w:val="007E24BE"/>
    <w:rsid w:val="007F2AD8"/>
    <w:rsid w:val="00814531"/>
    <w:rsid w:val="00822776"/>
    <w:rsid w:val="00822EA7"/>
    <w:rsid w:val="0083020A"/>
    <w:rsid w:val="00837E5A"/>
    <w:rsid w:val="008448CA"/>
    <w:rsid w:val="00852577"/>
    <w:rsid w:val="008533EB"/>
    <w:rsid w:val="008A4542"/>
    <w:rsid w:val="008A6087"/>
    <w:rsid w:val="008C298B"/>
    <w:rsid w:val="008C30B0"/>
    <w:rsid w:val="008C3536"/>
    <w:rsid w:val="008C3BB8"/>
    <w:rsid w:val="008D751B"/>
    <w:rsid w:val="008F0EDD"/>
    <w:rsid w:val="00900449"/>
    <w:rsid w:val="009007CE"/>
    <w:rsid w:val="00902B2E"/>
    <w:rsid w:val="0090531A"/>
    <w:rsid w:val="00906B32"/>
    <w:rsid w:val="00920D7B"/>
    <w:rsid w:val="0092198E"/>
    <w:rsid w:val="009311A9"/>
    <w:rsid w:val="00937869"/>
    <w:rsid w:val="00942184"/>
    <w:rsid w:val="00953D0C"/>
    <w:rsid w:val="00972BB1"/>
    <w:rsid w:val="00986409"/>
    <w:rsid w:val="009A0887"/>
    <w:rsid w:val="009B3542"/>
    <w:rsid w:val="009B6478"/>
    <w:rsid w:val="009D5067"/>
    <w:rsid w:val="009D673A"/>
    <w:rsid w:val="009E761F"/>
    <w:rsid w:val="00A078D7"/>
    <w:rsid w:val="00A13371"/>
    <w:rsid w:val="00A1574A"/>
    <w:rsid w:val="00A159A3"/>
    <w:rsid w:val="00A45A2F"/>
    <w:rsid w:val="00A531BD"/>
    <w:rsid w:val="00A57880"/>
    <w:rsid w:val="00A62635"/>
    <w:rsid w:val="00A63FC6"/>
    <w:rsid w:val="00A809E4"/>
    <w:rsid w:val="00A933F0"/>
    <w:rsid w:val="00AC2C1A"/>
    <w:rsid w:val="00AC36A7"/>
    <w:rsid w:val="00AC3D25"/>
    <w:rsid w:val="00B01B96"/>
    <w:rsid w:val="00B0775A"/>
    <w:rsid w:val="00B30E0D"/>
    <w:rsid w:val="00B4245A"/>
    <w:rsid w:val="00B432FB"/>
    <w:rsid w:val="00B63BD9"/>
    <w:rsid w:val="00BA111B"/>
    <w:rsid w:val="00BA149B"/>
    <w:rsid w:val="00BB239C"/>
    <w:rsid w:val="00BD0D84"/>
    <w:rsid w:val="00BE3D20"/>
    <w:rsid w:val="00BE408C"/>
    <w:rsid w:val="00BE43C9"/>
    <w:rsid w:val="00C0703B"/>
    <w:rsid w:val="00C11D71"/>
    <w:rsid w:val="00C22E0F"/>
    <w:rsid w:val="00C257EB"/>
    <w:rsid w:val="00C4076A"/>
    <w:rsid w:val="00C50D26"/>
    <w:rsid w:val="00C54C60"/>
    <w:rsid w:val="00C55A16"/>
    <w:rsid w:val="00C5658F"/>
    <w:rsid w:val="00C60897"/>
    <w:rsid w:val="00C62F8A"/>
    <w:rsid w:val="00C92A38"/>
    <w:rsid w:val="00C95AEC"/>
    <w:rsid w:val="00CB0E8A"/>
    <w:rsid w:val="00CB31C3"/>
    <w:rsid w:val="00CB5F90"/>
    <w:rsid w:val="00CC3066"/>
    <w:rsid w:val="00CC53A5"/>
    <w:rsid w:val="00CC710B"/>
    <w:rsid w:val="00CE0091"/>
    <w:rsid w:val="00CE2BCE"/>
    <w:rsid w:val="00CE309C"/>
    <w:rsid w:val="00CE3519"/>
    <w:rsid w:val="00D007B4"/>
    <w:rsid w:val="00D04C1C"/>
    <w:rsid w:val="00D22B04"/>
    <w:rsid w:val="00D40CBB"/>
    <w:rsid w:val="00D8126D"/>
    <w:rsid w:val="00D878DD"/>
    <w:rsid w:val="00D9144C"/>
    <w:rsid w:val="00DA0BAE"/>
    <w:rsid w:val="00DC460E"/>
    <w:rsid w:val="00DF485F"/>
    <w:rsid w:val="00E1390D"/>
    <w:rsid w:val="00E13ED7"/>
    <w:rsid w:val="00E34DD7"/>
    <w:rsid w:val="00E37A04"/>
    <w:rsid w:val="00E57D1B"/>
    <w:rsid w:val="00E618B4"/>
    <w:rsid w:val="00E62C9C"/>
    <w:rsid w:val="00E6376E"/>
    <w:rsid w:val="00E70814"/>
    <w:rsid w:val="00E744B2"/>
    <w:rsid w:val="00ED4B4E"/>
    <w:rsid w:val="00F029C2"/>
    <w:rsid w:val="00F21442"/>
    <w:rsid w:val="00F3302A"/>
    <w:rsid w:val="00F3347A"/>
    <w:rsid w:val="00F440B4"/>
    <w:rsid w:val="00F503E0"/>
    <w:rsid w:val="00F50D39"/>
    <w:rsid w:val="00F6543E"/>
    <w:rsid w:val="00F93595"/>
    <w:rsid w:val="00FA1450"/>
    <w:rsid w:val="00FA2F08"/>
    <w:rsid w:val="00FB1F73"/>
    <w:rsid w:val="00FD09C7"/>
    <w:rsid w:val="00FD5100"/>
    <w:rsid w:val="00FE08C7"/>
    <w:rsid w:val="00FE13F6"/>
    <w:rsid w:val="00FF4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6CE78"/>
  <w15:chartTrackingRefBased/>
  <w15:docId w15:val="{0ED692CE-4E14-4EAA-B0F7-FE9F018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1A"/>
    <w:pPr>
      <w:spacing w:line="240" w:lineRule="auto"/>
    </w:pPr>
    <w:rPr>
      <w:rFonts w:ascii="Arial" w:hAnsi="Arial"/>
    </w:rPr>
  </w:style>
  <w:style w:type="paragraph" w:styleId="Heading1">
    <w:name w:val="heading 1"/>
    <w:basedOn w:val="Normal"/>
    <w:next w:val="Normal"/>
    <w:link w:val="Heading1Char"/>
    <w:uiPriority w:val="9"/>
    <w:qFormat/>
    <w:rsid w:val="00B01B96"/>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B01B96"/>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5B781A"/>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5B781A"/>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B01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96"/>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B01B96"/>
    <w:rPr>
      <w:rFonts w:ascii="Arial" w:eastAsiaTheme="majorEastAsia" w:hAnsi="Arial" w:cstheme="majorBidi"/>
      <w:color w:val="000000" w:themeColor="text1"/>
      <w:sz w:val="32"/>
      <w:szCs w:val="32"/>
    </w:rPr>
  </w:style>
  <w:style w:type="character" w:customStyle="1" w:styleId="Heading3Char">
    <w:name w:val="Heading 3 Char"/>
    <w:basedOn w:val="DefaultParagraphFont"/>
    <w:link w:val="Heading3"/>
    <w:uiPriority w:val="9"/>
    <w:rsid w:val="005B781A"/>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5B781A"/>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B01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B96"/>
    <w:rPr>
      <w:rFonts w:eastAsiaTheme="majorEastAsia" w:cstheme="majorBidi"/>
      <w:color w:val="272727" w:themeColor="text1" w:themeTint="D8"/>
    </w:rPr>
  </w:style>
  <w:style w:type="paragraph" w:styleId="Title">
    <w:name w:val="Title"/>
    <w:basedOn w:val="Normal"/>
    <w:next w:val="Normal"/>
    <w:link w:val="TitleChar"/>
    <w:uiPriority w:val="10"/>
    <w:qFormat/>
    <w:rsid w:val="00B01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B96"/>
    <w:pPr>
      <w:spacing w:before="160"/>
      <w:jc w:val="center"/>
    </w:pPr>
    <w:rPr>
      <w:i/>
      <w:iCs/>
      <w:color w:val="404040" w:themeColor="text1" w:themeTint="BF"/>
    </w:rPr>
  </w:style>
  <w:style w:type="character" w:customStyle="1" w:styleId="QuoteChar">
    <w:name w:val="Quote Char"/>
    <w:basedOn w:val="DefaultParagraphFont"/>
    <w:link w:val="Quote"/>
    <w:uiPriority w:val="29"/>
    <w:rsid w:val="00B01B96"/>
    <w:rPr>
      <w:i/>
      <w:iCs/>
      <w:color w:val="404040" w:themeColor="text1" w:themeTint="BF"/>
    </w:rPr>
  </w:style>
  <w:style w:type="paragraph" w:styleId="ListParagraph">
    <w:name w:val="List Paragraph"/>
    <w:basedOn w:val="Normal"/>
    <w:uiPriority w:val="34"/>
    <w:qFormat/>
    <w:rsid w:val="00B01B96"/>
    <w:pPr>
      <w:ind w:left="720"/>
      <w:contextualSpacing/>
    </w:pPr>
  </w:style>
  <w:style w:type="character" w:styleId="IntenseEmphasis">
    <w:name w:val="Intense Emphasis"/>
    <w:basedOn w:val="DefaultParagraphFont"/>
    <w:uiPriority w:val="21"/>
    <w:qFormat/>
    <w:rsid w:val="00B01B96"/>
    <w:rPr>
      <w:i/>
      <w:iCs/>
      <w:color w:val="0F4761" w:themeColor="accent1" w:themeShade="BF"/>
    </w:rPr>
  </w:style>
  <w:style w:type="paragraph" w:styleId="IntenseQuote">
    <w:name w:val="Intense Quote"/>
    <w:basedOn w:val="Normal"/>
    <w:next w:val="Normal"/>
    <w:link w:val="IntenseQuoteChar"/>
    <w:uiPriority w:val="30"/>
    <w:qFormat/>
    <w:rsid w:val="00B01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B96"/>
    <w:rPr>
      <w:i/>
      <w:iCs/>
      <w:color w:val="0F4761" w:themeColor="accent1" w:themeShade="BF"/>
    </w:rPr>
  </w:style>
  <w:style w:type="character" w:styleId="IntenseReference">
    <w:name w:val="Intense Reference"/>
    <w:basedOn w:val="DefaultParagraphFont"/>
    <w:uiPriority w:val="32"/>
    <w:qFormat/>
    <w:rsid w:val="00B01B96"/>
    <w:rPr>
      <w:b/>
      <w:bCs/>
      <w:smallCaps/>
      <w:color w:val="0F4761" w:themeColor="accent1" w:themeShade="BF"/>
      <w:spacing w:val="5"/>
    </w:rPr>
  </w:style>
  <w:style w:type="paragraph" w:styleId="Header">
    <w:name w:val="header"/>
    <w:basedOn w:val="Normal"/>
    <w:link w:val="HeaderChar"/>
    <w:uiPriority w:val="99"/>
    <w:unhideWhenUsed/>
    <w:rsid w:val="00B01B96"/>
    <w:pPr>
      <w:tabs>
        <w:tab w:val="center" w:pos="4513"/>
        <w:tab w:val="right" w:pos="9026"/>
      </w:tabs>
      <w:spacing w:after="0"/>
    </w:pPr>
  </w:style>
  <w:style w:type="character" w:customStyle="1" w:styleId="HeaderChar">
    <w:name w:val="Header Char"/>
    <w:basedOn w:val="DefaultParagraphFont"/>
    <w:link w:val="Header"/>
    <w:uiPriority w:val="99"/>
    <w:rsid w:val="00B01B96"/>
    <w:rPr>
      <w:rFonts w:ascii="Arial" w:hAnsi="Arial"/>
    </w:rPr>
  </w:style>
  <w:style w:type="paragraph" w:styleId="Footer">
    <w:name w:val="footer"/>
    <w:basedOn w:val="Normal"/>
    <w:link w:val="FooterChar"/>
    <w:uiPriority w:val="99"/>
    <w:unhideWhenUsed/>
    <w:rsid w:val="00B01B96"/>
    <w:pPr>
      <w:tabs>
        <w:tab w:val="center" w:pos="4513"/>
        <w:tab w:val="right" w:pos="9026"/>
      </w:tabs>
      <w:spacing w:after="0"/>
    </w:pPr>
  </w:style>
  <w:style w:type="character" w:customStyle="1" w:styleId="FooterChar">
    <w:name w:val="Footer Char"/>
    <w:basedOn w:val="DefaultParagraphFont"/>
    <w:link w:val="Footer"/>
    <w:uiPriority w:val="99"/>
    <w:rsid w:val="00B01B96"/>
    <w:rPr>
      <w:rFonts w:ascii="Arial" w:hAnsi="Arial"/>
    </w:rPr>
  </w:style>
  <w:style w:type="character" w:styleId="Hyperlink">
    <w:name w:val="Hyperlink"/>
    <w:basedOn w:val="DefaultParagraphFont"/>
    <w:uiPriority w:val="99"/>
    <w:unhideWhenUsed/>
    <w:rsid w:val="000B1B36"/>
    <w:rPr>
      <w:color w:val="467886" w:themeColor="hyperlink"/>
      <w:u w:val="single"/>
    </w:rPr>
  </w:style>
  <w:style w:type="table" w:styleId="TableGrid">
    <w:name w:val="Table Grid"/>
    <w:basedOn w:val="TableNormal"/>
    <w:uiPriority w:val="39"/>
    <w:rsid w:val="00BA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4076A"/>
    <w:pPr>
      <w:spacing w:after="100"/>
    </w:pPr>
  </w:style>
  <w:style w:type="paragraph" w:styleId="TOC2">
    <w:name w:val="toc 2"/>
    <w:basedOn w:val="Normal"/>
    <w:next w:val="Normal"/>
    <w:autoRedefine/>
    <w:uiPriority w:val="39"/>
    <w:unhideWhenUsed/>
    <w:rsid w:val="00C4076A"/>
    <w:pPr>
      <w:spacing w:after="100"/>
      <w:ind w:left="220"/>
    </w:pPr>
  </w:style>
  <w:style w:type="table" w:styleId="GridTable4">
    <w:name w:val="Grid Table 4"/>
    <w:basedOn w:val="TableNormal"/>
    <w:uiPriority w:val="49"/>
    <w:rsid w:val="005B78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5B781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3">
    <w:name w:val="toc 3"/>
    <w:basedOn w:val="Normal"/>
    <w:next w:val="Normal"/>
    <w:autoRedefine/>
    <w:uiPriority w:val="39"/>
    <w:unhideWhenUsed/>
    <w:rsid w:val="005B781A"/>
    <w:pPr>
      <w:spacing w:after="100"/>
      <w:ind w:left="440"/>
    </w:pPr>
  </w:style>
  <w:style w:type="character" w:styleId="UnresolvedMention">
    <w:name w:val="Unresolved Mention"/>
    <w:basedOn w:val="DefaultParagraphFont"/>
    <w:uiPriority w:val="99"/>
    <w:semiHidden/>
    <w:unhideWhenUsed/>
    <w:rsid w:val="00012D95"/>
    <w:rPr>
      <w:color w:val="605E5C"/>
      <w:shd w:val="clear" w:color="auto" w:fill="E1DFDD"/>
    </w:rPr>
  </w:style>
  <w:style w:type="paragraph" w:customStyle="1" w:styleId="Default">
    <w:name w:val="Default"/>
    <w:rsid w:val="00021275"/>
    <w:pPr>
      <w:autoSpaceDE w:val="0"/>
      <w:autoSpaceDN w:val="0"/>
      <w:adjustRightInd w:val="0"/>
      <w:spacing w:after="0" w:line="240" w:lineRule="auto"/>
    </w:pPr>
    <w:rPr>
      <w:rFonts w:ascii="EYInterstate" w:hAnsi="EYInterstate" w:cs="EYInterstate"/>
      <w:color w:val="000000"/>
      <w:sz w:val="24"/>
      <w:szCs w:val="24"/>
    </w:rPr>
  </w:style>
  <w:style w:type="paragraph" w:styleId="TOC4">
    <w:name w:val="toc 4"/>
    <w:basedOn w:val="Normal"/>
    <w:next w:val="Normal"/>
    <w:autoRedefine/>
    <w:uiPriority w:val="39"/>
    <w:unhideWhenUsed/>
    <w:rsid w:val="00FF4C5F"/>
    <w:pPr>
      <w:spacing w:after="100"/>
      <w:ind w:left="660"/>
    </w:pPr>
  </w:style>
  <w:style w:type="paragraph" w:styleId="TOCHeading">
    <w:name w:val="TOC Heading"/>
    <w:basedOn w:val="Heading1"/>
    <w:next w:val="Normal"/>
    <w:uiPriority w:val="39"/>
    <w:unhideWhenUsed/>
    <w:qFormat/>
    <w:rsid w:val="00C92A38"/>
    <w:pPr>
      <w:spacing w:before="240" w:after="0" w:line="259" w:lineRule="auto"/>
      <w:outlineLvl w:val="9"/>
    </w:pPr>
    <w:rPr>
      <w:rFonts w:asciiTheme="majorHAnsi" w:hAnsiTheme="majorHAnsi"/>
      <w:color w:val="0F4761" w:themeColor="accent1" w:themeShade="BF"/>
      <w:sz w:val="32"/>
      <w:szCs w:val="32"/>
      <w:lang w:val="en-US"/>
    </w:rPr>
  </w:style>
  <w:style w:type="character" w:styleId="FollowedHyperlink">
    <w:name w:val="FollowedHyperlink"/>
    <w:basedOn w:val="DefaultParagraphFont"/>
    <w:uiPriority w:val="99"/>
    <w:semiHidden/>
    <w:unhideWhenUsed/>
    <w:rsid w:val="00B30E0D"/>
    <w:rPr>
      <w:color w:val="96607D" w:themeColor="followedHyperlink"/>
      <w:u w:val="single"/>
    </w:rPr>
  </w:style>
  <w:style w:type="paragraph" w:styleId="NormalWeb">
    <w:name w:val="Normal (Web)"/>
    <w:basedOn w:val="Normal"/>
    <w:uiPriority w:val="99"/>
    <w:unhideWhenUsed/>
    <w:rsid w:val="005A7FEB"/>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A7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87434">
      <w:bodyDiv w:val="1"/>
      <w:marLeft w:val="0"/>
      <w:marRight w:val="0"/>
      <w:marTop w:val="0"/>
      <w:marBottom w:val="0"/>
      <w:divBdr>
        <w:top w:val="none" w:sz="0" w:space="0" w:color="auto"/>
        <w:left w:val="none" w:sz="0" w:space="0" w:color="auto"/>
        <w:bottom w:val="none" w:sz="0" w:space="0" w:color="auto"/>
        <w:right w:val="none" w:sz="0" w:space="0" w:color="auto"/>
      </w:divBdr>
    </w:div>
    <w:div w:id="1204707599">
      <w:bodyDiv w:val="1"/>
      <w:marLeft w:val="0"/>
      <w:marRight w:val="0"/>
      <w:marTop w:val="0"/>
      <w:marBottom w:val="0"/>
      <w:divBdr>
        <w:top w:val="none" w:sz="0" w:space="0" w:color="auto"/>
        <w:left w:val="none" w:sz="0" w:space="0" w:color="auto"/>
        <w:bottom w:val="none" w:sz="0" w:space="0" w:color="auto"/>
        <w:right w:val="none" w:sz="0" w:space="0" w:color="auto"/>
      </w:divBdr>
    </w:div>
    <w:div w:id="1630667250">
      <w:bodyDiv w:val="1"/>
      <w:marLeft w:val="0"/>
      <w:marRight w:val="0"/>
      <w:marTop w:val="0"/>
      <w:marBottom w:val="0"/>
      <w:divBdr>
        <w:top w:val="none" w:sz="0" w:space="0" w:color="auto"/>
        <w:left w:val="none" w:sz="0" w:space="0" w:color="auto"/>
        <w:bottom w:val="none" w:sz="0" w:space="0" w:color="auto"/>
        <w:right w:val="none" w:sz="0" w:space="0" w:color="auto"/>
      </w:divBdr>
    </w:div>
    <w:div w:id="1775130968">
      <w:bodyDiv w:val="1"/>
      <w:marLeft w:val="0"/>
      <w:marRight w:val="0"/>
      <w:marTop w:val="0"/>
      <w:marBottom w:val="0"/>
      <w:divBdr>
        <w:top w:val="none" w:sz="0" w:space="0" w:color="auto"/>
        <w:left w:val="none" w:sz="0" w:space="0" w:color="auto"/>
        <w:bottom w:val="none" w:sz="0" w:space="0" w:color="auto"/>
        <w:right w:val="none" w:sz="0" w:space="0" w:color="auto"/>
      </w:divBdr>
    </w:div>
    <w:div w:id="2069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c.net.au/news/2022-04-11/record-crowd-for-melbourne-grand-prix/10098194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Documents\Custom%20Office%20Templates\ACCESSIBLE%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D6055D1586B48BCF9C79C8C925CA7" ma:contentTypeVersion="17" ma:contentTypeDescription="Create a new document." ma:contentTypeScope="" ma:versionID="921c1008c736f10846c97219ca1fdd34">
  <xsd:schema xmlns:xsd="http://www.w3.org/2001/XMLSchema" xmlns:xs="http://www.w3.org/2001/XMLSchema" xmlns:p="http://schemas.microsoft.com/office/2006/metadata/properties" xmlns:ns3="18f4a4aa-8a41-4c71-a41b-9d8953ffc417" xmlns:ns4="d88dfa5a-fcdd-4741-97a3-05de3e48b444" targetNamespace="http://schemas.microsoft.com/office/2006/metadata/properties" ma:root="true" ma:fieldsID="b27da33baf1c7d5557d1bfe07d43701a" ns3:_="" ns4:_="">
    <xsd:import namespace="18f4a4aa-8a41-4c71-a41b-9d8953ffc417"/>
    <xsd:import namespace="d88dfa5a-fcdd-4741-97a3-05de3e48b4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4a4aa-8a41-4c71-a41b-9d8953ffc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fa5a-fcdd-4741-97a3-05de3e48b4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8f4a4aa-8a41-4c71-a41b-9d8953ffc417" xsi:nil="true"/>
  </documentManagement>
</p:properties>
</file>

<file path=customXml/itemProps1.xml><?xml version="1.0" encoding="utf-8"?>
<ds:datastoreItem xmlns:ds="http://schemas.openxmlformats.org/officeDocument/2006/customXml" ds:itemID="{CAD29D0F-6BE3-4ED1-82B3-4B81B3679B07}">
  <ds:schemaRefs>
    <ds:schemaRef ds:uri="http://schemas.microsoft.com/sharepoint/v3/contenttype/forms"/>
  </ds:schemaRefs>
</ds:datastoreItem>
</file>

<file path=customXml/itemProps2.xml><?xml version="1.0" encoding="utf-8"?>
<ds:datastoreItem xmlns:ds="http://schemas.openxmlformats.org/officeDocument/2006/customXml" ds:itemID="{B87E97A0-1E28-43D6-AD0B-EC46C9BD0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4a4aa-8a41-4c71-a41b-9d8953ffc417"/>
    <ds:schemaRef ds:uri="d88dfa5a-fcdd-4741-97a3-05de3e48b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CC201-84C2-471E-BA12-0BD2872C06CE}">
  <ds:schemaRefs>
    <ds:schemaRef ds:uri="http://schemas.openxmlformats.org/officeDocument/2006/bibliography"/>
  </ds:schemaRefs>
</ds:datastoreItem>
</file>

<file path=customXml/itemProps4.xml><?xml version="1.0" encoding="utf-8"?>
<ds:datastoreItem xmlns:ds="http://schemas.openxmlformats.org/officeDocument/2006/customXml" ds:itemID="{2955DDB9-864F-4F57-98CD-28FEF5CA6E7D}">
  <ds:schemaRefs>
    <ds:schemaRef ds:uri="http://schemas.microsoft.com/office/2006/metadata/properties"/>
    <ds:schemaRef ds:uri="http://schemas.microsoft.com/office/infopath/2007/PartnerControls"/>
    <ds:schemaRef ds:uri="18f4a4aa-8a41-4c71-a41b-9d8953ffc417"/>
  </ds:schemaRefs>
</ds:datastoreItem>
</file>

<file path=docProps/app.xml><?xml version="1.0" encoding="utf-8"?>
<Properties xmlns="http://schemas.openxmlformats.org/officeDocument/2006/extended-properties" xmlns:vt="http://schemas.openxmlformats.org/officeDocument/2006/docPropsVTypes">
  <Template>ACCESSIBLE VERSION.dotx</Template>
  <TotalTime>0</TotalTime>
  <Pages>12</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2023 Formula 1 - Australian Grand Prix economic impact report -accessible version</vt:lpstr>
    </vt:vector>
  </TitlesOfParts>
  <Company/>
  <LinksUpToDate>false</LinksUpToDate>
  <CharactersWithSpaces>24691</CharactersWithSpaces>
  <SharedDoc>false</SharedDoc>
  <HLinks>
    <vt:vector size="240" baseType="variant">
      <vt:variant>
        <vt:i4>2687088</vt:i4>
      </vt:variant>
      <vt:variant>
        <vt:i4>234</vt:i4>
      </vt:variant>
      <vt:variant>
        <vt:i4>0</vt:i4>
      </vt:variant>
      <vt:variant>
        <vt:i4>5</vt:i4>
      </vt:variant>
      <vt:variant>
        <vt:lpwstr>https://www.grandprix.com.au/uploads/images/AGPC_Corporate_010_2024_Annual_Report_Final_For_Tabling.pdf</vt:lpwstr>
      </vt:variant>
      <vt:variant>
        <vt:lpwstr/>
      </vt:variant>
      <vt:variant>
        <vt:i4>39</vt:i4>
      </vt:variant>
      <vt:variant>
        <vt:i4>231</vt:i4>
      </vt:variant>
      <vt:variant>
        <vt:i4>0</vt:i4>
      </vt:variant>
      <vt:variant>
        <vt:i4>5</vt:i4>
      </vt:variant>
      <vt:variant>
        <vt:lpwstr>https://www.grandprix.com.au/uploads/images/Australian-Grand-Prix-Corporation-2023-Annual-Report_16112023.pdf</vt:lpwstr>
      </vt:variant>
      <vt:variant>
        <vt:lpwstr/>
      </vt:variant>
      <vt:variant>
        <vt:i4>3407924</vt:i4>
      </vt:variant>
      <vt:variant>
        <vt:i4>228</vt:i4>
      </vt:variant>
      <vt:variant>
        <vt:i4>0</vt:i4>
      </vt:variant>
      <vt:variant>
        <vt:i4>5</vt:i4>
      </vt:variant>
      <vt:variant>
        <vt:lpwstr>https://www.abc.net.au/news/2022-04-11/record-crowd-for-melbourne-grand-prix/100981948</vt:lpwstr>
      </vt:variant>
      <vt:variant>
        <vt:lpwstr/>
      </vt:variant>
      <vt:variant>
        <vt:i4>1507378</vt:i4>
      </vt:variant>
      <vt:variant>
        <vt:i4>221</vt:i4>
      </vt:variant>
      <vt:variant>
        <vt:i4>0</vt:i4>
      </vt:variant>
      <vt:variant>
        <vt:i4>5</vt:i4>
      </vt:variant>
      <vt:variant>
        <vt:lpwstr/>
      </vt:variant>
      <vt:variant>
        <vt:lpwstr>_Toc198738860</vt:lpwstr>
      </vt:variant>
      <vt:variant>
        <vt:i4>1310770</vt:i4>
      </vt:variant>
      <vt:variant>
        <vt:i4>215</vt:i4>
      </vt:variant>
      <vt:variant>
        <vt:i4>0</vt:i4>
      </vt:variant>
      <vt:variant>
        <vt:i4>5</vt:i4>
      </vt:variant>
      <vt:variant>
        <vt:lpwstr/>
      </vt:variant>
      <vt:variant>
        <vt:lpwstr>_Toc198738859</vt:lpwstr>
      </vt:variant>
      <vt:variant>
        <vt:i4>1310770</vt:i4>
      </vt:variant>
      <vt:variant>
        <vt:i4>209</vt:i4>
      </vt:variant>
      <vt:variant>
        <vt:i4>0</vt:i4>
      </vt:variant>
      <vt:variant>
        <vt:i4>5</vt:i4>
      </vt:variant>
      <vt:variant>
        <vt:lpwstr/>
      </vt:variant>
      <vt:variant>
        <vt:lpwstr>_Toc198738858</vt:lpwstr>
      </vt:variant>
      <vt:variant>
        <vt:i4>1310770</vt:i4>
      </vt:variant>
      <vt:variant>
        <vt:i4>203</vt:i4>
      </vt:variant>
      <vt:variant>
        <vt:i4>0</vt:i4>
      </vt:variant>
      <vt:variant>
        <vt:i4>5</vt:i4>
      </vt:variant>
      <vt:variant>
        <vt:lpwstr/>
      </vt:variant>
      <vt:variant>
        <vt:lpwstr>_Toc198738857</vt:lpwstr>
      </vt:variant>
      <vt:variant>
        <vt:i4>1310770</vt:i4>
      </vt:variant>
      <vt:variant>
        <vt:i4>197</vt:i4>
      </vt:variant>
      <vt:variant>
        <vt:i4>0</vt:i4>
      </vt:variant>
      <vt:variant>
        <vt:i4>5</vt:i4>
      </vt:variant>
      <vt:variant>
        <vt:lpwstr/>
      </vt:variant>
      <vt:variant>
        <vt:lpwstr>_Toc198738856</vt:lpwstr>
      </vt:variant>
      <vt:variant>
        <vt:i4>1310770</vt:i4>
      </vt:variant>
      <vt:variant>
        <vt:i4>191</vt:i4>
      </vt:variant>
      <vt:variant>
        <vt:i4>0</vt:i4>
      </vt:variant>
      <vt:variant>
        <vt:i4>5</vt:i4>
      </vt:variant>
      <vt:variant>
        <vt:lpwstr/>
      </vt:variant>
      <vt:variant>
        <vt:lpwstr>_Toc198738855</vt:lpwstr>
      </vt:variant>
      <vt:variant>
        <vt:i4>1310770</vt:i4>
      </vt:variant>
      <vt:variant>
        <vt:i4>185</vt:i4>
      </vt:variant>
      <vt:variant>
        <vt:i4>0</vt:i4>
      </vt:variant>
      <vt:variant>
        <vt:i4>5</vt:i4>
      </vt:variant>
      <vt:variant>
        <vt:lpwstr/>
      </vt:variant>
      <vt:variant>
        <vt:lpwstr>_Toc198738854</vt:lpwstr>
      </vt:variant>
      <vt:variant>
        <vt:i4>1310770</vt:i4>
      </vt:variant>
      <vt:variant>
        <vt:i4>179</vt:i4>
      </vt:variant>
      <vt:variant>
        <vt:i4>0</vt:i4>
      </vt:variant>
      <vt:variant>
        <vt:i4>5</vt:i4>
      </vt:variant>
      <vt:variant>
        <vt:lpwstr/>
      </vt:variant>
      <vt:variant>
        <vt:lpwstr>_Toc198738853</vt:lpwstr>
      </vt:variant>
      <vt:variant>
        <vt:i4>1310770</vt:i4>
      </vt:variant>
      <vt:variant>
        <vt:i4>173</vt:i4>
      </vt:variant>
      <vt:variant>
        <vt:i4>0</vt:i4>
      </vt:variant>
      <vt:variant>
        <vt:i4>5</vt:i4>
      </vt:variant>
      <vt:variant>
        <vt:lpwstr/>
      </vt:variant>
      <vt:variant>
        <vt:lpwstr>_Toc198738852</vt:lpwstr>
      </vt:variant>
      <vt:variant>
        <vt:i4>1310770</vt:i4>
      </vt:variant>
      <vt:variant>
        <vt:i4>167</vt:i4>
      </vt:variant>
      <vt:variant>
        <vt:i4>0</vt:i4>
      </vt:variant>
      <vt:variant>
        <vt:i4>5</vt:i4>
      </vt:variant>
      <vt:variant>
        <vt:lpwstr/>
      </vt:variant>
      <vt:variant>
        <vt:lpwstr>_Toc198738851</vt:lpwstr>
      </vt:variant>
      <vt:variant>
        <vt:i4>1310770</vt:i4>
      </vt:variant>
      <vt:variant>
        <vt:i4>161</vt:i4>
      </vt:variant>
      <vt:variant>
        <vt:i4>0</vt:i4>
      </vt:variant>
      <vt:variant>
        <vt:i4>5</vt:i4>
      </vt:variant>
      <vt:variant>
        <vt:lpwstr/>
      </vt:variant>
      <vt:variant>
        <vt:lpwstr>_Toc198738850</vt:lpwstr>
      </vt:variant>
      <vt:variant>
        <vt:i4>1376306</vt:i4>
      </vt:variant>
      <vt:variant>
        <vt:i4>155</vt:i4>
      </vt:variant>
      <vt:variant>
        <vt:i4>0</vt:i4>
      </vt:variant>
      <vt:variant>
        <vt:i4>5</vt:i4>
      </vt:variant>
      <vt:variant>
        <vt:lpwstr/>
      </vt:variant>
      <vt:variant>
        <vt:lpwstr>_Toc198738849</vt:lpwstr>
      </vt:variant>
      <vt:variant>
        <vt:i4>1376306</vt:i4>
      </vt:variant>
      <vt:variant>
        <vt:i4>149</vt:i4>
      </vt:variant>
      <vt:variant>
        <vt:i4>0</vt:i4>
      </vt:variant>
      <vt:variant>
        <vt:i4>5</vt:i4>
      </vt:variant>
      <vt:variant>
        <vt:lpwstr/>
      </vt:variant>
      <vt:variant>
        <vt:lpwstr>_Toc198738848</vt:lpwstr>
      </vt:variant>
      <vt:variant>
        <vt:i4>1376306</vt:i4>
      </vt:variant>
      <vt:variant>
        <vt:i4>143</vt:i4>
      </vt:variant>
      <vt:variant>
        <vt:i4>0</vt:i4>
      </vt:variant>
      <vt:variant>
        <vt:i4>5</vt:i4>
      </vt:variant>
      <vt:variant>
        <vt:lpwstr/>
      </vt:variant>
      <vt:variant>
        <vt:lpwstr>_Toc198738847</vt:lpwstr>
      </vt:variant>
      <vt:variant>
        <vt:i4>1376306</vt:i4>
      </vt:variant>
      <vt:variant>
        <vt:i4>137</vt:i4>
      </vt:variant>
      <vt:variant>
        <vt:i4>0</vt:i4>
      </vt:variant>
      <vt:variant>
        <vt:i4>5</vt:i4>
      </vt:variant>
      <vt:variant>
        <vt:lpwstr/>
      </vt:variant>
      <vt:variant>
        <vt:lpwstr>_Toc198738846</vt:lpwstr>
      </vt:variant>
      <vt:variant>
        <vt:i4>1376306</vt:i4>
      </vt:variant>
      <vt:variant>
        <vt:i4>131</vt:i4>
      </vt:variant>
      <vt:variant>
        <vt:i4>0</vt:i4>
      </vt:variant>
      <vt:variant>
        <vt:i4>5</vt:i4>
      </vt:variant>
      <vt:variant>
        <vt:lpwstr/>
      </vt:variant>
      <vt:variant>
        <vt:lpwstr>_Toc198738845</vt:lpwstr>
      </vt:variant>
      <vt:variant>
        <vt:i4>1376306</vt:i4>
      </vt:variant>
      <vt:variant>
        <vt:i4>125</vt:i4>
      </vt:variant>
      <vt:variant>
        <vt:i4>0</vt:i4>
      </vt:variant>
      <vt:variant>
        <vt:i4>5</vt:i4>
      </vt:variant>
      <vt:variant>
        <vt:lpwstr/>
      </vt:variant>
      <vt:variant>
        <vt:lpwstr>_Toc198738844</vt:lpwstr>
      </vt:variant>
      <vt:variant>
        <vt:i4>1376306</vt:i4>
      </vt:variant>
      <vt:variant>
        <vt:i4>119</vt:i4>
      </vt:variant>
      <vt:variant>
        <vt:i4>0</vt:i4>
      </vt:variant>
      <vt:variant>
        <vt:i4>5</vt:i4>
      </vt:variant>
      <vt:variant>
        <vt:lpwstr/>
      </vt:variant>
      <vt:variant>
        <vt:lpwstr>_Toc198738843</vt:lpwstr>
      </vt:variant>
      <vt:variant>
        <vt:i4>1179706</vt:i4>
      </vt:variant>
      <vt:variant>
        <vt:i4>108</vt:i4>
      </vt:variant>
      <vt:variant>
        <vt:i4>0</vt:i4>
      </vt:variant>
      <vt:variant>
        <vt:i4>5</vt:i4>
      </vt:variant>
      <vt:variant>
        <vt:lpwstr/>
      </vt:variant>
      <vt:variant>
        <vt:lpwstr>_Toc198739023</vt:lpwstr>
      </vt:variant>
      <vt:variant>
        <vt:i4>1179706</vt:i4>
      </vt:variant>
      <vt:variant>
        <vt:i4>102</vt:i4>
      </vt:variant>
      <vt:variant>
        <vt:i4>0</vt:i4>
      </vt:variant>
      <vt:variant>
        <vt:i4>5</vt:i4>
      </vt:variant>
      <vt:variant>
        <vt:lpwstr/>
      </vt:variant>
      <vt:variant>
        <vt:lpwstr>_Toc198739022</vt:lpwstr>
      </vt:variant>
      <vt:variant>
        <vt:i4>1179706</vt:i4>
      </vt:variant>
      <vt:variant>
        <vt:i4>96</vt:i4>
      </vt:variant>
      <vt:variant>
        <vt:i4>0</vt:i4>
      </vt:variant>
      <vt:variant>
        <vt:i4>5</vt:i4>
      </vt:variant>
      <vt:variant>
        <vt:lpwstr/>
      </vt:variant>
      <vt:variant>
        <vt:lpwstr>_Toc198739021</vt:lpwstr>
      </vt:variant>
      <vt:variant>
        <vt:i4>1179706</vt:i4>
      </vt:variant>
      <vt:variant>
        <vt:i4>90</vt:i4>
      </vt:variant>
      <vt:variant>
        <vt:i4>0</vt:i4>
      </vt:variant>
      <vt:variant>
        <vt:i4>5</vt:i4>
      </vt:variant>
      <vt:variant>
        <vt:lpwstr/>
      </vt:variant>
      <vt:variant>
        <vt:lpwstr>_Toc198739020</vt:lpwstr>
      </vt:variant>
      <vt:variant>
        <vt:i4>1114170</vt:i4>
      </vt:variant>
      <vt:variant>
        <vt:i4>84</vt:i4>
      </vt:variant>
      <vt:variant>
        <vt:i4>0</vt:i4>
      </vt:variant>
      <vt:variant>
        <vt:i4>5</vt:i4>
      </vt:variant>
      <vt:variant>
        <vt:lpwstr/>
      </vt:variant>
      <vt:variant>
        <vt:lpwstr>_Toc198739019</vt:lpwstr>
      </vt:variant>
      <vt:variant>
        <vt:i4>1114170</vt:i4>
      </vt:variant>
      <vt:variant>
        <vt:i4>78</vt:i4>
      </vt:variant>
      <vt:variant>
        <vt:i4>0</vt:i4>
      </vt:variant>
      <vt:variant>
        <vt:i4>5</vt:i4>
      </vt:variant>
      <vt:variant>
        <vt:lpwstr/>
      </vt:variant>
      <vt:variant>
        <vt:lpwstr>_Toc198739018</vt:lpwstr>
      </vt:variant>
      <vt:variant>
        <vt:i4>1114170</vt:i4>
      </vt:variant>
      <vt:variant>
        <vt:i4>72</vt:i4>
      </vt:variant>
      <vt:variant>
        <vt:i4>0</vt:i4>
      </vt:variant>
      <vt:variant>
        <vt:i4>5</vt:i4>
      </vt:variant>
      <vt:variant>
        <vt:lpwstr/>
      </vt:variant>
      <vt:variant>
        <vt:lpwstr>_Toc198739017</vt:lpwstr>
      </vt:variant>
      <vt:variant>
        <vt:i4>1114170</vt:i4>
      </vt:variant>
      <vt:variant>
        <vt:i4>66</vt:i4>
      </vt:variant>
      <vt:variant>
        <vt:i4>0</vt:i4>
      </vt:variant>
      <vt:variant>
        <vt:i4>5</vt:i4>
      </vt:variant>
      <vt:variant>
        <vt:lpwstr/>
      </vt:variant>
      <vt:variant>
        <vt:lpwstr>_Toc198739016</vt:lpwstr>
      </vt:variant>
      <vt:variant>
        <vt:i4>1114170</vt:i4>
      </vt:variant>
      <vt:variant>
        <vt:i4>60</vt:i4>
      </vt:variant>
      <vt:variant>
        <vt:i4>0</vt:i4>
      </vt:variant>
      <vt:variant>
        <vt:i4>5</vt:i4>
      </vt:variant>
      <vt:variant>
        <vt:lpwstr/>
      </vt:variant>
      <vt:variant>
        <vt:lpwstr>_Toc198739015</vt:lpwstr>
      </vt:variant>
      <vt:variant>
        <vt:i4>1114170</vt:i4>
      </vt:variant>
      <vt:variant>
        <vt:i4>54</vt:i4>
      </vt:variant>
      <vt:variant>
        <vt:i4>0</vt:i4>
      </vt:variant>
      <vt:variant>
        <vt:i4>5</vt:i4>
      </vt:variant>
      <vt:variant>
        <vt:lpwstr/>
      </vt:variant>
      <vt:variant>
        <vt:lpwstr>_Toc198739014</vt:lpwstr>
      </vt:variant>
      <vt:variant>
        <vt:i4>1114170</vt:i4>
      </vt:variant>
      <vt:variant>
        <vt:i4>48</vt:i4>
      </vt:variant>
      <vt:variant>
        <vt:i4>0</vt:i4>
      </vt:variant>
      <vt:variant>
        <vt:i4>5</vt:i4>
      </vt:variant>
      <vt:variant>
        <vt:lpwstr/>
      </vt:variant>
      <vt:variant>
        <vt:lpwstr>_Toc198739013</vt:lpwstr>
      </vt:variant>
      <vt:variant>
        <vt:i4>1114170</vt:i4>
      </vt:variant>
      <vt:variant>
        <vt:i4>42</vt:i4>
      </vt:variant>
      <vt:variant>
        <vt:i4>0</vt:i4>
      </vt:variant>
      <vt:variant>
        <vt:i4>5</vt:i4>
      </vt:variant>
      <vt:variant>
        <vt:lpwstr/>
      </vt:variant>
      <vt:variant>
        <vt:lpwstr>_Toc198739012</vt:lpwstr>
      </vt:variant>
      <vt:variant>
        <vt:i4>1114170</vt:i4>
      </vt:variant>
      <vt:variant>
        <vt:i4>36</vt:i4>
      </vt:variant>
      <vt:variant>
        <vt:i4>0</vt:i4>
      </vt:variant>
      <vt:variant>
        <vt:i4>5</vt:i4>
      </vt:variant>
      <vt:variant>
        <vt:lpwstr/>
      </vt:variant>
      <vt:variant>
        <vt:lpwstr>_Toc198739011</vt:lpwstr>
      </vt:variant>
      <vt:variant>
        <vt:i4>1114170</vt:i4>
      </vt:variant>
      <vt:variant>
        <vt:i4>30</vt:i4>
      </vt:variant>
      <vt:variant>
        <vt:i4>0</vt:i4>
      </vt:variant>
      <vt:variant>
        <vt:i4>5</vt:i4>
      </vt:variant>
      <vt:variant>
        <vt:lpwstr/>
      </vt:variant>
      <vt:variant>
        <vt:lpwstr>_Toc198739010</vt:lpwstr>
      </vt:variant>
      <vt:variant>
        <vt:i4>1048634</vt:i4>
      </vt:variant>
      <vt:variant>
        <vt:i4>24</vt:i4>
      </vt:variant>
      <vt:variant>
        <vt:i4>0</vt:i4>
      </vt:variant>
      <vt:variant>
        <vt:i4>5</vt:i4>
      </vt:variant>
      <vt:variant>
        <vt:lpwstr/>
      </vt:variant>
      <vt:variant>
        <vt:lpwstr>_Toc198739009</vt:lpwstr>
      </vt:variant>
      <vt:variant>
        <vt:i4>1048634</vt:i4>
      </vt:variant>
      <vt:variant>
        <vt:i4>18</vt:i4>
      </vt:variant>
      <vt:variant>
        <vt:i4>0</vt:i4>
      </vt:variant>
      <vt:variant>
        <vt:i4>5</vt:i4>
      </vt:variant>
      <vt:variant>
        <vt:lpwstr/>
      </vt:variant>
      <vt:variant>
        <vt:lpwstr>_Toc198739008</vt:lpwstr>
      </vt:variant>
      <vt:variant>
        <vt:i4>1048634</vt:i4>
      </vt:variant>
      <vt:variant>
        <vt:i4>12</vt:i4>
      </vt:variant>
      <vt:variant>
        <vt:i4>0</vt:i4>
      </vt:variant>
      <vt:variant>
        <vt:i4>5</vt:i4>
      </vt:variant>
      <vt:variant>
        <vt:lpwstr/>
      </vt:variant>
      <vt:variant>
        <vt:lpwstr>_Toc198739007</vt:lpwstr>
      </vt:variant>
      <vt:variant>
        <vt:i4>1048634</vt:i4>
      </vt:variant>
      <vt:variant>
        <vt:i4>6</vt:i4>
      </vt:variant>
      <vt:variant>
        <vt:i4>0</vt:i4>
      </vt:variant>
      <vt:variant>
        <vt:i4>5</vt:i4>
      </vt:variant>
      <vt:variant>
        <vt:lpwstr/>
      </vt:variant>
      <vt:variant>
        <vt:lpwstr>_Toc198739006</vt:lpwstr>
      </vt:variant>
      <vt:variant>
        <vt:i4>1376306</vt:i4>
      </vt:variant>
      <vt:variant>
        <vt:i4>2</vt:i4>
      </vt:variant>
      <vt:variant>
        <vt:i4>0</vt:i4>
      </vt:variant>
      <vt:variant>
        <vt:i4>5</vt:i4>
      </vt:variant>
      <vt:variant>
        <vt:lpwstr/>
      </vt:variant>
      <vt:variant>
        <vt:lpwstr>_Toc198738842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 1® Australian Grand Prix 2023 Economic Impact</dc:title>
  <dc:subject/>
  <cp:keywords/>
  <dc:description/>
  <cp:lastModifiedBy>Philippa R Dunstan (DJSIR)</cp:lastModifiedBy>
  <cp:revision>2</cp:revision>
  <dcterms:created xsi:type="dcterms:W3CDTF">2025-06-04T06:49:00Z</dcterms:created>
  <dcterms:modified xsi:type="dcterms:W3CDTF">2025-06-04T06:49:00Z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7799bd9d-75c6-4478-ba40-7ae2ec8b26ee</vt:lpwstr>
  </property>
  <property fmtid="{D5CDD505-2E9C-101B-9397-08002B2CF9AE}" pid="3" name="ClassificationContentMarkingHeaderShapeIds">
    <vt:lpwstr>66456902,4be24003,242c026e</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12a7b7c6,5b85fffd,3a63e85b</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2024-07-26T05:03:40Z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ffdd74df-5d29-4033-b03c-1a636f4cdca9</vt:lpwstr>
  </property>
  <property fmtid="{D5CDD505-2E9C-101B-9397-08002B2CF9AE}" pid="15" name="MSIP_Label_d00a4df9-c942-4b09-b23a-6c1023f6de27_ContentBits">
    <vt:lpwstr>3</vt:lpwstr>
  </property>
  <property fmtid="{D5CDD505-2E9C-101B-9397-08002B2CF9AE}" pid="16" name="ContentTypeId">
    <vt:lpwstr>0x01010034BD6055D1586B48BCF9C79C8C925CA7</vt:lpwstr>
  </property>
</Properties>
</file>